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2E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</w:p>
    <w:p w:rsidR="0098022E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</w:p>
    <w:p w:rsidR="0098022E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</w:p>
    <w:p w:rsidR="0098022E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</w:p>
    <w:p w:rsidR="0098022E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</w:p>
    <w:p w:rsidR="0098022E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</w:p>
    <w:p w:rsidR="0098022E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</w:p>
    <w:p w:rsidR="0098022E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</w:p>
    <w:p w:rsidR="0098022E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</w:p>
    <w:p w:rsidR="0098022E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</w:p>
    <w:p w:rsidR="0098022E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</w:p>
    <w:p w:rsidR="0098022E" w:rsidRPr="001442AA" w:rsidRDefault="0098022E" w:rsidP="0098022E">
      <w:pPr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1442AA">
        <w:rPr>
          <w:b/>
          <w:color w:val="000000"/>
          <w:sz w:val="28"/>
          <w:szCs w:val="28"/>
          <w:lang w:val="uk-UA"/>
        </w:rPr>
        <w:t>ВИСНОВОК</w:t>
      </w:r>
    </w:p>
    <w:p w:rsidR="0098022E" w:rsidRDefault="0098022E" w:rsidP="0098022E">
      <w:pPr>
        <w:jc w:val="center"/>
        <w:rPr>
          <w:color w:val="000000"/>
          <w:sz w:val="28"/>
          <w:szCs w:val="28"/>
          <w:lang w:val="uk-UA"/>
        </w:rPr>
      </w:pPr>
      <w:r w:rsidRPr="001442AA">
        <w:rPr>
          <w:color w:val="000000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98022E" w:rsidRPr="003473AE" w:rsidRDefault="0098022E" w:rsidP="0098022E">
      <w:pPr>
        <w:jc w:val="center"/>
        <w:rPr>
          <w:b/>
          <w:bCs/>
          <w:sz w:val="28"/>
          <w:szCs w:val="28"/>
          <w:lang w:val="uk-UA"/>
        </w:rPr>
      </w:pPr>
    </w:p>
    <w:p w:rsidR="0098022E" w:rsidRPr="00F86B16" w:rsidRDefault="0098022E" w:rsidP="0098022E">
      <w:pPr>
        <w:pStyle w:val="a3"/>
        <w:spacing w:before="0" w:beforeAutospacing="0" w:after="0" w:afterAutospacing="0"/>
        <w:ind w:firstLine="705"/>
        <w:jc w:val="both"/>
        <w:rPr>
          <w:bCs/>
          <w:sz w:val="28"/>
          <w:szCs w:val="28"/>
          <w:lang w:val="uk-UA"/>
        </w:rPr>
      </w:pPr>
      <w:r w:rsidRPr="003473AE">
        <w:rPr>
          <w:sz w:val="28"/>
          <w:szCs w:val="28"/>
          <w:lang w:val="uk-UA"/>
        </w:rPr>
        <w:t xml:space="preserve">Відповідно до розділу ІХ Закону України “Про Загальнодержавну програму адаптації законодавства України до законодавства Європейського Союзу” </w:t>
      </w:r>
      <w:r w:rsidRPr="00F86B16">
        <w:rPr>
          <w:bCs/>
          <w:sz w:val="28"/>
          <w:szCs w:val="28"/>
          <w:lang w:val="uk-UA"/>
        </w:rPr>
        <w:t>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98022E" w:rsidRPr="0092352C" w:rsidRDefault="0098022E" w:rsidP="0098022E">
      <w:pPr>
        <w:jc w:val="both"/>
        <w:rPr>
          <w:lang w:val="uk-UA"/>
        </w:rPr>
      </w:pPr>
      <w:r w:rsidRPr="003473AE">
        <w:rPr>
          <w:b/>
          <w:sz w:val="28"/>
          <w:szCs w:val="28"/>
          <w:lang w:val="uk-UA"/>
        </w:rPr>
        <w:tab/>
      </w:r>
      <w:r w:rsidRPr="0092352C">
        <w:rPr>
          <w:sz w:val="28"/>
          <w:szCs w:val="28"/>
          <w:lang w:val="uk-UA"/>
        </w:rPr>
        <w:t xml:space="preserve">На своєму засіданні 04 листопада 2015 р. Комітет з питань європейської інтеграції розглянув проект Закону про внесення змін до статті 14 Закону України "Про соціальний і правовий захист військовослужбовців та членів їх сімей" (щодо погашення державою договорів іпотеки, укладених військовослужбовцями, які були призвані на військову службу під час мобілізації, на особливий період) (реєстр.№3030 від 03.09.2015)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92352C">
        <w:rPr>
          <w:color w:val="000000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5C5DC0" w:rsidRPr="0098022E" w:rsidRDefault="005C5DC0">
      <w:pPr>
        <w:rPr>
          <w:lang w:val="uk-UA"/>
        </w:rPr>
      </w:pPr>
    </w:p>
    <w:sectPr w:rsidR="005C5DC0" w:rsidRPr="0098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AA"/>
    <w:rsid w:val="002C40AA"/>
    <w:rsid w:val="005C5DC0"/>
    <w:rsid w:val="009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8408"/>
  <w15:chartTrackingRefBased/>
  <w15:docId w15:val="{AE2D103E-64FF-4589-A152-B1DC669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2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2019-04-10T12:04:00Z</dcterms:created>
  <dcterms:modified xsi:type="dcterms:W3CDTF">2019-04-10T12:04:00Z</dcterms:modified>
</cp:coreProperties>
</file>