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FC" w:rsidRPr="00A51C70" w:rsidRDefault="00E836FC" w:rsidP="00E836F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О П О З И Ц І Ї</w:t>
      </w:r>
    </w:p>
    <w:p w:rsidR="00E836FC" w:rsidRPr="00A51C70" w:rsidRDefault="00E836FC" w:rsidP="00E836FC">
      <w:pPr>
        <w:jc w:val="center"/>
        <w:rPr>
          <w:rFonts w:ascii="Times New Roman" w:eastAsia="Times New Roman" w:hAnsi="Times New Roman"/>
          <w:b/>
          <w:bCs/>
          <w:sz w:val="28"/>
          <w:lang w:val="ru-RU" w:eastAsia="ru-RU"/>
        </w:rPr>
      </w:pP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Закону України "Про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оцінку впливу на довкілля</w:t>
      </w:r>
      <w:r w:rsidRPr="00A51C70">
        <w:rPr>
          <w:rFonts w:ascii="Times New Roman" w:eastAsia="Times New Roman" w:hAnsi="Times New Roman"/>
          <w:b/>
          <w:bCs/>
          <w:sz w:val="28"/>
          <w:lang w:eastAsia="ru-RU"/>
        </w:rPr>
        <w:t>"</w:t>
      </w:r>
    </w:p>
    <w:p w:rsidR="00E836FC" w:rsidRDefault="00E836FC" w:rsidP="00E836FC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36FC" w:rsidRPr="00A51C70" w:rsidRDefault="00E836FC" w:rsidP="00E37297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Прийнятий Верховною Радою України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51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жовтня</w:t>
      </w:r>
      <w:r w:rsidRPr="00A51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A51C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 Закон України "Про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оцінку впливу на довкілля</w:t>
      </w:r>
      <w:r w:rsidRPr="00A51C70">
        <w:rPr>
          <w:rFonts w:ascii="Times New Roman" w:eastAsia="Times New Roman" w:hAnsi="Times New Roman"/>
          <w:bCs/>
          <w:sz w:val="28"/>
          <w:szCs w:val="28"/>
          <w:lang w:eastAsia="ru-RU"/>
        </w:rPr>
        <w:t>" не може бути підписаний, виходячи з такого.</w:t>
      </w:r>
    </w:p>
    <w:p w:rsidR="00C872FE" w:rsidRDefault="00E836FC" w:rsidP="00E37297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A51C7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</w:t>
      </w:r>
      <w:r w:rsidR="00E3729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що надійшов на підпис,</w:t>
      </w:r>
      <w:r w:rsidR="0069316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C872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пропонується запровадити</w:t>
      </w:r>
      <w:r w:rsidR="00E3729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E37297" w:rsidRPr="00717CD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оцінк</w:t>
      </w:r>
      <w:r w:rsidR="00C872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</w:t>
      </w:r>
      <w:r w:rsidR="00E37297" w:rsidRPr="00717CD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впливу на довкілля</w:t>
      </w:r>
      <w:r w:rsidR="00C872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у процесі прийняття рішень про провадження господарської діяльності,</w:t>
      </w:r>
      <w:r w:rsidR="00ED7B2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C872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яка може мати значний вплив на довкілля, з урахуванням державних, громадських та приватних інтересів. </w:t>
      </w:r>
    </w:p>
    <w:p w:rsidR="00E37297" w:rsidRDefault="00C872FE" w:rsidP="00E37297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Підтримуючи в цілому необхідність 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досконалення законодавчого регулювання </w:t>
      </w:r>
      <w:r w:rsidR="00ED7B2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здійснення оцінки</w:t>
      </w:r>
      <w:r w:rsidR="0015615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впливу господарської діяльності на </w:t>
      </w:r>
      <w:r w:rsidR="0069316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довкілля</w:t>
      </w:r>
      <w:r w:rsidR="00FA5D61" w:rsidRP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відповідно до міжнародних зобов'язань України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забезпечення </w:t>
      </w:r>
      <w:r w:rsidR="00ED7B2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врахування пропо</w:t>
      </w:r>
      <w:r w:rsidR="0015615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зиці</w:t>
      </w:r>
      <w:r w:rsidR="00ED7B2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й</w:t>
      </w:r>
      <w:r w:rsidR="0015615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громадськості</w:t>
      </w:r>
      <w:r w:rsidR="00ED7B2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69316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під час</w:t>
      </w:r>
      <w:r w:rsidR="00ED7B2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69316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прийняття 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відповідних </w:t>
      </w:r>
      <w:r w:rsidR="0069316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рішень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15615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 можу погодитися із пропонованим Законом способ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</w:t>
      </w:r>
      <w:r w:rsidR="0015615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м досягнення </w:t>
      </w:r>
      <w:r w:rsidR="0036419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виз</w:t>
      </w:r>
      <w:r w:rsidR="0015615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наченої мети.</w:t>
      </w:r>
    </w:p>
    <w:p w:rsidR="004E64F4" w:rsidRDefault="00156159" w:rsidP="00E37297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Закон </w:t>
      </w:r>
      <w:r w:rsidR="00484BF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відносить 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вид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планованої діяльності та об'єкт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що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підлягають оцінці </w:t>
      </w:r>
      <w:r w:rsidR="00484BF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впливу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на довкілля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(стаття 3),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діяльність </w:t>
      </w:r>
      <w:r w:rsidR="000B6B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практично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 у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сі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основн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их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сфер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ах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економі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ки. 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При цьому </w:t>
      </w:r>
      <w:r w:rsidR="004B17A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ом</w:t>
      </w:r>
      <w:r w:rsidR="004B17A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 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врахову</w:t>
      </w:r>
      <w:r w:rsidR="004E64F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ються, зокрема, </w:t>
      </w:r>
      <w:r w:rsidR="00BE5C1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особливості провадження окремих видів господарської діяльності, спрямованих на забезпечення потреб національної безпеки та оборони,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діяльності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2B210F" w:rsidRP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 зоні відчуження та зоні безумовного (обов'язкового) відселення території, що зазнала радіоактивного забруднення внаслідок Чорнобильської катастрофи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а також потреби у невідкладній 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реалізації масштабних 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та 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важливих для 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відновлення 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економічного 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потенціалу держави та її окремих регіонів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інфраструктурних проектів, 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 тому числі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у сфері будівництва</w:t>
      </w:r>
      <w:r w:rsidR="0044050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 </w:t>
      </w:r>
    </w:p>
    <w:p w:rsidR="008B034E" w:rsidRDefault="009B1B07" w:rsidP="00E37297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Згідно із Законом 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планован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діяльн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ст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ь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яка підлягає оцінці впливу на довкілля, в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ключає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нове будівництво, реконструкці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ю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технічне переоснащення, капітальний ремонт об'єктів будівництва, розширення, перепрофілювання, ліквідаці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ю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(демонтаж) об'єктів, інше втручання в природне середовище (стаття 1). </w:t>
      </w:r>
      <w:r w:rsidR="006A700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Проте 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такі види діяльності, як </w:t>
      </w:r>
      <w:r w:rsidR="00187A6C" w:rsidRP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реконструкція, технічне переоснащення, капітальний ремонт об'єктів будівництв</w:t>
      </w:r>
      <w:r w:rsid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а, розширення, перепрофілювання</w:t>
      </w:r>
      <w:r w:rsidR="00F0173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</w:t>
      </w:r>
      <w:r w:rsidR="00187A6C" w:rsidRP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мож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уть</w:t>
      </w:r>
      <w:r w:rsid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 передбачати 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змін</w:t>
      </w:r>
      <w:r w:rsidR="00F35F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проектних характеристик об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'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єкт</w:t>
      </w:r>
      <w:r w:rsid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ів</w:t>
      </w:r>
      <w:r w:rsidR="006A700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або</w:t>
      </w:r>
      <w:r w:rsid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істотн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их умов 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провадження планованої діяльності</w:t>
      </w:r>
      <w:r w:rsidR="006A700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які зумовлюють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6A700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збільшення 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впливу</w:t>
      </w:r>
      <w:r w:rsidR="006A7001" w:rsidRPr="006A7001">
        <w:t xml:space="preserve"> </w:t>
      </w:r>
      <w:r w:rsidR="006A7001" w:rsidRPr="006A700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діяльності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на довкілля. </w:t>
      </w:r>
      <w:r w:rsidR="006A700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Тому в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становлення Законом вимоги щодо проведення оцінки впливу на довкілля </w:t>
      </w:r>
      <w:r w:rsidR="00F35F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без урахування зазначених факторів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F35F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створить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додатков</w:t>
      </w:r>
      <w:r w:rsidR="00F35F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перешкод</w:t>
      </w:r>
      <w:r w:rsidR="00F35F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для </w:t>
      </w:r>
      <w:r w:rsidR="00F35FC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провадження підприємницької діяльності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</w:t>
      </w:r>
      <w:r w:rsidR="002B210F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призве</w:t>
      </w:r>
      <w:r w:rsidR="002B210F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де 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до 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невиправдан</w:t>
      </w:r>
      <w:r w:rsidR="00187A6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их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матеріальних 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та інших 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витрат суб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'</w:t>
      </w:r>
      <w:r w:rsidR="008B034E" w:rsidRPr="008B034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єктів госпо</w:t>
      </w:r>
      <w:r w:rsidR="00A83DD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дарювання</w:t>
      </w:r>
      <w:r w:rsidR="0036419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  <w:r w:rsidR="0036419A" w:rsidRPr="0036419A">
        <w:t xml:space="preserve"> </w:t>
      </w:r>
    </w:p>
    <w:p w:rsidR="00760B46" w:rsidRDefault="000B6BC9" w:rsidP="00E37297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Законом передбачається, що за результатами проведення оцінки впливу на довкілля уповноважений орган видає рішення з оцінки впливу на довкілля, яким встановлюється допустимість провадження планованої діяльності та визначаються екологічні умови її провадження</w:t>
      </w:r>
      <w:r w:rsidR="00287C5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що є підставою для прийняття рішення про видачу або відмову у видачі рішення про провадження планованої діяльності (стаття 9). </w:t>
      </w:r>
      <w:r w:rsidR="003F256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Обумовлення видачі рішення </w:t>
      </w:r>
      <w:r w:rsidR="003F2569" w:rsidRPr="007F03C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 провадження </w:t>
      </w:r>
      <w:r w:rsidR="003F2569" w:rsidRPr="007F03C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lastRenderedPageBreak/>
        <w:t>планованої діяльності</w:t>
      </w:r>
      <w:r w:rsidR="003F256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наявністю</w:t>
      </w:r>
      <w:r w:rsidR="007F03C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3F256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рішення з оцінки впливу на довкілля, яке за Законом також віднесено до переліку документів дозвільного характеру у сфері господарської діяльності (пункт 37 частини четвертої статті 17), </w:t>
      </w:r>
      <w:r w:rsidR="009B4BC7" w:rsidRPr="007F03C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збільш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ить строки</w:t>
      </w:r>
      <w:r w:rsidR="009B4BC7" w:rsidRPr="007F03C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та </w:t>
      </w:r>
      <w:r w:rsidR="00760B4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ускладнить </w:t>
      </w:r>
      <w:r w:rsidR="003F256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проведення</w:t>
      </w:r>
      <w:r w:rsidR="00760B4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дозвільн</w:t>
      </w:r>
      <w:r w:rsidR="003F2569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их процедур </w:t>
      </w:r>
      <w:r w:rsidR="00760B4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для започаткування планованої діяльності, </w:t>
      </w:r>
      <w:r w:rsidR="00E64DA5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що не узгоджується з одним із основних принципів державної політики з питань дозвільної системи у сфері господарської діяльності щодо зменшення рівня державного регулювання господарської діяльності (стаття 3 Закону України "Про дозвільну систему у сфері господарської діяльності").</w:t>
      </w:r>
      <w:r w:rsidR="00D53B56" w:rsidRP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Крім того, пропонован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е</w:t>
      </w:r>
      <w:r w:rsid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може призвести до збільшення корупційних чинників під час прийняття рішень 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</w:t>
      </w:r>
      <w:r w:rsid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провадження господарської діяльності, адже Закон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ом</w:t>
      </w:r>
      <w:r w:rsid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 в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становлю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ю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ться</w:t>
      </w:r>
      <w:r w:rsid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вичерпн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ий перелік</w:t>
      </w:r>
      <w:r w:rsid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підстав для відмови у видачі </w:t>
      </w:r>
      <w:r w:rsidR="00D53B56" w:rsidRPr="00D53B56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рішення з оцінки впливу на довкілля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критерії та</w:t>
      </w:r>
      <w:r w:rsidR="00EF4EDC" w:rsidRPr="00EF4EDC">
        <w:t xml:space="preserve"> </w:t>
      </w:r>
      <w:r w:rsidR="00EF4EDC" w:rsidRP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порядок визначення екологічних умов </w:t>
      </w:r>
      <w:r w:rsid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 такому рішенні.</w:t>
      </w:r>
    </w:p>
    <w:p w:rsidR="007C262B" w:rsidRDefault="000F6EA4" w:rsidP="004E048D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Законом надається право центральному органу виконавчої влади,</w:t>
      </w:r>
      <w:r w:rsidR="00F0173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що реалізує державну політику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</w:t>
      </w:r>
      <w:r w:rsidR="00F0173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його територіальни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орган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приймати рішення про обмеження діяльності підприємств у разі порушення ними законодавства про оцінку впливу на довкілля (стаття 16). </w:t>
      </w:r>
      <w:r w:rsid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Такий підхід до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врегулювання 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питання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обмеження 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планован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ої діяльності не узгоджується із з</w:t>
      </w:r>
      <w:r w:rsidR="007C262B" w:rsidRP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агальн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ими</w:t>
      </w:r>
      <w:r w:rsidR="007C262B" w:rsidRP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вимог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ам</w:t>
      </w:r>
      <w:r w:rsidR="007C262B" w:rsidRP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 до здійснення державного нагляду (контролю)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9B4BC7" w:rsidRP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 сфері господарської діяльності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встановленими Законом України "</w:t>
      </w:r>
      <w:r w:rsidR="004E048D" w:rsidRP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 основні засади державного нагляду (контролю) у сфері господарської діяльності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", який є спеціальним законом, що регулює </w:t>
      </w:r>
      <w:r w:rsidR="004E048D" w:rsidRP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відносини, пов'язані зі здійсненням державного нагляду (контролю) у сфері господарської діяльності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 Відповідно до згаданих вимог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діяльність</w:t>
      </w:r>
      <w:r w:rsidR="004E048D" w:rsidRP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суб'єкта господарювання мож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е</w:t>
      </w:r>
      <w:r w:rsidR="004E048D" w:rsidRP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бути призуп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инена </w:t>
      </w:r>
      <w:r w:rsidR="004E048D" w:rsidRP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 результатами здійснення заходу, в ході якого орган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ом</w:t>
      </w:r>
      <w:r w:rsidR="004E048D" w:rsidRP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державного нагляду (контролю) виявлен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 порушення вимог законодавства,</w:t>
      </w:r>
      <w:r w:rsidR="004E048D" w:rsidRPr="007C26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виключно за рішенням суду (статті 4, 7)</w:t>
      </w:r>
      <w:r w:rsidR="004E048D" w:rsidRP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  <w:r w:rsidR="004E048D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:rsidR="004B17A1" w:rsidRDefault="004B17A1" w:rsidP="004B17A1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Законом пропонуються нові форми та методи залучення громадськості до процесу оцінки впливу планованої діяльності на довкілля, які мають забезпечити своєчасне, адекватне та ефективне інформування</w:t>
      </w:r>
      <w:r w:rsidRPr="00EF4EDC">
        <w:t xml:space="preserve"> </w:t>
      </w:r>
      <w:r w:rsidRP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громадськості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виявлення, збирання та врахування зауважень і пропозицій громадськості під час прийняття рішень щодо провадження планованої діяльності. Між тим 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механізми </w:t>
      </w:r>
      <w:r w:rsidR="009B4BC7" w:rsidRP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розгляду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9B4BC7" w:rsidRP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узагальнення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та врахування</w:t>
      </w:r>
      <w:r w:rsidR="009B4BC7" w:rsidRPr="00EF4ED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пропозицій громадськості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у процесі оцінки впливу на довкілля, що містяться в 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і, є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недовершен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.</w:t>
      </w:r>
    </w:p>
    <w:p w:rsidR="00693165" w:rsidRDefault="004B17A1" w:rsidP="00EF4EDC">
      <w:pPr>
        <w:widowControl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Окремі </w:t>
      </w:r>
      <w:r w:rsidR="00FE7E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положення 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Закон</w:t>
      </w:r>
      <w:r w:rsidR="00FE7E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 забезпечені достатньо чіткими та </w:t>
      </w:r>
      <w:r w:rsidR="001E6000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зрозуміли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ми механізмами їх реалізації</w:t>
      </w:r>
      <w:r w:rsidR="0036419A" w:rsidRPr="0036419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 що не відповідає принципу юридичної визначеності як складової конституційного принципу верховенства права (частина перша статті 8 Конституції України).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9B4BC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Законом 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запроваджується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адміністративна відповідальність посадових осіб та громадян – суб'єктів підприємницької діяль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ності за правопорушення у сфері 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оцінки впливу на довкілля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(частина четверта статті 17)</w:t>
      </w:r>
      <w:r w:rsidR="00FE7E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FE7E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але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 визначає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ться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орган (посадов</w:t>
      </w:r>
      <w:r w:rsidR="00FE7E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особ</w:t>
      </w:r>
      <w:r w:rsidR="00FE7EC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), уповноважен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ий</w:t>
      </w:r>
      <w:r w:rsidR="000628EA" w:rsidRP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розглядати справи про такі</w:t>
      </w:r>
      <w:r w:rsidR="000628E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адміністративні правопорушення</w:t>
      </w:r>
      <w:r w:rsidR="00F0173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. Також </w:t>
      </w:r>
      <w:bookmarkStart w:id="0" w:name="_GoBack"/>
      <w:bookmarkEnd w:id="0"/>
      <w:r w:rsidR="009B4BC7">
        <w:rPr>
          <w:rFonts w:ascii="Times New Roman" w:eastAsiaTheme="minorHAnsi" w:hAnsi="Times New Roman"/>
          <w:sz w:val="28"/>
          <w:szCs w:val="28"/>
          <w:lang w:eastAsia="ru-RU"/>
        </w:rPr>
        <w:t xml:space="preserve">Закон пов'язує </w:t>
      </w:r>
      <w:r w:rsidR="00ED7B20">
        <w:rPr>
          <w:rFonts w:ascii="Times New Roman" w:eastAsiaTheme="minorHAnsi" w:hAnsi="Times New Roman"/>
          <w:sz w:val="28"/>
          <w:szCs w:val="28"/>
          <w:lang w:eastAsia="ru-RU"/>
        </w:rPr>
        <w:t>видач</w:t>
      </w:r>
      <w:r w:rsidR="00693165">
        <w:rPr>
          <w:rFonts w:ascii="Times New Roman" w:eastAsiaTheme="minorHAnsi" w:hAnsi="Times New Roman"/>
          <w:sz w:val="28"/>
          <w:szCs w:val="28"/>
          <w:lang w:eastAsia="ru-RU"/>
        </w:rPr>
        <w:t xml:space="preserve">у </w:t>
      </w:r>
      <w:r w:rsidR="00ED7B20">
        <w:rPr>
          <w:rFonts w:ascii="Times New Roman" w:eastAsiaTheme="minorHAnsi" w:hAnsi="Times New Roman"/>
          <w:sz w:val="28"/>
          <w:szCs w:val="28"/>
          <w:lang w:eastAsia="ru-RU"/>
        </w:rPr>
        <w:t xml:space="preserve">рішення на провадження окремих видів господарської діяльності </w:t>
      </w:r>
      <w:r w:rsidR="00693165">
        <w:rPr>
          <w:rFonts w:ascii="Times New Roman" w:eastAsiaTheme="minorHAnsi" w:hAnsi="Times New Roman"/>
          <w:sz w:val="28"/>
          <w:szCs w:val="28"/>
          <w:lang w:eastAsia="ru-RU"/>
        </w:rPr>
        <w:t>із необхідністю</w:t>
      </w:r>
      <w:r w:rsidR="00ED7B2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717CDE">
        <w:rPr>
          <w:rFonts w:ascii="Times New Roman" w:eastAsiaTheme="minorHAnsi" w:hAnsi="Times New Roman"/>
          <w:sz w:val="28"/>
          <w:szCs w:val="28"/>
          <w:lang w:eastAsia="ru-RU"/>
        </w:rPr>
        <w:t>отримання позитивної еколого-експертної оцінки</w:t>
      </w:r>
      <w:r w:rsidR="00693165" w:rsidRPr="00693165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693165">
        <w:rPr>
          <w:rFonts w:ascii="Times New Roman" w:eastAsiaTheme="minorHAnsi" w:hAnsi="Times New Roman"/>
          <w:sz w:val="28"/>
          <w:szCs w:val="28"/>
          <w:lang w:eastAsia="ru-RU"/>
        </w:rPr>
        <w:t>(пункт</w:t>
      </w:r>
      <w:r w:rsidR="00693165" w:rsidRPr="00717CDE">
        <w:rPr>
          <w:rFonts w:ascii="Times New Roman" w:eastAsiaTheme="minorHAnsi" w:hAnsi="Times New Roman"/>
          <w:sz w:val="28"/>
          <w:szCs w:val="28"/>
          <w:lang w:eastAsia="ru-RU"/>
        </w:rPr>
        <w:t>и 8, 13, 31 частини четвертої статті 17</w:t>
      </w:r>
      <w:r w:rsidR="00693165">
        <w:rPr>
          <w:rFonts w:ascii="Times New Roman" w:eastAsiaTheme="minorHAnsi" w:hAnsi="Times New Roman"/>
          <w:sz w:val="28"/>
          <w:szCs w:val="28"/>
          <w:lang w:eastAsia="ru-RU"/>
        </w:rPr>
        <w:t>), однак механізм</w:t>
      </w:r>
      <w:r w:rsidR="009B4BC7">
        <w:rPr>
          <w:rFonts w:ascii="Times New Roman" w:eastAsiaTheme="minorHAnsi" w:hAnsi="Times New Roman"/>
          <w:sz w:val="28"/>
          <w:szCs w:val="28"/>
          <w:lang w:eastAsia="ru-RU"/>
        </w:rPr>
        <w:t>у</w:t>
      </w:r>
      <w:r w:rsidR="00693165">
        <w:rPr>
          <w:rFonts w:ascii="Times New Roman" w:eastAsiaTheme="minorHAnsi" w:hAnsi="Times New Roman"/>
          <w:sz w:val="28"/>
          <w:szCs w:val="28"/>
          <w:lang w:eastAsia="ru-RU"/>
        </w:rPr>
        <w:t xml:space="preserve"> здійснення такої оцінки не визначає. </w:t>
      </w:r>
    </w:p>
    <w:p w:rsidR="0036419A" w:rsidRDefault="0036419A" w:rsidP="00E836FC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Ураховуючи викладене, 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не можу підтримати 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впровадження за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пропонован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ої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Законом процедур</w:t>
      </w:r>
      <w:r w:rsid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оцінки впливу на довкілля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з огляду на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недовершені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сть </w:t>
      </w:r>
      <w:r w:rsidR="001A677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її 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правов</w:t>
      </w:r>
      <w:r w:rsidR="001A677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ого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1A677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врегулювання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створення штучних</w:t>
      </w:r>
      <w:r w:rsidR="00FA5D61" w:rsidRP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перепон для </w:t>
      </w:r>
      <w:r w:rsidR="00FA5D61" w:rsidRPr="001F20E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реалізації конституційного права на підприємницьку діяльність (стаття 42 Конституції України)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мож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ливі 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негативні наслідки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для розвитку </w:t>
      </w:r>
      <w:r w:rsidR="00FA5D61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економі</w:t>
      </w:r>
      <w:r w:rsidR="001A6777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ки держави. </w:t>
      </w:r>
      <w:r w:rsidR="00C712D8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:rsidR="0036419A" w:rsidRDefault="00C712D8" w:rsidP="00E836FC">
      <w:pPr>
        <w:widowControl w:val="0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У зв'язку з цим пропоную допрацювати Закон з метою 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виробле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ння 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збалансованої</w:t>
      </w:r>
      <w:r w:rsidR="002F119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,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ефективної </w:t>
      </w:r>
      <w:r w:rsidR="002F119A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та довершеної 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процедури </w:t>
      </w:r>
      <w:r w:rsidR="00E216FE" w:rsidRP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оцінк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и</w:t>
      </w:r>
      <w:r w:rsidR="00E216FE" w:rsidRP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впливу на довкілля у процесі прийняття рішень про провадження господарської діяльності</w:t>
      </w:r>
      <w:r w:rsid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="00E216FE" w:rsidRPr="00E216F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 урахуванням державних, громадських та приватних інтересів.</w:t>
      </w:r>
    </w:p>
    <w:p w:rsidR="00E836FC" w:rsidRPr="00A51C70" w:rsidRDefault="00E836FC" w:rsidP="00E836FC">
      <w:pPr>
        <w:tabs>
          <w:tab w:val="left" w:pos="851"/>
        </w:tabs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36FC" w:rsidRPr="00A51C70" w:rsidRDefault="00E836FC" w:rsidP="00E836F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36FC" w:rsidRPr="00A51C70" w:rsidRDefault="00E836FC" w:rsidP="00E836F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36FC" w:rsidRPr="00A51C70" w:rsidRDefault="00E836FC" w:rsidP="00E836FC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C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E836FC" w:rsidRPr="00A51C70" w:rsidRDefault="00E836FC" w:rsidP="00E836FC">
      <w:pPr>
        <w:tabs>
          <w:tab w:val="left" w:pos="540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Президент України</w:t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51C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П.ПОРОШЕНКО</w:t>
      </w:r>
    </w:p>
    <w:p w:rsidR="00E836FC" w:rsidRPr="00A51C70" w:rsidRDefault="00E836FC" w:rsidP="00E836F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6FC" w:rsidRPr="00A51C70" w:rsidRDefault="00E836FC" w:rsidP="00E836FC">
      <w:pPr>
        <w:rPr>
          <w:rFonts w:ascii="Times New Roman" w:hAnsi="Times New Roman"/>
          <w:sz w:val="28"/>
          <w:szCs w:val="28"/>
        </w:rPr>
      </w:pPr>
    </w:p>
    <w:p w:rsidR="00DE4EFF" w:rsidRPr="00E836FC" w:rsidRDefault="00DE4EFF">
      <w:pPr>
        <w:rPr>
          <w:rFonts w:ascii="Times New Roman" w:hAnsi="Times New Roman"/>
          <w:sz w:val="28"/>
          <w:szCs w:val="28"/>
        </w:rPr>
      </w:pPr>
    </w:p>
    <w:sectPr w:rsidR="00DE4EFF" w:rsidRPr="00E836FC" w:rsidSect="00E37297">
      <w:headerReference w:type="even" r:id="rId7"/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AB" w:rsidRDefault="001E6000">
      <w:r>
        <w:separator/>
      </w:r>
    </w:p>
  </w:endnote>
  <w:endnote w:type="continuationSeparator" w:id="0">
    <w:p w:rsidR="00ED48AB" w:rsidRDefault="001E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AB" w:rsidRDefault="001E6000">
      <w:r>
        <w:separator/>
      </w:r>
    </w:p>
  </w:footnote>
  <w:footnote w:type="continuationSeparator" w:id="0">
    <w:p w:rsidR="00ED48AB" w:rsidRDefault="001E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A" w:rsidRDefault="00B57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C0A" w:rsidRDefault="00F01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0A" w:rsidRPr="00583856" w:rsidRDefault="00B57B1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583856">
      <w:rPr>
        <w:rStyle w:val="a5"/>
        <w:rFonts w:ascii="Times New Roman" w:hAnsi="Times New Roman"/>
        <w:sz w:val="28"/>
        <w:szCs w:val="28"/>
      </w:rPr>
      <w:fldChar w:fldCharType="begin"/>
    </w:r>
    <w:r w:rsidRPr="0058385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83856">
      <w:rPr>
        <w:rStyle w:val="a5"/>
        <w:rFonts w:ascii="Times New Roman" w:hAnsi="Times New Roman"/>
        <w:sz w:val="28"/>
        <w:szCs w:val="28"/>
      </w:rPr>
      <w:fldChar w:fldCharType="separate"/>
    </w:r>
    <w:r w:rsidR="00F01737">
      <w:rPr>
        <w:rStyle w:val="a5"/>
        <w:rFonts w:ascii="Times New Roman" w:hAnsi="Times New Roman"/>
        <w:noProof/>
        <w:sz w:val="28"/>
        <w:szCs w:val="28"/>
      </w:rPr>
      <w:t>3</w:t>
    </w:r>
    <w:r w:rsidRPr="00583856">
      <w:rPr>
        <w:rStyle w:val="a5"/>
        <w:rFonts w:ascii="Times New Roman" w:hAnsi="Times New Roman"/>
        <w:sz w:val="28"/>
        <w:szCs w:val="28"/>
      </w:rPr>
      <w:fldChar w:fldCharType="end"/>
    </w:r>
  </w:p>
  <w:p w:rsidR="00265C0A" w:rsidRDefault="00F01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FC"/>
    <w:rsid w:val="000628EA"/>
    <w:rsid w:val="000B6BC9"/>
    <w:rsid w:val="000F6EA4"/>
    <w:rsid w:val="00156159"/>
    <w:rsid w:val="00187A6C"/>
    <w:rsid w:val="001A6777"/>
    <w:rsid w:val="001E2ECB"/>
    <w:rsid w:val="001E6000"/>
    <w:rsid w:val="001F20EB"/>
    <w:rsid w:val="00287C54"/>
    <w:rsid w:val="002B1BCB"/>
    <w:rsid w:val="002B210F"/>
    <w:rsid w:val="002D1270"/>
    <w:rsid w:val="002F119A"/>
    <w:rsid w:val="0036419A"/>
    <w:rsid w:val="003F2569"/>
    <w:rsid w:val="00440508"/>
    <w:rsid w:val="00484BF6"/>
    <w:rsid w:val="004B17A1"/>
    <w:rsid w:val="004E048D"/>
    <w:rsid w:val="004E64F4"/>
    <w:rsid w:val="00693165"/>
    <w:rsid w:val="006A7001"/>
    <w:rsid w:val="00717CDE"/>
    <w:rsid w:val="00760B46"/>
    <w:rsid w:val="007B444C"/>
    <w:rsid w:val="007C262B"/>
    <w:rsid w:val="007F03C0"/>
    <w:rsid w:val="0087273F"/>
    <w:rsid w:val="008B034E"/>
    <w:rsid w:val="009B1B07"/>
    <w:rsid w:val="009B4BC7"/>
    <w:rsid w:val="009F3486"/>
    <w:rsid w:val="00A83DD9"/>
    <w:rsid w:val="00B57B13"/>
    <w:rsid w:val="00BE5C1F"/>
    <w:rsid w:val="00C712D8"/>
    <w:rsid w:val="00C872FE"/>
    <w:rsid w:val="00D53B56"/>
    <w:rsid w:val="00DE4EFF"/>
    <w:rsid w:val="00E216FE"/>
    <w:rsid w:val="00E37297"/>
    <w:rsid w:val="00E64DA5"/>
    <w:rsid w:val="00E836FC"/>
    <w:rsid w:val="00ED48AB"/>
    <w:rsid w:val="00ED7B20"/>
    <w:rsid w:val="00EF4EDC"/>
    <w:rsid w:val="00F01737"/>
    <w:rsid w:val="00F35FC9"/>
    <w:rsid w:val="00FA5D61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947A-2D1F-4FEA-A4A6-D7E6A59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FC"/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6F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836FC"/>
    <w:rPr>
      <w:rFonts w:eastAsiaTheme="minorEastAsia" w:cs="Times New Roman"/>
      <w:sz w:val="24"/>
      <w:szCs w:val="24"/>
    </w:rPr>
  </w:style>
  <w:style w:type="character" w:styleId="a5">
    <w:name w:val="page number"/>
    <w:basedOn w:val="a0"/>
    <w:rsid w:val="00E836FC"/>
  </w:style>
  <w:style w:type="paragraph" w:styleId="a6">
    <w:name w:val="footer"/>
    <w:basedOn w:val="a"/>
    <w:link w:val="a7"/>
    <w:uiPriority w:val="99"/>
    <w:unhideWhenUsed/>
    <w:rsid w:val="00E3729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37297"/>
    <w:rPr>
      <w:rFonts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4BF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84B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4DB2-C19A-496C-9935-592E9C62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4373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Тетяна Петрівна</dc:creator>
  <cp:keywords/>
  <dc:description/>
  <cp:lastModifiedBy>Бондаренко Ірина Станіславівна</cp:lastModifiedBy>
  <cp:revision>10</cp:revision>
  <cp:lastPrinted>2016-10-27T22:50:00Z</cp:lastPrinted>
  <dcterms:created xsi:type="dcterms:W3CDTF">2016-10-27T16:37:00Z</dcterms:created>
  <dcterms:modified xsi:type="dcterms:W3CDTF">2016-10-28T06:35:00Z</dcterms:modified>
</cp:coreProperties>
</file>