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66" w:rsidRPr="006F6267" w:rsidRDefault="00642866" w:rsidP="00642866">
      <w:pPr>
        <w:jc w:val="center"/>
        <w:rPr>
          <w:b/>
          <w:sz w:val="26"/>
          <w:szCs w:val="26"/>
        </w:rPr>
      </w:pPr>
      <w:r w:rsidRPr="006F6267">
        <w:rPr>
          <w:b/>
          <w:sz w:val="26"/>
          <w:szCs w:val="26"/>
        </w:rPr>
        <w:t>ПОРІВНЯЛЬНА ТАБЛИЦЯ</w:t>
      </w:r>
    </w:p>
    <w:p w:rsidR="00722D6A" w:rsidRPr="006F6267" w:rsidRDefault="00642866" w:rsidP="00642866">
      <w:pPr>
        <w:jc w:val="center"/>
        <w:rPr>
          <w:b/>
          <w:sz w:val="26"/>
          <w:szCs w:val="26"/>
        </w:rPr>
      </w:pPr>
      <w:r w:rsidRPr="006F6267">
        <w:rPr>
          <w:b/>
          <w:sz w:val="26"/>
          <w:szCs w:val="26"/>
        </w:rPr>
        <w:t xml:space="preserve">до проекту Закону України «Про внесення змін до деяких законодавчих актів України щодо </w:t>
      </w:r>
    </w:p>
    <w:p w:rsidR="005833FD" w:rsidRPr="006F6267" w:rsidRDefault="00437DFB" w:rsidP="00642866">
      <w:pPr>
        <w:jc w:val="center"/>
        <w:rPr>
          <w:b/>
          <w:sz w:val="26"/>
          <w:szCs w:val="26"/>
        </w:rPr>
      </w:pPr>
      <w:r w:rsidRPr="006F6267">
        <w:rPr>
          <w:b/>
          <w:sz w:val="26"/>
          <w:szCs w:val="26"/>
        </w:rPr>
        <w:t>спрощення порядку</w:t>
      </w:r>
      <w:r w:rsidR="00642866" w:rsidRPr="006F6267">
        <w:rPr>
          <w:b/>
          <w:sz w:val="26"/>
          <w:szCs w:val="26"/>
        </w:rPr>
        <w:t xml:space="preserve"> </w:t>
      </w:r>
      <w:r w:rsidR="00BB6835" w:rsidRPr="006F6267">
        <w:rPr>
          <w:b/>
          <w:sz w:val="26"/>
          <w:szCs w:val="26"/>
        </w:rPr>
        <w:t>приєднання до електричних мереж</w:t>
      </w:r>
      <w:r w:rsidR="002651DC" w:rsidRPr="006F6267">
        <w:rPr>
          <w:b/>
          <w:sz w:val="26"/>
          <w:szCs w:val="26"/>
        </w:rPr>
        <w:t>»</w:t>
      </w:r>
    </w:p>
    <w:p w:rsidR="00971B16" w:rsidRPr="006F6267" w:rsidRDefault="00971B16" w:rsidP="00642866">
      <w:pPr>
        <w:jc w:val="center"/>
        <w:rPr>
          <w:b/>
          <w:sz w:val="26"/>
          <w:szCs w:val="2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7"/>
        <w:gridCol w:w="8346"/>
      </w:tblGrid>
      <w:tr w:rsidR="00EA1C8A" w:rsidRPr="006F6267" w:rsidTr="00050C71">
        <w:tc>
          <w:tcPr>
            <w:tcW w:w="7621" w:type="dxa"/>
            <w:shd w:val="clear" w:color="auto" w:fill="auto"/>
          </w:tcPr>
          <w:p w:rsidR="00EA1C8A" w:rsidRPr="006F6267" w:rsidRDefault="00EA1C8A" w:rsidP="00C90716">
            <w:pPr>
              <w:jc w:val="center"/>
              <w:rPr>
                <w:sz w:val="26"/>
                <w:szCs w:val="26"/>
              </w:rPr>
            </w:pPr>
            <w:r w:rsidRPr="006F6267">
              <w:rPr>
                <w:b/>
                <w:bCs/>
                <w:sz w:val="26"/>
                <w:szCs w:val="26"/>
              </w:rPr>
              <w:t>Зміст положення (норми) чинного акта законодавства</w:t>
            </w:r>
            <w:r w:rsidRPr="006F6267">
              <w:rPr>
                <w:sz w:val="26"/>
                <w:szCs w:val="26"/>
              </w:rPr>
              <w:t xml:space="preserve"> </w:t>
            </w:r>
          </w:p>
        </w:tc>
        <w:tc>
          <w:tcPr>
            <w:tcW w:w="8363" w:type="dxa"/>
            <w:gridSpan w:val="2"/>
          </w:tcPr>
          <w:p w:rsidR="00EA1C8A" w:rsidRPr="006F6267" w:rsidRDefault="000C5A6B" w:rsidP="000C5A6B">
            <w:pPr>
              <w:jc w:val="center"/>
              <w:rPr>
                <w:sz w:val="26"/>
                <w:szCs w:val="26"/>
              </w:rPr>
            </w:pPr>
            <w:r w:rsidRPr="006F6267">
              <w:rPr>
                <w:b/>
                <w:bCs/>
                <w:sz w:val="26"/>
                <w:szCs w:val="26"/>
              </w:rPr>
              <w:t>Зміст відповідного положення (норми) проекту акта</w:t>
            </w:r>
          </w:p>
        </w:tc>
      </w:tr>
      <w:tr w:rsidR="000C5A6B" w:rsidRPr="006F6267" w:rsidTr="00050C71">
        <w:tc>
          <w:tcPr>
            <w:tcW w:w="15984" w:type="dxa"/>
            <w:gridSpan w:val="3"/>
            <w:shd w:val="clear" w:color="auto" w:fill="auto"/>
          </w:tcPr>
          <w:p w:rsidR="0074160F" w:rsidRPr="006F6267" w:rsidRDefault="000C5A6B" w:rsidP="00764A87">
            <w:pPr>
              <w:jc w:val="center"/>
              <w:rPr>
                <w:b/>
                <w:sz w:val="26"/>
                <w:szCs w:val="26"/>
              </w:rPr>
            </w:pPr>
            <w:r w:rsidRPr="006F6267">
              <w:rPr>
                <w:b/>
                <w:sz w:val="26"/>
                <w:szCs w:val="26"/>
              </w:rPr>
              <w:t>Земельний кодекс України</w:t>
            </w:r>
          </w:p>
        </w:tc>
      </w:tr>
      <w:tr w:rsidR="00EA1C8A" w:rsidRPr="006F6267" w:rsidTr="00050C71">
        <w:tc>
          <w:tcPr>
            <w:tcW w:w="7621" w:type="dxa"/>
            <w:shd w:val="clear" w:color="auto" w:fill="auto"/>
          </w:tcPr>
          <w:p w:rsidR="008F4292" w:rsidRPr="006F6267" w:rsidRDefault="008F4292" w:rsidP="00A96EA8">
            <w:pPr>
              <w:ind w:firstLine="142"/>
              <w:jc w:val="both"/>
              <w:rPr>
                <w:sz w:val="26"/>
                <w:szCs w:val="26"/>
              </w:rPr>
            </w:pPr>
          </w:p>
          <w:p w:rsidR="000C5A6B" w:rsidRPr="006F6267" w:rsidRDefault="000C5A6B" w:rsidP="00A96EA8">
            <w:pPr>
              <w:ind w:firstLine="142"/>
              <w:jc w:val="both"/>
              <w:rPr>
                <w:sz w:val="26"/>
                <w:szCs w:val="26"/>
              </w:rPr>
            </w:pPr>
            <w:r w:rsidRPr="006F6267">
              <w:rPr>
                <w:sz w:val="26"/>
                <w:szCs w:val="26"/>
              </w:rPr>
              <w:t>Стаття 123. Порядок надання земельних ділянок державної або комунальної власності у користування</w:t>
            </w:r>
          </w:p>
          <w:p w:rsidR="000C5A6B" w:rsidRPr="006F6267" w:rsidRDefault="000C5A6B" w:rsidP="00A96EA8">
            <w:pPr>
              <w:ind w:firstLine="142"/>
              <w:jc w:val="both"/>
              <w:rPr>
                <w:sz w:val="26"/>
                <w:szCs w:val="26"/>
              </w:rPr>
            </w:pPr>
            <w:r w:rsidRPr="006F6267">
              <w:rPr>
                <w:sz w:val="26"/>
                <w:szCs w:val="26"/>
              </w:rPr>
              <w:t>1.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0C5A6B" w:rsidRPr="006F6267" w:rsidRDefault="000C5A6B" w:rsidP="00A96EA8">
            <w:pPr>
              <w:ind w:firstLine="142"/>
              <w:jc w:val="both"/>
              <w:rPr>
                <w:sz w:val="26"/>
                <w:szCs w:val="26"/>
              </w:rPr>
            </w:pPr>
            <w:r w:rsidRPr="006F6267">
              <w:rPr>
                <w:sz w:val="26"/>
                <w:szCs w:val="26"/>
              </w:rPr>
              <w:t>…</w:t>
            </w:r>
          </w:p>
          <w:p w:rsidR="00EA1C8A" w:rsidRPr="006F6267" w:rsidRDefault="000C5A6B" w:rsidP="00A96EA8">
            <w:pPr>
              <w:ind w:firstLine="142"/>
              <w:jc w:val="both"/>
              <w:rPr>
                <w:sz w:val="26"/>
                <w:szCs w:val="26"/>
              </w:rPr>
            </w:pPr>
            <w:r w:rsidRPr="006F6267">
              <w:rPr>
                <w:sz w:val="26"/>
                <w:szCs w:val="26"/>
              </w:rPr>
              <w:t>3. 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9E3716" w:rsidRPr="006F6267" w:rsidRDefault="009E3716" w:rsidP="00A96EA8">
            <w:pPr>
              <w:ind w:firstLine="142"/>
              <w:jc w:val="both"/>
              <w:rPr>
                <w:sz w:val="26"/>
                <w:szCs w:val="26"/>
              </w:rPr>
            </w:pPr>
          </w:p>
          <w:p w:rsidR="009E3716" w:rsidRPr="006F6267" w:rsidRDefault="00387E04" w:rsidP="00A96EA8">
            <w:pPr>
              <w:ind w:firstLine="142"/>
              <w:jc w:val="both"/>
              <w:rPr>
                <w:b/>
                <w:sz w:val="26"/>
                <w:szCs w:val="26"/>
              </w:rPr>
            </w:pPr>
            <w:r w:rsidRPr="006F6267">
              <w:rPr>
                <w:b/>
                <w:sz w:val="26"/>
                <w:szCs w:val="26"/>
              </w:rPr>
              <w:t>в</w:t>
            </w:r>
            <w:r w:rsidR="00D14A21" w:rsidRPr="006F6267">
              <w:rPr>
                <w:b/>
                <w:sz w:val="26"/>
                <w:szCs w:val="26"/>
              </w:rPr>
              <w:t>ідсутня</w:t>
            </w:r>
          </w:p>
          <w:p w:rsidR="009E3716" w:rsidRPr="006F6267" w:rsidRDefault="009E3716" w:rsidP="00A96EA8">
            <w:pPr>
              <w:ind w:firstLine="142"/>
              <w:jc w:val="both"/>
              <w:rPr>
                <w:b/>
                <w:sz w:val="26"/>
                <w:szCs w:val="26"/>
              </w:rPr>
            </w:pPr>
          </w:p>
        </w:tc>
        <w:tc>
          <w:tcPr>
            <w:tcW w:w="8363" w:type="dxa"/>
            <w:gridSpan w:val="2"/>
            <w:shd w:val="clear" w:color="auto" w:fill="auto"/>
          </w:tcPr>
          <w:p w:rsidR="008F4292" w:rsidRPr="006F6267" w:rsidRDefault="008F4292" w:rsidP="00F919E9">
            <w:pPr>
              <w:ind w:firstLine="176"/>
              <w:jc w:val="both"/>
              <w:rPr>
                <w:sz w:val="26"/>
                <w:szCs w:val="26"/>
              </w:rPr>
            </w:pPr>
          </w:p>
          <w:p w:rsidR="00FB48C9" w:rsidRPr="006F6267" w:rsidRDefault="00FB48C9" w:rsidP="00F919E9">
            <w:pPr>
              <w:ind w:firstLine="176"/>
              <w:jc w:val="both"/>
              <w:rPr>
                <w:sz w:val="26"/>
                <w:szCs w:val="26"/>
              </w:rPr>
            </w:pPr>
            <w:r w:rsidRPr="006F6267">
              <w:rPr>
                <w:sz w:val="26"/>
                <w:szCs w:val="26"/>
              </w:rPr>
              <w:t>Стаття 123. Порядок надання земельних ділянок державної або комунальної власності у користування</w:t>
            </w:r>
          </w:p>
          <w:p w:rsidR="00FB48C9" w:rsidRPr="006F6267" w:rsidRDefault="00FB48C9" w:rsidP="00F919E9">
            <w:pPr>
              <w:ind w:firstLine="176"/>
              <w:jc w:val="both"/>
              <w:rPr>
                <w:sz w:val="26"/>
                <w:szCs w:val="26"/>
              </w:rPr>
            </w:pPr>
            <w:r w:rsidRPr="006F6267">
              <w:rPr>
                <w:sz w:val="26"/>
                <w:szCs w:val="26"/>
              </w:rPr>
              <w:t>1.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BE14D1" w:rsidRDefault="00BE14D1" w:rsidP="00F919E9">
            <w:pPr>
              <w:ind w:firstLine="176"/>
              <w:jc w:val="both"/>
              <w:rPr>
                <w:sz w:val="26"/>
                <w:szCs w:val="26"/>
              </w:rPr>
            </w:pPr>
          </w:p>
          <w:p w:rsidR="00FB48C9" w:rsidRPr="006F6267" w:rsidRDefault="00FB48C9" w:rsidP="00F919E9">
            <w:pPr>
              <w:ind w:firstLine="176"/>
              <w:jc w:val="both"/>
              <w:rPr>
                <w:sz w:val="26"/>
                <w:szCs w:val="26"/>
              </w:rPr>
            </w:pPr>
            <w:r w:rsidRPr="006F6267">
              <w:rPr>
                <w:sz w:val="26"/>
                <w:szCs w:val="26"/>
              </w:rPr>
              <w:t>…</w:t>
            </w:r>
          </w:p>
          <w:p w:rsidR="00FB48C9" w:rsidRPr="006F6267" w:rsidRDefault="00FB48C9" w:rsidP="00F919E9">
            <w:pPr>
              <w:ind w:firstLine="176"/>
              <w:jc w:val="both"/>
              <w:rPr>
                <w:sz w:val="26"/>
                <w:szCs w:val="26"/>
              </w:rPr>
            </w:pPr>
            <w:r w:rsidRPr="006F6267">
              <w:rPr>
                <w:sz w:val="26"/>
                <w:szCs w:val="26"/>
              </w:rPr>
              <w:t>3. 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9E3716" w:rsidRPr="006F6267" w:rsidRDefault="009E3716" w:rsidP="00F919E9">
            <w:pPr>
              <w:ind w:firstLine="176"/>
              <w:jc w:val="both"/>
              <w:rPr>
                <w:sz w:val="26"/>
                <w:szCs w:val="26"/>
              </w:rPr>
            </w:pPr>
          </w:p>
          <w:p w:rsidR="000C1A26" w:rsidRDefault="000C1A26" w:rsidP="00E74F6C">
            <w:pPr>
              <w:ind w:firstLine="176"/>
              <w:jc w:val="both"/>
              <w:rPr>
                <w:b/>
                <w:sz w:val="26"/>
                <w:szCs w:val="26"/>
              </w:rPr>
            </w:pPr>
          </w:p>
          <w:p w:rsidR="00BE14D1" w:rsidRPr="006F6267" w:rsidRDefault="00BE14D1" w:rsidP="00E74F6C">
            <w:pPr>
              <w:ind w:firstLine="176"/>
              <w:jc w:val="both"/>
              <w:rPr>
                <w:b/>
                <w:sz w:val="26"/>
                <w:szCs w:val="26"/>
              </w:rPr>
            </w:pPr>
          </w:p>
          <w:p w:rsidR="00EA1C8A" w:rsidRPr="006F6267" w:rsidRDefault="0047613E" w:rsidP="00E74F6C">
            <w:pPr>
              <w:ind w:firstLine="176"/>
              <w:jc w:val="both"/>
              <w:rPr>
                <w:b/>
                <w:sz w:val="26"/>
                <w:szCs w:val="26"/>
              </w:rPr>
            </w:pPr>
            <w:r w:rsidRPr="006F6267">
              <w:rPr>
                <w:b/>
                <w:sz w:val="26"/>
                <w:szCs w:val="26"/>
              </w:rPr>
              <w:t>Розроблення проекту землеустрою щодо відведення земельної ділянки для об’єктів енергетики та передачі електричної енергії, розміщення яких передбачені містобудівною документацією, може здійснюватися без отримання дозволу на розроблення проекту землеустрою.</w:t>
            </w:r>
          </w:p>
        </w:tc>
      </w:tr>
      <w:tr w:rsidR="000C5A6B" w:rsidRPr="006F6267" w:rsidTr="00050C71">
        <w:tc>
          <w:tcPr>
            <w:tcW w:w="15984" w:type="dxa"/>
            <w:gridSpan w:val="3"/>
            <w:shd w:val="clear" w:color="auto" w:fill="auto"/>
          </w:tcPr>
          <w:p w:rsidR="0074160F" w:rsidRPr="006F6267" w:rsidRDefault="000C5A6B" w:rsidP="00764A87">
            <w:pPr>
              <w:jc w:val="center"/>
              <w:rPr>
                <w:b/>
                <w:sz w:val="26"/>
                <w:szCs w:val="26"/>
              </w:rPr>
            </w:pPr>
            <w:r w:rsidRPr="006F6267">
              <w:rPr>
                <w:b/>
                <w:sz w:val="26"/>
                <w:szCs w:val="26"/>
              </w:rPr>
              <w:lastRenderedPageBreak/>
              <w:t xml:space="preserve">Закон України «Про </w:t>
            </w:r>
            <w:r w:rsidR="00177234" w:rsidRPr="006F6267">
              <w:rPr>
                <w:b/>
                <w:sz w:val="26"/>
                <w:szCs w:val="26"/>
              </w:rPr>
              <w:t>електро</w:t>
            </w:r>
            <w:r w:rsidRPr="006F6267">
              <w:rPr>
                <w:b/>
                <w:sz w:val="26"/>
                <w:szCs w:val="26"/>
              </w:rPr>
              <w:t>енергетику»</w:t>
            </w:r>
          </w:p>
        </w:tc>
      </w:tr>
      <w:tr w:rsidR="00EA1C8A" w:rsidRPr="006F6267" w:rsidTr="00050C71">
        <w:tc>
          <w:tcPr>
            <w:tcW w:w="7621" w:type="dxa"/>
            <w:shd w:val="clear" w:color="auto" w:fill="auto"/>
          </w:tcPr>
          <w:p w:rsidR="008F4292" w:rsidRPr="006F6267" w:rsidRDefault="008F4292" w:rsidP="00A96EA8">
            <w:pPr>
              <w:ind w:firstLine="142"/>
              <w:jc w:val="both"/>
              <w:rPr>
                <w:sz w:val="26"/>
                <w:szCs w:val="26"/>
              </w:rPr>
            </w:pPr>
          </w:p>
          <w:p w:rsidR="00EA1C8A" w:rsidRPr="006F6267" w:rsidRDefault="00EA1C8A" w:rsidP="00A96EA8">
            <w:pPr>
              <w:ind w:firstLine="142"/>
              <w:jc w:val="both"/>
              <w:rPr>
                <w:sz w:val="26"/>
                <w:szCs w:val="26"/>
              </w:rPr>
            </w:pPr>
            <w:r w:rsidRPr="006F6267">
              <w:rPr>
                <w:sz w:val="26"/>
                <w:szCs w:val="26"/>
              </w:rPr>
              <w:t>Стаття 1. Визначення термінів</w:t>
            </w:r>
          </w:p>
          <w:p w:rsidR="00EA1C8A" w:rsidRPr="006F6267" w:rsidRDefault="00EA1C8A" w:rsidP="00A96EA8">
            <w:pPr>
              <w:ind w:firstLine="142"/>
              <w:jc w:val="both"/>
              <w:rPr>
                <w:sz w:val="26"/>
                <w:szCs w:val="26"/>
              </w:rPr>
            </w:pPr>
            <w:r w:rsidRPr="006F6267">
              <w:rPr>
                <w:sz w:val="26"/>
                <w:szCs w:val="26"/>
              </w:rPr>
              <w:t>…</w:t>
            </w:r>
          </w:p>
          <w:p w:rsidR="004644E3" w:rsidRDefault="004644E3" w:rsidP="00A96EA8">
            <w:pPr>
              <w:ind w:firstLine="142"/>
              <w:jc w:val="both"/>
              <w:rPr>
                <w:b/>
                <w:sz w:val="26"/>
                <w:szCs w:val="26"/>
              </w:rPr>
            </w:pPr>
          </w:p>
          <w:p w:rsidR="00BE14D1" w:rsidRPr="006F6267" w:rsidRDefault="00BE14D1" w:rsidP="00A96EA8">
            <w:pPr>
              <w:ind w:firstLine="142"/>
              <w:jc w:val="both"/>
              <w:rPr>
                <w:b/>
                <w:sz w:val="26"/>
                <w:szCs w:val="26"/>
              </w:rPr>
            </w:pPr>
          </w:p>
          <w:p w:rsidR="00EA1C8A" w:rsidRPr="006F6267" w:rsidRDefault="00EA1C8A" w:rsidP="00A96EA8">
            <w:pPr>
              <w:ind w:firstLine="142"/>
              <w:jc w:val="both"/>
              <w:rPr>
                <w:b/>
                <w:sz w:val="26"/>
                <w:szCs w:val="26"/>
              </w:rPr>
            </w:pPr>
            <w:r w:rsidRPr="006F6267">
              <w:rPr>
                <w:sz w:val="26"/>
                <w:szCs w:val="26"/>
              </w:rPr>
              <w:t xml:space="preserve">місце приєднання (точка приєднання) електроустановки – </w:t>
            </w:r>
            <w:r w:rsidRPr="006F6267">
              <w:rPr>
                <w:b/>
                <w:sz w:val="26"/>
                <w:szCs w:val="26"/>
              </w:rPr>
              <w:t>існуюча або запроектована межа балансової належності електроустановок споживача або замовника;</w:t>
            </w:r>
          </w:p>
          <w:p w:rsidR="00EA1C8A" w:rsidRPr="006F6267" w:rsidRDefault="00EA1C8A" w:rsidP="00A96EA8">
            <w:pPr>
              <w:ind w:firstLine="142"/>
              <w:rPr>
                <w:sz w:val="26"/>
                <w:szCs w:val="26"/>
              </w:rPr>
            </w:pPr>
          </w:p>
          <w:p w:rsidR="004644E3" w:rsidRPr="006F6267" w:rsidRDefault="004644E3" w:rsidP="00A96EA8">
            <w:pPr>
              <w:ind w:firstLine="142"/>
              <w:rPr>
                <w:sz w:val="26"/>
                <w:szCs w:val="26"/>
              </w:rPr>
            </w:pPr>
          </w:p>
          <w:p w:rsidR="004644E3" w:rsidRPr="006F6267" w:rsidRDefault="004644E3" w:rsidP="004644E3">
            <w:pPr>
              <w:ind w:firstLine="142"/>
              <w:jc w:val="both"/>
              <w:rPr>
                <w:color w:val="000000"/>
                <w:sz w:val="26"/>
                <w:szCs w:val="26"/>
                <w:shd w:val="clear" w:color="auto" w:fill="FFFFFF"/>
              </w:rPr>
            </w:pPr>
          </w:p>
          <w:p w:rsidR="00571767" w:rsidRPr="006F6267" w:rsidRDefault="00571767" w:rsidP="004644E3">
            <w:pPr>
              <w:ind w:firstLine="142"/>
              <w:jc w:val="both"/>
              <w:rPr>
                <w:color w:val="000000"/>
                <w:sz w:val="26"/>
                <w:szCs w:val="26"/>
                <w:shd w:val="clear" w:color="auto" w:fill="FFFFFF"/>
              </w:rPr>
            </w:pPr>
          </w:p>
          <w:p w:rsidR="00571767" w:rsidRPr="006F6267" w:rsidRDefault="00571767" w:rsidP="004644E3">
            <w:pPr>
              <w:ind w:firstLine="142"/>
              <w:jc w:val="both"/>
              <w:rPr>
                <w:color w:val="000000"/>
                <w:sz w:val="26"/>
                <w:szCs w:val="26"/>
                <w:shd w:val="clear" w:color="auto" w:fill="FFFFFF"/>
              </w:rPr>
            </w:pPr>
            <w:r w:rsidRPr="006F6267">
              <w:rPr>
                <w:color w:val="000000"/>
                <w:sz w:val="26"/>
                <w:szCs w:val="26"/>
                <w:shd w:val="clear" w:color="auto" w:fill="FFFFFF"/>
              </w:rPr>
              <w:t>…</w:t>
            </w:r>
          </w:p>
          <w:p w:rsidR="008419EF" w:rsidRDefault="008419EF" w:rsidP="004644E3">
            <w:pPr>
              <w:ind w:firstLine="142"/>
              <w:jc w:val="both"/>
              <w:rPr>
                <w:color w:val="000000"/>
                <w:sz w:val="26"/>
                <w:szCs w:val="26"/>
                <w:shd w:val="clear" w:color="auto" w:fill="FFFFFF"/>
              </w:rPr>
            </w:pPr>
          </w:p>
          <w:p w:rsidR="004644E3" w:rsidRPr="006F6267" w:rsidRDefault="004644E3" w:rsidP="004644E3">
            <w:pPr>
              <w:ind w:firstLine="142"/>
              <w:jc w:val="both"/>
              <w:rPr>
                <w:b/>
                <w:color w:val="000000"/>
                <w:sz w:val="26"/>
                <w:szCs w:val="26"/>
                <w:shd w:val="clear" w:color="auto" w:fill="FFFFFF"/>
              </w:rPr>
            </w:pPr>
            <w:r w:rsidRPr="006F6267">
              <w:rPr>
                <w:color w:val="000000"/>
                <w:sz w:val="26"/>
                <w:szCs w:val="26"/>
                <w:shd w:val="clear" w:color="auto" w:fill="FFFFFF"/>
              </w:rPr>
              <w:t xml:space="preserve">ставка плати за стандартне приєднання - </w:t>
            </w:r>
            <w:r w:rsidRPr="006F6267">
              <w:rPr>
                <w:b/>
                <w:color w:val="000000"/>
                <w:sz w:val="26"/>
                <w:szCs w:val="26"/>
                <w:shd w:val="clear" w:color="auto" w:fill="FFFFFF"/>
              </w:rPr>
              <w:t>середнє</w:t>
            </w:r>
            <w:r w:rsidRPr="006F6267">
              <w:rPr>
                <w:color w:val="000000"/>
                <w:sz w:val="26"/>
                <w:szCs w:val="26"/>
                <w:shd w:val="clear" w:color="auto" w:fill="FFFFFF"/>
              </w:rPr>
              <w:t xml:space="preserve"> значення вартості послуги з приєднання 1 кВт потужності, що встановлюється за диференційованими ступенями потужності на певний строк для Автономної Республіки Крим, областей, міст Києва та Севастополя </w:t>
            </w:r>
            <w:r w:rsidRPr="006F6267">
              <w:rPr>
                <w:b/>
                <w:color w:val="000000"/>
                <w:sz w:val="26"/>
                <w:szCs w:val="26"/>
                <w:shd w:val="clear" w:color="auto" w:fill="FFFFFF"/>
              </w:rPr>
              <w:t>згідно з методикою розрахунку плати за приєднання електроустановок до електричних мереж;</w:t>
            </w:r>
          </w:p>
          <w:p w:rsidR="00314857" w:rsidRPr="006F6267" w:rsidRDefault="00314857" w:rsidP="004644E3">
            <w:pPr>
              <w:ind w:firstLine="142"/>
              <w:jc w:val="both"/>
              <w:rPr>
                <w:sz w:val="26"/>
                <w:szCs w:val="26"/>
              </w:rPr>
            </w:pPr>
          </w:p>
          <w:p w:rsidR="004644E3" w:rsidRPr="006F6267" w:rsidRDefault="004644E3" w:rsidP="004644E3">
            <w:pPr>
              <w:ind w:firstLine="142"/>
              <w:jc w:val="both"/>
              <w:rPr>
                <w:sz w:val="26"/>
                <w:szCs w:val="26"/>
              </w:rPr>
            </w:pPr>
            <w:r w:rsidRPr="006F6267">
              <w:rPr>
                <w:sz w:val="26"/>
                <w:szCs w:val="26"/>
              </w:rPr>
              <w:t xml:space="preserve">стандартне приєднання – приєднання </w:t>
            </w:r>
            <w:r w:rsidRPr="006F6267">
              <w:rPr>
                <w:b/>
                <w:sz w:val="26"/>
                <w:szCs w:val="26"/>
              </w:rPr>
              <w:t xml:space="preserve">електроустановки (крім електроустановок, призначених для виробництва електричної енергії) замовника до діючих мереж електропередавальної організації на відстань, що не перевищує 300 метрів по прямій лінії від </w:t>
            </w:r>
            <w:r w:rsidRPr="006F6267">
              <w:rPr>
                <w:b/>
                <w:bCs/>
                <w:sz w:val="26"/>
                <w:szCs w:val="26"/>
              </w:rPr>
              <w:t>місця забезпечення потужності</w:t>
            </w:r>
            <w:r w:rsidRPr="006F6267">
              <w:rPr>
                <w:b/>
                <w:sz w:val="26"/>
                <w:szCs w:val="26"/>
              </w:rPr>
              <w:t xml:space="preserve"> до місця приєднання,</w:t>
            </w:r>
            <w:r w:rsidRPr="006F6267">
              <w:rPr>
                <w:sz w:val="26"/>
                <w:szCs w:val="26"/>
              </w:rPr>
              <w:t xml:space="preserve"> яке диференціюється за ступенями потужності: перший ступінь – до 16 кВт включно; другий ступінь – від 16 кВт до 50 кВт включно; третій ступінь – від 50 кВт до 160 кВт включно;</w:t>
            </w:r>
          </w:p>
          <w:p w:rsidR="004644E3" w:rsidRPr="006F6267" w:rsidRDefault="004644E3" w:rsidP="00A96EA8">
            <w:pPr>
              <w:ind w:firstLine="142"/>
              <w:rPr>
                <w:sz w:val="26"/>
                <w:szCs w:val="26"/>
              </w:rPr>
            </w:pPr>
          </w:p>
        </w:tc>
        <w:tc>
          <w:tcPr>
            <w:tcW w:w="8363" w:type="dxa"/>
            <w:gridSpan w:val="2"/>
          </w:tcPr>
          <w:p w:rsidR="008F4292" w:rsidRPr="006F6267" w:rsidRDefault="008F4292" w:rsidP="00F919E9">
            <w:pPr>
              <w:ind w:firstLine="176"/>
              <w:jc w:val="both"/>
              <w:rPr>
                <w:sz w:val="26"/>
                <w:szCs w:val="26"/>
              </w:rPr>
            </w:pPr>
          </w:p>
          <w:p w:rsidR="00EA1C8A" w:rsidRPr="006F6267" w:rsidRDefault="00EA1C8A" w:rsidP="00F919E9">
            <w:pPr>
              <w:ind w:firstLine="176"/>
              <w:jc w:val="both"/>
              <w:rPr>
                <w:sz w:val="26"/>
                <w:szCs w:val="26"/>
              </w:rPr>
            </w:pPr>
            <w:r w:rsidRPr="006F6267">
              <w:rPr>
                <w:sz w:val="26"/>
                <w:szCs w:val="26"/>
              </w:rPr>
              <w:t>Стаття 1. Визначення термінів</w:t>
            </w:r>
          </w:p>
          <w:p w:rsidR="00EA1C8A" w:rsidRPr="006F6267" w:rsidRDefault="00EA1C8A" w:rsidP="00F919E9">
            <w:pPr>
              <w:ind w:firstLine="176"/>
              <w:jc w:val="both"/>
              <w:rPr>
                <w:sz w:val="26"/>
                <w:szCs w:val="26"/>
              </w:rPr>
            </w:pPr>
            <w:r w:rsidRPr="006F6267">
              <w:rPr>
                <w:sz w:val="26"/>
                <w:szCs w:val="26"/>
              </w:rPr>
              <w:t>…</w:t>
            </w:r>
          </w:p>
          <w:p w:rsidR="00EA1C8A" w:rsidRPr="006F6267" w:rsidRDefault="00EA1C8A" w:rsidP="00F919E9">
            <w:pPr>
              <w:ind w:firstLine="176"/>
              <w:jc w:val="both"/>
              <w:rPr>
                <w:b/>
                <w:sz w:val="26"/>
                <w:szCs w:val="26"/>
              </w:rPr>
            </w:pPr>
            <w:bookmarkStart w:id="0" w:name="n42"/>
            <w:bookmarkEnd w:id="0"/>
          </w:p>
          <w:p w:rsidR="00571767" w:rsidRPr="006F6267" w:rsidRDefault="00571767" w:rsidP="00571767">
            <w:pPr>
              <w:pStyle w:val="aa"/>
              <w:rPr>
                <w:rFonts w:ascii="Times New Roman" w:hAnsi="Times New Roman"/>
                <w:szCs w:val="26"/>
              </w:rPr>
            </w:pPr>
            <w:r w:rsidRPr="006F6267">
              <w:rPr>
                <w:rFonts w:ascii="Times New Roman" w:hAnsi="Times New Roman"/>
                <w:szCs w:val="26"/>
              </w:rPr>
              <w:t xml:space="preserve">місце приєднання (точка приєднання) електроустановки — </w:t>
            </w:r>
            <w:r w:rsidRPr="006F6267">
              <w:rPr>
                <w:rFonts w:ascii="Times New Roman" w:hAnsi="Times New Roman"/>
                <w:b/>
                <w:szCs w:val="26"/>
              </w:rPr>
              <w:t>місце фізичного з’єднання (існуюче або запроектоване) електроустановок споживача чи замовника з електричними мережами електропередавальної організації, яке розташовується на межі земельної ділянки споживача чи замовника або за його згодою на території його земельної ділянки, або на межі балансової належності електроустановок споживача чи замовника</w:t>
            </w:r>
            <w:r w:rsidRPr="006F6267">
              <w:rPr>
                <w:rFonts w:ascii="Times New Roman" w:hAnsi="Times New Roman"/>
                <w:szCs w:val="26"/>
              </w:rPr>
              <w:t>;</w:t>
            </w:r>
          </w:p>
          <w:p w:rsidR="00EA1C8A" w:rsidRPr="006F6267" w:rsidRDefault="00EA1C8A" w:rsidP="004644E3">
            <w:pPr>
              <w:jc w:val="both"/>
              <w:rPr>
                <w:b/>
                <w:sz w:val="26"/>
                <w:szCs w:val="26"/>
              </w:rPr>
            </w:pPr>
            <w:r w:rsidRPr="006F6267">
              <w:rPr>
                <w:b/>
                <w:sz w:val="26"/>
                <w:szCs w:val="26"/>
              </w:rPr>
              <w:t>.</w:t>
            </w:r>
          </w:p>
          <w:p w:rsidR="004644E3" w:rsidRPr="00BE14D1" w:rsidRDefault="00571767" w:rsidP="004644E3">
            <w:pPr>
              <w:jc w:val="both"/>
              <w:rPr>
                <w:sz w:val="26"/>
                <w:szCs w:val="26"/>
              </w:rPr>
            </w:pPr>
            <w:r w:rsidRPr="00BE14D1">
              <w:rPr>
                <w:sz w:val="26"/>
                <w:szCs w:val="26"/>
              </w:rPr>
              <w:t>…</w:t>
            </w:r>
          </w:p>
          <w:p w:rsidR="00314857" w:rsidRPr="006F6267" w:rsidRDefault="00314857" w:rsidP="00314857">
            <w:pPr>
              <w:pStyle w:val="aa"/>
              <w:rPr>
                <w:rFonts w:ascii="Times New Roman" w:hAnsi="Times New Roman"/>
                <w:szCs w:val="26"/>
              </w:rPr>
            </w:pPr>
            <w:r w:rsidRPr="006F6267">
              <w:rPr>
                <w:rFonts w:ascii="Times New Roman" w:hAnsi="Times New Roman"/>
                <w:szCs w:val="26"/>
              </w:rPr>
              <w:t>ставка плати за стандартне приєднання — значення вартості послуги приєднання 1 кВт потужності, що встановлюється за диференційованими ступенями потужності на певний строк для Автономної Республіки Крим, областей, міст Києва та Севастополя;</w:t>
            </w:r>
          </w:p>
          <w:p w:rsidR="008419EF" w:rsidRDefault="008419EF" w:rsidP="00314857">
            <w:pPr>
              <w:ind w:firstLine="176"/>
              <w:jc w:val="both"/>
              <w:rPr>
                <w:sz w:val="26"/>
                <w:szCs w:val="26"/>
              </w:rPr>
            </w:pPr>
          </w:p>
          <w:p w:rsidR="008419EF" w:rsidRDefault="008419EF" w:rsidP="00314857">
            <w:pPr>
              <w:ind w:firstLine="176"/>
              <w:jc w:val="both"/>
              <w:rPr>
                <w:sz w:val="26"/>
                <w:szCs w:val="26"/>
              </w:rPr>
            </w:pPr>
          </w:p>
          <w:p w:rsidR="008419EF" w:rsidRDefault="008419EF" w:rsidP="00314857">
            <w:pPr>
              <w:ind w:firstLine="176"/>
              <w:jc w:val="both"/>
              <w:rPr>
                <w:sz w:val="26"/>
                <w:szCs w:val="26"/>
              </w:rPr>
            </w:pPr>
          </w:p>
          <w:p w:rsidR="004644E3" w:rsidRPr="006F6267" w:rsidRDefault="00314857" w:rsidP="00314857">
            <w:pPr>
              <w:ind w:firstLine="176"/>
              <w:jc w:val="both"/>
              <w:rPr>
                <w:b/>
                <w:sz w:val="26"/>
                <w:szCs w:val="26"/>
              </w:rPr>
            </w:pPr>
            <w:r w:rsidRPr="006F6267">
              <w:rPr>
                <w:sz w:val="26"/>
                <w:szCs w:val="26"/>
              </w:rPr>
              <w:t xml:space="preserve">стандартне приєднання — </w:t>
            </w:r>
            <w:r w:rsidRPr="008419EF">
              <w:rPr>
                <w:b/>
                <w:sz w:val="26"/>
                <w:szCs w:val="26"/>
              </w:rPr>
              <w:t xml:space="preserve">приєднання електроустановки замовника до електричних мереж електропередавальної організації, що не перевищує 300 метрів по прямій лінії від місця забезпечення потужності до місця приєднання, яке диференціюється за ступенями потужності: перший ступінь — до 16 кВт включно; другий </w:t>
            </w:r>
            <w:r w:rsidR="00777903" w:rsidRPr="00777903">
              <w:rPr>
                <w:b/>
                <w:sz w:val="26"/>
                <w:szCs w:val="26"/>
              </w:rPr>
              <w:br/>
            </w:r>
            <w:r w:rsidRPr="008419EF">
              <w:rPr>
                <w:b/>
                <w:sz w:val="26"/>
                <w:szCs w:val="26"/>
              </w:rPr>
              <w:t>ступінь — від 16 кВт до 50 кВт включно; третій ступінь — від 50 кВт до 160 кВт включно</w:t>
            </w:r>
            <w:r w:rsidRPr="006F6267">
              <w:rPr>
                <w:sz w:val="26"/>
                <w:szCs w:val="26"/>
              </w:rPr>
              <w:t>;</w:t>
            </w:r>
          </w:p>
          <w:p w:rsidR="00EA1C8A" w:rsidRPr="006F6267" w:rsidRDefault="00EA1C8A" w:rsidP="00F919E9">
            <w:pPr>
              <w:ind w:firstLine="176"/>
              <w:jc w:val="both"/>
              <w:rPr>
                <w:sz w:val="26"/>
                <w:szCs w:val="26"/>
              </w:rPr>
            </w:pPr>
          </w:p>
        </w:tc>
      </w:tr>
      <w:tr w:rsidR="00EA1C8A" w:rsidRPr="006F6267" w:rsidTr="00050C71">
        <w:tc>
          <w:tcPr>
            <w:tcW w:w="7621" w:type="dxa"/>
            <w:shd w:val="clear" w:color="auto" w:fill="auto"/>
          </w:tcPr>
          <w:p w:rsidR="00F919E9" w:rsidRPr="006F6267" w:rsidRDefault="00F919E9" w:rsidP="00A96EA8">
            <w:pPr>
              <w:ind w:firstLine="142"/>
              <w:rPr>
                <w:sz w:val="26"/>
                <w:szCs w:val="26"/>
              </w:rPr>
            </w:pPr>
          </w:p>
          <w:p w:rsidR="00340A73" w:rsidRPr="006F6267" w:rsidRDefault="00340A73" w:rsidP="00A96EA8">
            <w:pPr>
              <w:ind w:firstLine="142"/>
              <w:jc w:val="both"/>
              <w:rPr>
                <w:b/>
                <w:sz w:val="26"/>
                <w:szCs w:val="26"/>
              </w:rPr>
            </w:pPr>
          </w:p>
          <w:p w:rsidR="006D7EAC" w:rsidRPr="006F6267" w:rsidRDefault="006D7EAC" w:rsidP="00A96EA8">
            <w:pPr>
              <w:ind w:firstLine="142"/>
              <w:jc w:val="both"/>
              <w:rPr>
                <w:b/>
                <w:sz w:val="26"/>
                <w:szCs w:val="26"/>
              </w:rPr>
            </w:pPr>
            <w:r w:rsidRPr="006F6267">
              <w:rPr>
                <w:b/>
                <w:sz w:val="26"/>
                <w:szCs w:val="26"/>
              </w:rPr>
              <w:lastRenderedPageBreak/>
              <w:t>відсутн</w:t>
            </w:r>
            <w:r w:rsidR="00340A73" w:rsidRPr="006F6267">
              <w:rPr>
                <w:b/>
                <w:sz w:val="26"/>
                <w:szCs w:val="26"/>
              </w:rPr>
              <w:t>ій</w:t>
            </w:r>
          </w:p>
          <w:p w:rsidR="006D7EAC" w:rsidRPr="006F6267" w:rsidRDefault="006D7EAC" w:rsidP="00A96EA8">
            <w:pPr>
              <w:tabs>
                <w:tab w:val="left" w:pos="915"/>
              </w:tabs>
              <w:ind w:firstLine="142"/>
              <w:rPr>
                <w:sz w:val="26"/>
                <w:szCs w:val="26"/>
              </w:rPr>
            </w:pPr>
          </w:p>
          <w:p w:rsidR="006D7EAC" w:rsidRPr="006F6267" w:rsidRDefault="006D7EAC" w:rsidP="00A96EA8">
            <w:pPr>
              <w:ind w:firstLine="142"/>
              <w:rPr>
                <w:sz w:val="26"/>
                <w:szCs w:val="26"/>
              </w:rPr>
            </w:pPr>
          </w:p>
          <w:p w:rsidR="006D7EAC" w:rsidRPr="006F6267" w:rsidRDefault="006D7EAC" w:rsidP="00A96EA8">
            <w:pPr>
              <w:ind w:firstLine="142"/>
              <w:rPr>
                <w:sz w:val="26"/>
                <w:szCs w:val="26"/>
              </w:rPr>
            </w:pPr>
          </w:p>
          <w:p w:rsidR="00340A73" w:rsidRPr="006F6267" w:rsidRDefault="00340A73" w:rsidP="00A96EA8">
            <w:pPr>
              <w:ind w:firstLine="142"/>
              <w:jc w:val="both"/>
              <w:rPr>
                <w:b/>
                <w:sz w:val="26"/>
                <w:szCs w:val="26"/>
              </w:rPr>
            </w:pPr>
          </w:p>
          <w:p w:rsidR="006D7EAC" w:rsidRPr="006F6267" w:rsidRDefault="006D7EAC" w:rsidP="00A96EA8">
            <w:pPr>
              <w:ind w:firstLine="142"/>
              <w:jc w:val="both"/>
              <w:rPr>
                <w:b/>
                <w:sz w:val="26"/>
                <w:szCs w:val="26"/>
              </w:rPr>
            </w:pPr>
            <w:r w:rsidRPr="006F6267">
              <w:rPr>
                <w:b/>
                <w:sz w:val="26"/>
                <w:szCs w:val="26"/>
              </w:rPr>
              <w:t>відсутн</w:t>
            </w:r>
            <w:r w:rsidR="00340A73" w:rsidRPr="006F6267">
              <w:rPr>
                <w:b/>
                <w:sz w:val="26"/>
                <w:szCs w:val="26"/>
              </w:rPr>
              <w:t>ій</w:t>
            </w:r>
          </w:p>
          <w:p w:rsidR="006D7EAC" w:rsidRPr="006F6267" w:rsidRDefault="006D7EAC" w:rsidP="00A96EA8">
            <w:pPr>
              <w:tabs>
                <w:tab w:val="left" w:pos="1290"/>
              </w:tabs>
              <w:ind w:firstLine="142"/>
              <w:rPr>
                <w:sz w:val="26"/>
                <w:szCs w:val="26"/>
              </w:rPr>
            </w:pPr>
          </w:p>
          <w:p w:rsidR="006D7EAC" w:rsidRPr="006F6267" w:rsidRDefault="006D7EAC" w:rsidP="00A96EA8">
            <w:pPr>
              <w:ind w:firstLine="142"/>
              <w:rPr>
                <w:sz w:val="26"/>
                <w:szCs w:val="26"/>
              </w:rPr>
            </w:pPr>
          </w:p>
          <w:p w:rsidR="006D7EAC" w:rsidRPr="006F6267" w:rsidRDefault="006D7EAC" w:rsidP="00A96EA8">
            <w:pPr>
              <w:ind w:firstLine="142"/>
              <w:rPr>
                <w:sz w:val="26"/>
                <w:szCs w:val="26"/>
              </w:rPr>
            </w:pPr>
          </w:p>
          <w:p w:rsidR="00340A73" w:rsidRPr="006F6267" w:rsidRDefault="00340A73" w:rsidP="00A96EA8">
            <w:pPr>
              <w:ind w:firstLine="142"/>
              <w:jc w:val="both"/>
              <w:rPr>
                <w:b/>
                <w:sz w:val="26"/>
                <w:szCs w:val="26"/>
              </w:rPr>
            </w:pPr>
          </w:p>
          <w:p w:rsidR="00340A73" w:rsidRPr="006F6267" w:rsidRDefault="00340A73" w:rsidP="00A96EA8">
            <w:pPr>
              <w:ind w:firstLine="142"/>
              <w:jc w:val="both"/>
              <w:rPr>
                <w:b/>
                <w:sz w:val="26"/>
                <w:szCs w:val="26"/>
              </w:rPr>
            </w:pPr>
          </w:p>
          <w:p w:rsidR="006D7EAC" w:rsidRPr="006F6267" w:rsidRDefault="006D7EAC" w:rsidP="00A96EA8">
            <w:pPr>
              <w:ind w:firstLine="142"/>
              <w:jc w:val="both"/>
              <w:rPr>
                <w:b/>
                <w:sz w:val="26"/>
                <w:szCs w:val="26"/>
              </w:rPr>
            </w:pPr>
            <w:r w:rsidRPr="006F6267">
              <w:rPr>
                <w:b/>
                <w:sz w:val="26"/>
                <w:szCs w:val="26"/>
              </w:rPr>
              <w:t>відсутн</w:t>
            </w:r>
            <w:r w:rsidR="00340A73" w:rsidRPr="006F6267">
              <w:rPr>
                <w:b/>
                <w:sz w:val="26"/>
                <w:szCs w:val="26"/>
              </w:rPr>
              <w:t>ій</w:t>
            </w:r>
          </w:p>
          <w:p w:rsidR="006D7EAC" w:rsidRPr="006F6267" w:rsidRDefault="006D7EAC" w:rsidP="00A96EA8">
            <w:pPr>
              <w:ind w:firstLine="142"/>
              <w:jc w:val="both"/>
              <w:rPr>
                <w:b/>
                <w:sz w:val="26"/>
                <w:szCs w:val="26"/>
              </w:rPr>
            </w:pPr>
          </w:p>
          <w:p w:rsidR="00340A73" w:rsidRPr="006F6267" w:rsidRDefault="00340A73" w:rsidP="00340A73">
            <w:pPr>
              <w:ind w:firstLine="142"/>
              <w:jc w:val="both"/>
              <w:rPr>
                <w:b/>
                <w:sz w:val="26"/>
                <w:szCs w:val="26"/>
              </w:rPr>
            </w:pPr>
          </w:p>
          <w:p w:rsidR="00340A73" w:rsidRPr="006F6267" w:rsidRDefault="00340A73" w:rsidP="00340A73">
            <w:pPr>
              <w:ind w:firstLine="142"/>
              <w:jc w:val="both"/>
              <w:rPr>
                <w:b/>
                <w:sz w:val="26"/>
                <w:szCs w:val="26"/>
              </w:rPr>
            </w:pPr>
          </w:p>
          <w:p w:rsidR="00340A73" w:rsidRPr="006F6267" w:rsidRDefault="00340A73" w:rsidP="00340A73">
            <w:pPr>
              <w:ind w:firstLine="142"/>
              <w:jc w:val="both"/>
              <w:rPr>
                <w:b/>
                <w:sz w:val="26"/>
                <w:szCs w:val="26"/>
              </w:rPr>
            </w:pPr>
          </w:p>
          <w:p w:rsidR="00340A73" w:rsidRPr="006F6267" w:rsidRDefault="00340A73" w:rsidP="00340A73">
            <w:pPr>
              <w:ind w:firstLine="142"/>
              <w:jc w:val="both"/>
              <w:rPr>
                <w:b/>
                <w:sz w:val="26"/>
                <w:szCs w:val="26"/>
              </w:rPr>
            </w:pPr>
          </w:p>
          <w:p w:rsidR="00340A73" w:rsidRPr="006F6267" w:rsidRDefault="00340A73" w:rsidP="00340A73">
            <w:pPr>
              <w:ind w:firstLine="142"/>
              <w:jc w:val="both"/>
              <w:rPr>
                <w:b/>
                <w:sz w:val="26"/>
                <w:szCs w:val="26"/>
              </w:rPr>
            </w:pPr>
            <w:r w:rsidRPr="006F6267">
              <w:rPr>
                <w:b/>
                <w:sz w:val="26"/>
                <w:szCs w:val="26"/>
              </w:rPr>
              <w:t>відсутній</w:t>
            </w:r>
          </w:p>
          <w:p w:rsidR="006D7EAC" w:rsidRPr="006F6267" w:rsidRDefault="006D7EAC" w:rsidP="00A96EA8">
            <w:pPr>
              <w:ind w:firstLine="142"/>
              <w:jc w:val="both"/>
              <w:rPr>
                <w:b/>
                <w:sz w:val="26"/>
                <w:szCs w:val="26"/>
              </w:rPr>
            </w:pPr>
          </w:p>
          <w:p w:rsidR="00EA1C8A" w:rsidRPr="006F6267" w:rsidRDefault="00EA1C8A" w:rsidP="00A96EA8">
            <w:pPr>
              <w:tabs>
                <w:tab w:val="left" w:pos="1080"/>
              </w:tabs>
              <w:ind w:firstLine="142"/>
              <w:rPr>
                <w:sz w:val="26"/>
                <w:szCs w:val="26"/>
              </w:rPr>
            </w:pPr>
          </w:p>
        </w:tc>
        <w:tc>
          <w:tcPr>
            <w:tcW w:w="8363" w:type="dxa"/>
            <w:gridSpan w:val="2"/>
          </w:tcPr>
          <w:p w:rsidR="006A6846" w:rsidRPr="006F6267" w:rsidRDefault="006A6846" w:rsidP="00F919E9">
            <w:pPr>
              <w:ind w:firstLine="176"/>
              <w:jc w:val="both"/>
              <w:rPr>
                <w:b/>
                <w:sz w:val="26"/>
                <w:szCs w:val="26"/>
              </w:rPr>
            </w:pPr>
          </w:p>
          <w:p w:rsidR="00340A73" w:rsidRPr="006F6267" w:rsidRDefault="00340A73" w:rsidP="00340A73">
            <w:pPr>
              <w:pStyle w:val="aa"/>
              <w:rPr>
                <w:rFonts w:ascii="Times New Roman" w:hAnsi="Times New Roman"/>
                <w:b/>
                <w:szCs w:val="26"/>
              </w:rPr>
            </w:pPr>
            <w:r w:rsidRPr="006F6267">
              <w:rPr>
                <w:rFonts w:ascii="Times New Roman" w:hAnsi="Times New Roman"/>
                <w:b/>
                <w:szCs w:val="26"/>
              </w:rPr>
              <w:t xml:space="preserve">замовник — фізична особа або суб’єкт господарської </w:t>
            </w:r>
            <w:r w:rsidRPr="006F6267">
              <w:rPr>
                <w:rFonts w:ascii="Times New Roman" w:hAnsi="Times New Roman"/>
                <w:b/>
                <w:szCs w:val="26"/>
              </w:rPr>
              <w:lastRenderedPageBreak/>
              <w:t>діяльності, яка (який) має намір приєднатися до електричних мереж з метою використання електричної енергії для власних побутових чи виробничих потреб;</w:t>
            </w:r>
          </w:p>
          <w:p w:rsidR="00340A73" w:rsidRPr="006F6267" w:rsidRDefault="00340A73" w:rsidP="00340A73">
            <w:pPr>
              <w:pStyle w:val="aa"/>
              <w:rPr>
                <w:rFonts w:ascii="Times New Roman" w:hAnsi="Times New Roman"/>
                <w:b/>
                <w:szCs w:val="26"/>
              </w:rPr>
            </w:pPr>
            <w:r w:rsidRPr="006F6267">
              <w:rPr>
                <w:rFonts w:ascii="Times New Roman" w:hAnsi="Times New Roman"/>
                <w:b/>
                <w:szCs w:val="26"/>
              </w:rPr>
              <w:t>нестандартне приєднання — приєднання до мереж електропередавальної організації, яке не підпадає під параметри стандартного;</w:t>
            </w:r>
          </w:p>
          <w:p w:rsidR="00340A73" w:rsidRPr="006F6267" w:rsidRDefault="00340A73" w:rsidP="00340A73">
            <w:pPr>
              <w:pStyle w:val="aa"/>
              <w:rPr>
                <w:rFonts w:ascii="Times New Roman" w:hAnsi="Times New Roman"/>
                <w:b/>
                <w:szCs w:val="26"/>
              </w:rPr>
            </w:pPr>
            <w:r w:rsidRPr="006F6267">
              <w:rPr>
                <w:rFonts w:ascii="Times New Roman" w:hAnsi="Times New Roman"/>
                <w:b/>
                <w:szCs w:val="26"/>
              </w:rPr>
              <w:t>територія електрифікації (електрифікована територія) – територія, передбачена у містобудівній документації, на якій розташовано (запроектовано) електричні (повітряні чи кабельні) мережі, підстанції, розподільчі пристрої, які забезпечують можливість підключення замовника до електричних мереж на відстані до 300 метрів по прямій лінії від джерел живлення (трансформаторні підстанції, розподільчі пункти, підстанції) мереж електропередавальної організації до місця приєднання електроустановок замовника.</w:t>
            </w:r>
          </w:p>
          <w:p w:rsidR="00D14A21" w:rsidRPr="006F6267" w:rsidRDefault="00340A73" w:rsidP="00340A73">
            <w:pPr>
              <w:ind w:firstLine="176"/>
              <w:jc w:val="both"/>
              <w:rPr>
                <w:b/>
                <w:sz w:val="26"/>
                <w:szCs w:val="26"/>
              </w:rPr>
            </w:pPr>
            <w:r w:rsidRPr="006F6267">
              <w:rPr>
                <w:b/>
                <w:sz w:val="26"/>
                <w:szCs w:val="26"/>
              </w:rPr>
              <w:t>Інші терміни, що використовуються у цьому Законі, вживаються у значенні, встановленому Законами України “Про архітектурну діяльність”, “Про регулювання містобудівної діяльності”.</w:t>
            </w:r>
          </w:p>
        </w:tc>
      </w:tr>
      <w:tr w:rsidR="00EA1C8A" w:rsidRPr="006F6267" w:rsidTr="003758B6">
        <w:trPr>
          <w:trHeight w:val="834"/>
        </w:trPr>
        <w:tc>
          <w:tcPr>
            <w:tcW w:w="7621" w:type="dxa"/>
            <w:shd w:val="clear" w:color="auto" w:fill="auto"/>
          </w:tcPr>
          <w:p w:rsidR="00EA1C8A" w:rsidRPr="006F6267" w:rsidRDefault="00EA1C8A" w:rsidP="0072068F">
            <w:pPr>
              <w:ind w:firstLine="142"/>
              <w:jc w:val="both"/>
              <w:rPr>
                <w:sz w:val="26"/>
                <w:szCs w:val="26"/>
              </w:rPr>
            </w:pPr>
          </w:p>
        </w:tc>
        <w:tc>
          <w:tcPr>
            <w:tcW w:w="8363" w:type="dxa"/>
            <w:gridSpan w:val="2"/>
          </w:tcPr>
          <w:p w:rsidR="00EA1C8A" w:rsidRPr="006F6267" w:rsidRDefault="00EA1C8A" w:rsidP="00283D91">
            <w:pPr>
              <w:ind w:firstLine="176"/>
              <w:jc w:val="both"/>
              <w:rPr>
                <w:b/>
                <w:sz w:val="26"/>
                <w:szCs w:val="26"/>
              </w:rPr>
            </w:pPr>
          </w:p>
        </w:tc>
      </w:tr>
      <w:tr w:rsidR="00EA1C8A" w:rsidRPr="006F6267" w:rsidTr="008F4292">
        <w:trPr>
          <w:trHeight w:val="5708"/>
        </w:trPr>
        <w:tc>
          <w:tcPr>
            <w:tcW w:w="7621" w:type="dxa"/>
            <w:shd w:val="clear" w:color="auto" w:fill="auto"/>
          </w:tcPr>
          <w:p w:rsidR="00EA1C8A" w:rsidRPr="006F6267" w:rsidRDefault="00EA1C8A" w:rsidP="00E30A50">
            <w:pPr>
              <w:ind w:firstLine="142"/>
              <w:jc w:val="both"/>
              <w:rPr>
                <w:b/>
                <w:sz w:val="26"/>
                <w:szCs w:val="26"/>
              </w:rPr>
            </w:pPr>
            <w:r w:rsidRPr="006F6267">
              <w:rPr>
                <w:b/>
                <w:sz w:val="26"/>
                <w:szCs w:val="26"/>
              </w:rPr>
              <w:lastRenderedPageBreak/>
              <w:t xml:space="preserve">Стаття 8. Державне управління в електроенергетиці </w:t>
            </w:r>
          </w:p>
          <w:p w:rsidR="00EA1C8A" w:rsidRPr="006F6267" w:rsidRDefault="00EA1C8A" w:rsidP="00E30A50">
            <w:pPr>
              <w:ind w:firstLine="142"/>
              <w:jc w:val="both"/>
              <w:rPr>
                <w:sz w:val="26"/>
                <w:szCs w:val="26"/>
              </w:rPr>
            </w:pPr>
          </w:p>
          <w:p w:rsidR="00EA1C8A" w:rsidRPr="006F6267" w:rsidRDefault="00EA1C8A" w:rsidP="00E30A50">
            <w:pPr>
              <w:ind w:firstLine="142"/>
              <w:jc w:val="both"/>
              <w:rPr>
                <w:sz w:val="26"/>
                <w:szCs w:val="26"/>
              </w:rPr>
            </w:pPr>
            <w:r w:rsidRPr="006F6267">
              <w:rPr>
                <w:sz w:val="26"/>
                <w:szCs w:val="26"/>
              </w:rPr>
              <w:t xml:space="preserve">Державне управління в електроенергетиці здійснюють центральний орган виконавчої влади, що забезпечує формування державної політики в електроенергетичному комплексі, центральний орган виконавчої влади, що реалізує державну політику в електроенергетичному комплекс. </w:t>
            </w:r>
          </w:p>
          <w:p w:rsidR="00EA1C8A" w:rsidRPr="006F6267" w:rsidRDefault="00EA1C8A" w:rsidP="00E30A50">
            <w:pPr>
              <w:ind w:firstLine="142"/>
              <w:jc w:val="both"/>
              <w:rPr>
                <w:sz w:val="26"/>
                <w:szCs w:val="26"/>
              </w:rPr>
            </w:pPr>
          </w:p>
          <w:p w:rsidR="00EA1C8A" w:rsidRPr="006F6267" w:rsidRDefault="00EA1C8A" w:rsidP="00E30A50">
            <w:pPr>
              <w:ind w:firstLine="142"/>
              <w:jc w:val="both"/>
              <w:rPr>
                <w:sz w:val="26"/>
                <w:szCs w:val="26"/>
              </w:rPr>
            </w:pPr>
            <w:r w:rsidRPr="006F6267">
              <w:rPr>
                <w:sz w:val="26"/>
                <w:szCs w:val="26"/>
              </w:rPr>
              <w:t>Центральний орган виконавчої влади, уповноважений Кабінетом Міністрів України, не пізніше 31 березня кожного року надає Верховній Раді України звіт про стан альтернативної енергетики та ефективність заходів стимулювання її розвитку, передбачених цим Законом.</w:t>
            </w:r>
          </w:p>
          <w:p w:rsidR="00EA1C8A" w:rsidRPr="006F6267" w:rsidRDefault="00EA1C8A" w:rsidP="00E30A50">
            <w:pPr>
              <w:ind w:firstLine="142"/>
              <w:jc w:val="both"/>
              <w:rPr>
                <w:sz w:val="26"/>
                <w:szCs w:val="26"/>
              </w:rPr>
            </w:pPr>
          </w:p>
          <w:p w:rsidR="00EA1C8A" w:rsidRPr="006F6267" w:rsidRDefault="00E30A50" w:rsidP="00E30A50">
            <w:pPr>
              <w:ind w:firstLine="142"/>
              <w:jc w:val="both"/>
              <w:rPr>
                <w:sz w:val="26"/>
                <w:szCs w:val="26"/>
              </w:rPr>
            </w:pPr>
            <w:r w:rsidRPr="006F6267">
              <w:rPr>
                <w:b/>
                <w:sz w:val="26"/>
                <w:szCs w:val="26"/>
              </w:rPr>
              <w:t>в</w:t>
            </w:r>
            <w:r w:rsidR="00EA1C8A" w:rsidRPr="006F6267">
              <w:rPr>
                <w:b/>
                <w:sz w:val="26"/>
                <w:szCs w:val="26"/>
              </w:rPr>
              <w:t>ідсутня</w:t>
            </w:r>
          </w:p>
        </w:tc>
        <w:tc>
          <w:tcPr>
            <w:tcW w:w="8363" w:type="dxa"/>
            <w:gridSpan w:val="2"/>
          </w:tcPr>
          <w:p w:rsidR="00627EEC" w:rsidRPr="006F6267" w:rsidRDefault="00627EEC" w:rsidP="00627EEC">
            <w:pPr>
              <w:ind w:firstLine="142"/>
              <w:jc w:val="both"/>
              <w:rPr>
                <w:b/>
                <w:sz w:val="26"/>
                <w:szCs w:val="26"/>
              </w:rPr>
            </w:pPr>
            <w:r w:rsidRPr="006F6267">
              <w:rPr>
                <w:b/>
                <w:sz w:val="26"/>
                <w:szCs w:val="26"/>
              </w:rPr>
              <w:t xml:space="preserve">Стаття 8. Державне управління в електроенергетиці </w:t>
            </w:r>
          </w:p>
          <w:p w:rsidR="00EA1C8A" w:rsidRPr="006F6267" w:rsidRDefault="00EA1C8A" w:rsidP="00F919E9">
            <w:pPr>
              <w:ind w:firstLine="176"/>
              <w:jc w:val="both"/>
              <w:rPr>
                <w:b/>
                <w:sz w:val="26"/>
                <w:szCs w:val="26"/>
              </w:rPr>
            </w:pPr>
          </w:p>
          <w:p w:rsidR="00982316" w:rsidRPr="006F6267" w:rsidRDefault="00982316" w:rsidP="00F919E9">
            <w:pPr>
              <w:ind w:firstLine="176"/>
              <w:jc w:val="both"/>
              <w:rPr>
                <w:sz w:val="26"/>
                <w:szCs w:val="26"/>
              </w:rPr>
            </w:pPr>
            <w:r w:rsidRPr="006F6267">
              <w:rPr>
                <w:sz w:val="26"/>
                <w:szCs w:val="26"/>
              </w:rPr>
              <w:t xml:space="preserve">Державне управління в електроенергетиці здійснюють центральний орган виконавчої влади, що забезпечує формування державної політики в електроенергетичному комплексі, центральний орган виконавчої влади, що реалізує державну політику в електроенергетичному комплекс. </w:t>
            </w:r>
          </w:p>
          <w:p w:rsidR="00982316" w:rsidRPr="006F6267" w:rsidRDefault="00982316" w:rsidP="00F919E9">
            <w:pPr>
              <w:ind w:firstLine="176"/>
              <w:jc w:val="both"/>
              <w:rPr>
                <w:sz w:val="26"/>
                <w:szCs w:val="26"/>
              </w:rPr>
            </w:pPr>
          </w:p>
          <w:p w:rsidR="00EA1C8A" w:rsidRPr="006F6267" w:rsidRDefault="00982316" w:rsidP="00F919E9">
            <w:pPr>
              <w:ind w:firstLine="176"/>
              <w:jc w:val="both"/>
              <w:rPr>
                <w:sz w:val="26"/>
                <w:szCs w:val="26"/>
              </w:rPr>
            </w:pPr>
            <w:r w:rsidRPr="006F6267">
              <w:rPr>
                <w:sz w:val="26"/>
                <w:szCs w:val="26"/>
              </w:rPr>
              <w:t>Центральний орган виконавчої влади, уповноважений Кабінетом Міністрів України, не пізніше 31 березня кожного року надає Верховній Раді України звіт про стан альтернативної енергетики та ефективність заходів стимулювання її розвитку, передбачених цим Законом.</w:t>
            </w:r>
          </w:p>
          <w:p w:rsidR="00EA1C8A" w:rsidRPr="006F6267" w:rsidRDefault="00EA1C8A" w:rsidP="00F919E9">
            <w:pPr>
              <w:ind w:firstLine="176"/>
              <w:jc w:val="both"/>
              <w:rPr>
                <w:b/>
                <w:sz w:val="26"/>
                <w:szCs w:val="26"/>
              </w:rPr>
            </w:pPr>
          </w:p>
          <w:p w:rsidR="00EA1C8A" w:rsidRPr="006F6267" w:rsidRDefault="0072068F" w:rsidP="00050C71">
            <w:pPr>
              <w:ind w:firstLine="176"/>
              <w:jc w:val="both"/>
              <w:rPr>
                <w:b/>
                <w:sz w:val="26"/>
                <w:szCs w:val="26"/>
              </w:rPr>
            </w:pPr>
            <w:r w:rsidRPr="006F6267">
              <w:rPr>
                <w:b/>
                <w:sz w:val="26"/>
                <w:szCs w:val="26"/>
              </w:rPr>
              <w:t>Укрупнені показники вартості будівництва та граничні терміни будівництва електричних мереж та підстанцій напругою до 160 кВ включно затверджуються центральним органом виконавчої влади, що забезпечує формування державної політики в електроенергетичному комплексі, у встановленому ним порядку за погодженням з центральним органом виконавчої влади, що забезпечує формування державної політики у сфері будівництва, архітектури, містобудування.</w:t>
            </w:r>
          </w:p>
        </w:tc>
      </w:tr>
      <w:tr w:rsidR="003D2205" w:rsidRPr="006F6267" w:rsidTr="00050C71">
        <w:trPr>
          <w:trHeight w:val="2510"/>
        </w:trPr>
        <w:tc>
          <w:tcPr>
            <w:tcW w:w="7621" w:type="dxa"/>
            <w:shd w:val="clear" w:color="auto" w:fill="auto"/>
          </w:tcPr>
          <w:p w:rsidR="003D2205" w:rsidRPr="006F6267" w:rsidRDefault="003D2205" w:rsidP="00E30A50">
            <w:pPr>
              <w:shd w:val="clear" w:color="auto" w:fill="FFFFFF"/>
              <w:ind w:firstLine="142"/>
              <w:jc w:val="both"/>
              <w:textAlignment w:val="baseline"/>
              <w:rPr>
                <w:color w:val="000000"/>
                <w:sz w:val="26"/>
                <w:szCs w:val="26"/>
              </w:rPr>
            </w:pPr>
            <w:r w:rsidRPr="006F6267">
              <w:rPr>
                <w:bCs/>
                <w:color w:val="000000"/>
                <w:sz w:val="26"/>
                <w:szCs w:val="26"/>
                <w:bdr w:val="none" w:sz="0" w:space="0" w:color="auto" w:frame="1"/>
              </w:rPr>
              <w:t>Стаття 12. </w:t>
            </w:r>
            <w:r w:rsidRPr="006F6267">
              <w:rPr>
                <w:color w:val="000000"/>
                <w:sz w:val="26"/>
                <w:szCs w:val="26"/>
              </w:rPr>
              <w:t>Основні завдання та повноваження національної комісії, що здійснює державне регулювання у сферах енергетики та комунальних послуг</w:t>
            </w:r>
          </w:p>
          <w:p w:rsidR="00ED735D" w:rsidRPr="006F6267" w:rsidRDefault="003D2205" w:rsidP="00E30A50">
            <w:pPr>
              <w:shd w:val="clear" w:color="auto" w:fill="FFFFFF"/>
              <w:ind w:firstLine="142"/>
              <w:jc w:val="both"/>
              <w:textAlignment w:val="baseline"/>
              <w:rPr>
                <w:color w:val="000000"/>
                <w:sz w:val="26"/>
                <w:szCs w:val="26"/>
              </w:rPr>
            </w:pPr>
            <w:r w:rsidRPr="006F6267">
              <w:rPr>
                <w:color w:val="000000"/>
                <w:sz w:val="26"/>
                <w:szCs w:val="26"/>
              </w:rPr>
              <w:t>…</w:t>
            </w:r>
          </w:p>
          <w:p w:rsidR="003D2205" w:rsidRPr="006F6267" w:rsidRDefault="003D2205" w:rsidP="00E30A50">
            <w:pPr>
              <w:shd w:val="clear" w:color="auto" w:fill="FFFFFF"/>
              <w:ind w:firstLine="142"/>
              <w:jc w:val="both"/>
              <w:textAlignment w:val="baseline"/>
              <w:rPr>
                <w:sz w:val="26"/>
                <w:szCs w:val="26"/>
              </w:rPr>
            </w:pPr>
            <w:r w:rsidRPr="006F6267">
              <w:rPr>
                <w:sz w:val="26"/>
                <w:szCs w:val="26"/>
              </w:rPr>
              <w:t>розроблення та затвердження </w:t>
            </w:r>
            <w:hyperlink r:id="rId9" w:anchor="n12" w:tgtFrame="_blank" w:history="1">
              <w:r w:rsidRPr="006F6267">
                <w:rPr>
                  <w:sz w:val="26"/>
                  <w:szCs w:val="26"/>
                  <w:bdr w:val="none" w:sz="0" w:space="0" w:color="auto" w:frame="1"/>
                </w:rPr>
                <w:t>правил приєднання електроустановок до електричних мереж</w:t>
              </w:r>
            </w:hyperlink>
            <w:r w:rsidRPr="006F6267">
              <w:rPr>
                <w:sz w:val="26"/>
                <w:szCs w:val="26"/>
              </w:rPr>
              <w:t>, типових форм договорів про приєднання, типових форм технічних умов, </w:t>
            </w:r>
            <w:hyperlink r:id="rId10" w:anchor="n15" w:tgtFrame="_blank" w:history="1">
              <w:r w:rsidRPr="006F6267">
                <w:rPr>
                  <w:sz w:val="26"/>
                  <w:szCs w:val="26"/>
                  <w:bdr w:val="none" w:sz="0" w:space="0" w:color="auto" w:frame="1"/>
                </w:rPr>
                <w:t>методики розрахунку плати за приєднання електроустановок до електричних мереж</w:t>
              </w:r>
            </w:hyperlink>
            <w:r w:rsidRPr="006F6267">
              <w:rPr>
                <w:sz w:val="26"/>
                <w:szCs w:val="26"/>
              </w:rPr>
              <w:t xml:space="preserve">  та </w:t>
            </w:r>
            <w:hyperlink r:id="rId11" w:anchor="n12" w:tgtFrame="_blank" w:history="1">
              <w:r w:rsidRPr="006F6267">
                <w:rPr>
                  <w:sz w:val="26"/>
                  <w:szCs w:val="26"/>
                  <w:bdr w:val="none" w:sz="0" w:space="0" w:color="auto" w:frame="1"/>
                </w:rPr>
                <w:t>порядку фінансування послуг з приєднання електроустановок до електричних мереж</w:t>
              </w:r>
            </w:hyperlink>
            <w:r w:rsidRPr="006F6267">
              <w:rPr>
                <w:b/>
                <w:sz w:val="26"/>
                <w:szCs w:val="26"/>
              </w:rPr>
              <w:t>;</w:t>
            </w:r>
          </w:p>
          <w:p w:rsidR="003D2205" w:rsidRPr="006F6267" w:rsidRDefault="003D2205" w:rsidP="00ED735D">
            <w:pPr>
              <w:shd w:val="clear" w:color="auto" w:fill="FFFFFF"/>
              <w:ind w:firstLine="142"/>
              <w:jc w:val="both"/>
              <w:textAlignment w:val="baseline"/>
              <w:rPr>
                <w:b/>
                <w:sz w:val="26"/>
                <w:szCs w:val="26"/>
              </w:rPr>
            </w:pPr>
            <w:r w:rsidRPr="006F6267">
              <w:rPr>
                <w:color w:val="000000"/>
                <w:sz w:val="26"/>
                <w:szCs w:val="26"/>
              </w:rPr>
              <w:t>…</w:t>
            </w:r>
          </w:p>
        </w:tc>
        <w:tc>
          <w:tcPr>
            <w:tcW w:w="8363" w:type="dxa"/>
            <w:gridSpan w:val="2"/>
          </w:tcPr>
          <w:p w:rsidR="003D2205" w:rsidRPr="006F6267" w:rsidRDefault="003D2205" w:rsidP="00F919E9">
            <w:pPr>
              <w:shd w:val="clear" w:color="auto" w:fill="FFFFFF"/>
              <w:ind w:firstLine="176"/>
              <w:jc w:val="both"/>
              <w:textAlignment w:val="baseline"/>
              <w:rPr>
                <w:color w:val="000000"/>
                <w:sz w:val="26"/>
                <w:szCs w:val="26"/>
              </w:rPr>
            </w:pPr>
            <w:r w:rsidRPr="006F6267">
              <w:rPr>
                <w:bCs/>
                <w:color w:val="000000"/>
                <w:sz w:val="26"/>
                <w:szCs w:val="26"/>
                <w:bdr w:val="none" w:sz="0" w:space="0" w:color="auto" w:frame="1"/>
              </w:rPr>
              <w:t>Стаття 12. </w:t>
            </w:r>
            <w:r w:rsidRPr="006F6267">
              <w:rPr>
                <w:color w:val="000000"/>
                <w:sz w:val="26"/>
                <w:szCs w:val="26"/>
              </w:rPr>
              <w:t>Основні завдання та повноваження національної комісії, що здійснює державне регулювання у сферах енергетики та комунальних послуг</w:t>
            </w:r>
          </w:p>
          <w:p w:rsidR="003D2205" w:rsidRPr="006F6267" w:rsidRDefault="003D2205" w:rsidP="00F919E9">
            <w:pPr>
              <w:ind w:firstLine="176"/>
              <w:jc w:val="both"/>
              <w:rPr>
                <w:sz w:val="26"/>
                <w:szCs w:val="26"/>
              </w:rPr>
            </w:pPr>
            <w:r w:rsidRPr="006F6267">
              <w:rPr>
                <w:sz w:val="26"/>
                <w:szCs w:val="26"/>
              </w:rPr>
              <w:t>...</w:t>
            </w:r>
          </w:p>
          <w:p w:rsidR="003D2205" w:rsidRPr="006F6267" w:rsidRDefault="003D2205" w:rsidP="00F919E9">
            <w:pPr>
              <w:ind w:firstLine="176"/>
              <w:jc w:val="both"/>
              <w:rPr>
                <w:b/>
                <w:sz w:val="26"/>
                <w:szCs w:val="26"/>
              </w:rPr>
            </w:pPr>
            <w:r w:rsidRPr="006F6267">
              <w:rPr>
                <w:b/>
                <w:sz w:val="26"/>
                <w:szCs w:val="26"/>
              </w:rPr>
              <w:t>встановлення ставок</w:t>
            </w:r>
            <w:r w:rsidRPr="006F6267">
              <w:rPr>
                <w:b/>
                <w:sz w:val="26"/>
                <w:szCs w:val="26"/>
                <w:lang w:eastAsia="en-US"/>
              </w:rPr>
              <w:t xml:space="preserve"> </w:t>
            </w:r>
            <w:r w:rsidRPr="006F6267">
              <w:rPr>
                <w:b/>
                <w:sz w:val="26"/>
                <w:szCs w:val="26"/>
              </w:rPr>
              <w:t>плати за стандартне приєднання, розроблення та затвердження </w:t>
            </w:r>
            <w:hyperlink r:id="rId12" w:anchor="n12" w:tgtFrame="_blank" w:history="1">
              <w:r w:rsidRPr="006F6267">
                <w:rPr>
                  <w:b/>
                  <w:sz w:val="26"/>
                  <w:szCs w:val="26"/>
                  <w:bdr w:val="none" w:sz="0" w:space="0" w:color="auto" w:frame="1"/>
                </w:rPr>
                <w:t>правил приєднання електроустановок до електричних мереж</w:t>
              </w:r>
            </w:hyperlink>
            <w:r w:rsidRPr="006F6267">
              <w:rPr>
                <w:b/>
                <w:sz w:val="26"/>
                <w:szCs w:val="26"/>
              </w:rPr>
              <w:t>, типових форм договорів про приєднання, типових форм технічних умов, </w:t>
            </w:r>
            <w:hyperlink r:id="rId13" w:anchor="n15" w:tgtFrame="_blank" w:history="1">
              <w:r w:rsidRPr="006F6267">
                <w:rPr>
                  <w:b/>
                  <w:sz w:val="26"/>
                  <w:szCs w:val="26"/>
                  <w:bdr w:val="none" w:sz="0" w:space="0" w:color="auto" w:frame="1"/>
                </w:rPr>
                <w:t>методик</w:t>
              </w:r>
              <w:r w:rsidR="00DB6EB7" w:rsidRPr="006F6267">
                <w:rPr>
                  <w:b/>
                  <w:sz w:val="26"/>
                  <w:szCs w:val="26"/>
                  <w:bdr w:val="none" w:sz="0" w:space="0" w:color="auto" w:frame="1"/>
                </w:rPr>
                <w:t>и</w:t>
              </w:r>
              <w:r w:rsidRPr="006F6267">
                <w:rPr>
                  <w:b/>
                  <w:sz w:val="26"/>
                  <w:szCs w:val="26"/>
                  <w:bdr w:val="none" w:sz="0" w:space="0" w:color="auto" w:frame="1"/>
                </w:rPr>
                <w:t xml:space="preserve"> розрахунку витрат на стандартне приєднання та плати за нестандартне приєднання електроустановок до електричних мереж</w:t>
              </w:r>
            </w:hyperlink>
            <w:r w:rsidR="00E94C58" w:rsidRPr="006F6267">
              <w:rPr>
                <w:b/>
                <w:sz w:val="26"/>
                <w:szCs w:val="26"/>
                <w:bdr w:val="none" w:sz="0" w:space="0" w:color="auto" w:frame="1"/>
              </w:rPr>
              <w:t>;</w:t>
            </w:r>
          </w:p>
          <w:p w:rsidR="003D2205" w:rsidRPr="006F6267" w:rsidRDefault="003D2205" w:rsidP="00ED735D">
            <w:pPr>
              <w:ind w:firstLine="176"/>
              <w:jc w:val="both"/>
              <w:rPr>
                <w:b/>
                <w:i/>
                <w:sz w:val="26"/>
                <w:szCs w:val="26"/>
                <w:u w:val="single"/>
              </w:rPr>
            </w:pPr>
            <w:r w:rsidRPr="006F6267">
              <w:rPr>
                <w:sz w:val="26"/>
                <w:szCs w:val="26"/>
              </w:rPr>
              <w:t>…</w:t>
            </w:r>
          </w:p>
        </w:tc>
      </w:tr>
      <w:tr w:rsidR="003D2205" w:rsidRPr="006F6267" w:rsidTr="00050C71">
        <w:trPr>
          <w:trHeight w:val="1118"/>
        </w:trPr>
        <w:tc>
          <w:tcPr>
            <w:tcW w:w="7621" w:type="dxa"/>
            <w:shd w:val="clear" w:color="auto" w:fill="auto"/>
          </w:tcPr>
          <w:p w:rsidR="003D2205" w:rsidRPr="006F6267" w:rsidRDefault="003D2205" w:rsidP="00E30A50">
            <w:pPr>
              <w:ind w:firstLine="142"/>
              <w:jc w:val="both"/>
              <w:rPr>
                <w:sz w:val="26"/>
                <w:szCs w:val="26"/>
              </w:rPr>
            </w:pPr>
            <w:r w:rsidRPr="006F6267">
              <w:rPr>
                <w:sz w:val="26"/>
                <w:szCs w:val="26"/>
              </w:rPr>
              <w:lastRenderedPageBreak/>
              <w:t>Стаття 17</w:t>
            </w:r>
            <w:r w:rsidRPr="006F6267">
              <w:rPr>
                <w:sz w:val="26"/>
                <w:szCs w:val="26"/>
                <w:vertAlign w:val="superscript"/>
              </w:rPr>
              <w:t>2</w:t>
            </w:r>
            <w:r w:rsidRPr="006F6267">
              <w:rPr>
                <w:sz w:val="26"/>
                <w:szCs w:val="26"/>
              </w:rPr>
              <w:t>. Плата за приєднання електроустановок до електричних мереж</w:t>
            </w:r>
          </w:p>
          <w:p w:rsidR="003D2205" w:rsidRPr="006F6267" w:rsidRDefault="003D2205" w:rsidP="00E30A50">
            <w:pPr>
              <w:ind w:firstLine="142"/>
              <w:jc w:val="both"/>
              <w:rPr>
                <w:sz w:val="26"/>
                <w:szCs w:val="26"/>
              </w:rPr>
            </w:pPr>
          </w:p>
          <w:p w:rsidR="008623BB" w:rsidRPr="006F6267" w:rsidRDefault="008623BB" w:rsidP="008623BB">
            <w:pPr>
              <w:ind w:firstLine="142"/>
              <w:jc w:val="both"/>
              <w:rPr>
                <w:sz w:val="26"/>
                <w:szCs w:val="26"/>
              </w:rPr>
            </w:pPr>
            <w:r w:rsidRPr="006F6267">
              <w:rPr>
                <w:sz w:val="26"/>
                <w:szCs w:val="26"/>
              </w:rPr>
              <w:t>Вартість послуг з приєднання розраховується електропередавальною організацією у порядку, передбаченому методикою розрахунку плати за приєднання електроустановок до електричних мереж, і обґрунтовується витратами, необхідними для будівництва та/або реконструкції електромереж від місця приєднання електроустановки замовника до місця забезпечення потужності.</w:t>
            </w:r>
          </w:p>
          <w:p w:rsidR="008623BB" w:rsidRPr="006F6267" w:rsidRDefault="008623BB" w:rsidP="008623BB">
            <w:pPr>
              <w:ind w:firstLine="142"/>
              <w:jc w:val="both"/>
              <w:rPr>
                <w:sz w:val="26"/>
                <w:szCs w:val="26"/>
              </w:rPr>
            </w:pPr>
          </w:p>
          <w:p w:rsidR="008623BB" w:rsidRPr="006F6267" w:rsidRDefault="008623BB" w:rsidP="008623BB">
            <w:pPr>
              <w:ind w:firstLine="142"/>
              <w:jc w:val="both"/>
              <w:rPr>
                <w:sz w:val="26"/>
                <w:szCs w:val="26"/>
              </w:rPr>
            </w:pPr>
            <w:r w:rsidRPr="006F6267">
              <w:rPr>
                <w:sz w:val="26"/>
                <w:szCs w:val="26"/>
              </w:rPr>
              <w:t xml:space="preserve">Ставка плати за стандартне приєднання електроустановок щорічно розраховується електропередавальною організацією з урахуванням ступеня напруги в місці приєднання, категорії надійності електропостачання, </w:t>
            </w:r>
            <w:proofErr w:type="spellStart"/>
            <w:r w:rsidRPr="006F6267">
              <w:rPr>
                <w:sz w:val="26"/>
                <w:szCs w:val="26"/>
              </w:rPr>
              <w:t>одно-</w:t>
            </w:r>
            <w:proofErr w:type="spellEnd"/>
            <w:r w:rsidRPr="006F6267">
              <w:rPr>
                <w:sz w:val="26"/>
                <w:szCs w:val="26"/>
              </w:rPr>
              <w:t xml:space="preserve"> чи трифазного приєднання, окремо для сільської та міської місцевості відповідно до методики розрахунку плати за приєднання електроустановок до електричних мереж та затверджується національною комісією, що здійснює державне регулювання у сферах енергетики та комунальних послуг. Електропередавальна організація зобов'язана розміщувати на своєму веб-сайті в мережі Інтернет діючі ставки плати за стандартне приєднання.</w:t>
            </w:r>
          </w:p>
          <w:p w:rsidR="008623BB" w:rsidRPr="006F6267" w:rsidRDefault="008623BB" w:rsidP="008623BB">
            <w:pPr>
              <w:ind w:firstLine="142"/>
              <w:jc w:val="both"/>
              <w:rPr>
                <w:sz w:val="26"/>
                <w:szCs w:val="26"/>
              </w:rPr>
            </w:pPr>
          </w:p>
          <w:p w:rsidR="008623BB" w:rsidRPr="006F6267" w:rsidRDefault="008623BB" w:rsidP="008623BB">
            <w:pPr>
              <w:ind w:firstLine="142"/>
              <w:jc w:val="both"/>
              <w:rPr>
                <w:sz w:val="26"/>
                <w:szCs w:val="26"/>
              </w:rPr>
            </w:pPr>
            <w:r w:rsidRPr="006F6267">
              <w:rPr>
                <w:sz w:val="26"/>
                <w:szCs w:val="26"/>
              </w:rPr>
              <w:t>Вартість послуг з приєднання електроустановок замовників, що не є стандартним приєднанням відповідно до статті 1 цього Закону, визначається проектно-кошторисною документацією відповідно до замовленої (заявленої) на приєднання потужності пропорційно до передбаченої проектом величини потужності, яку можливо додатково приєднати, відповідно до методики розрахунку плати за приєднання електроустановок до електричних мереж з урахуванням витрат на розвиток мереж для створення резерву потужності у місці забезпечення потужності.</w:t>
            </w:r>
          </w:p>
          <w:p w:rsidR="008623BB" w:rsidRPr="006F6267" w:rsidRDefault="008623BB" w:rsidP="008623BB">
            <w:pPr>
              <w:ind w:firstLine="142"/>
              <w:jc w:val="both"/>
              <w:rPr>
                <w:sz w:val="26"/>
                <w:szCs w:val="26"/>
              </w:rPr>
            </w:pPr>
          </w:p>
          <w:p w:rsidR="008623BB" w:rsidRPr="006F6267" w:rsidRDefault="008623BB" w:rsidP="008623BB">
            <w:pPr>
              <w:ind w:firstLine="142"/>
              <w:jc w:val="both"/>
              <w:rPr>
                <w:sz w:val="26"/>
                <w:szCs w:val="26"/>
              </w:rPr>
            </w:pPr>
            <w:r w:rsidRPr="006F6267">
              <w:rPr>
                <w:sz w:val="26"/>
                <w:szCs w:val="26"/>
              </w:rPr>
              <w:lastRenderedPageBreak/>
              <w:t>Розроблення проектно-кошторисної документації забезпечується замовником, а її вартість є складовою частиною вартості послуг з приєднання.</w:t>
            </w:r>
          </w:p>
          <w:p w:rsidR="008623BB" w:rsidRPr="006F6267" w:rsidRDefault="008623BB" w:rsidP="008623BB">
            <w:pPr>
              <w:ind w:firstLine="142"/>
              <w:jc w:val="both"/>
              <w:rPr>
                <w:sz w:val="26"/>
                <w:szCs w:val="26"/>
              </w:rPr>
            </w:pPr>
          </w:p>
          <w:p w:rsidR="008623BB" w:rsidRPr="006F6267" w:rsidRDefault="008623BB" w:rsidP="008623BB">
            <w:pPr>
              <w:ind w:firstLine="142"/>
              <w:jc w:val="both"/>
              <w:rPr>
                <w:sz w:val="26"/>
                <w:szCs w:val="26"/>
              </w:rPr>
            </w:pPr>
            <w:r w:rsidRPr="006F6267">
              <w:rPr>
                <w:sz w:val="26"/>
                <w:szCs w:val="26"/>
              </w:rPr>
              <w:t xml:space="preserve">Приєднання електроустановок замовника, яке не є стандартним приєднанням, фінансується в розмірі розрахованої плати за приєднання за рахунок коштів, отриманих як плата за приєднання замовника. У разі недостатності таких коштів для виконання в повному обсязі робіт згідно з проектно-кошторисною документацією ці роботи фінансуються за рахунок плати за приєднання інших замовників, які приєднуються до того самого місця забезпечення потужності, або складової тарифу на передачу або розподіл електричної енергії, або за зверненням замовника за рахунок поворотної фінансової допомоги, яка може надаватися електропередавальній організації. Додатково необхідні кошти для виконання в повному обсязі робіт згідно з проектно-кошторисною документацією передбачаються у складовій тарифу на передачу або розподіл електричної енергії в установленому законодавством порядку строком до п'яти років. Джерелом повернення коштів, залучених від замовника як поворотна фінансова допомога, є плата за приєднання інших замовників, що приєднуються до того самого місця забезпечення потужності, та складова тарифу на передачу або розподіл електричної енергії. Кошти, залучені від замовника як поворотна фінансова допомога, повертаються у строк до п'яти років відповідно до порядку фінансування послуг з приєднання електроустановок до електричних мереж. Частка витрат для створення за рахунок тарифу на передачу або розподіл електричної енергії резерву потужності у місці забезпечення потужності, компенсована у складі плати за приєднання замовниками, приєднана потужність електроустановок яких забезпечується від того самого місця забезпечення потужності, враховується під час перегляду відповідної складової тарифу на передачу або розподіл електричної енергії шляхом виключення з </w:t>
            </w:r>
            <w:r w:rsidRPr="006F6267">
              <w:rPr>
                <w:sz w:val="26"/>
                <w:szCs w:val="26"/>
              </w:rPr>
              <w:lastRenderedPageBreak/>
              <w:t>тарифу відповідних сум.</w:t>
            </w:r>
          </w:p>
          <w:p w:rsidR="008623BB" w:rsidRPr="006F6267" w:rsidRDefault="008623BB" w:rsidP="008623BB">
            <w:pPr>
              <w:ind w:firstLine="142"/>
              <w:jc w:val="both"/>
              <w:rPr>
                <w:sz w:val="26"/>
                <w:szCs w:val="26"/>
              </w:rPr>
            </w:pPr>
          </w:p>
          <w:p w:rsidR="008623BB" w:rsidRPr="006F6267" w:rsidRDefault="008623BB" w:rsidP="008623BB">
            <w:pPr>
              <w:ind w:firstLine="142"/>
              <w:jc w:val="both"/>
              <w:rPr>
                <w:sz w:val="26"/>
                <w:szCs w:val="26"/>
              </w:rPr>
            </w:pPr>
            <w:r w:rsidRPr="006F6267">
              <w:rPr>
                <w:sz w:val="26"/>
                <w:szCs w:val="26"/>
              </w:rPr>
              <w:t>Строк повернення поворотної фінансової допомоги замовнику встановлюється національною комісією, що здійснює державне регулювання у сферах енергетики та комунальних послуг, відповідно до порядку фінансування послуг з приєднання електроустановок до електричних мереж і не може перевищувати 10 років. Джерелом повернення поворотної фінансової допомоги є складова тарифу на передачу або розподіл електричної енергії.</w:t>
            </w:r>
          </w:p>
          <w:p w:rsidR="008623BB" w:rsidRPr="006F6267" w:rsidRDefault="008623BB" w:rsidP="008623BB">
            <w:pPr>
              <w:ind w:firstLine="142"/>
              <w:jc w:val="both"/>
              <w:rPr>
                <w:sz w:val="26"/>
                <w:szCs w:val="26"/>
              </w:rPr>
            </w:pPr>
          </w:p>
          <w:p w:rsidR="008623BB" w:rsidRPr="006F6267" w:rsidRDefault="008623BB" w:rsidP="008623BB">
            <w:pPr>
              <w:ind w:firstLine="142"/>
              <w:jc w:val="both"/>
              <w:rPr>
                <w:sz w:val="26"/>
                <w:szCs w:val="26"/>
              </w:rPr>
            </w:pPr>
            <w:r w:rsidRPr="006F6267">
              <w:rPr>
                <w:sz w:val="26"/>
                <w:szCs w:val="26"/>
              </w:rPr>
              <w:t>Вартість послуг з приєднання електроустановок замовника, призначених для забезпечення електропостачання об'єктів будівництва, в яких передбачається розміщення доступного житла або житлового фонду соціального призначення, зменшується для замовника пропорційно площі такого доступного житла або житлового фонду соціального призначення до загальної площі об'єкта будівництва. Частина вартості послуг з приєднання електроустановок замовника, на яку зменшено вартість послуг з приєднання електроустановок замовника до електричних мереж, фінансується за рахунок тарифу на передачу або розподіл електричної енергії, який встановлюється для електропередавальної організації національною комісією, що здійснює державне регулювання у сферах енергетики та комунальних послуг.</w:t>
            </w:r>
          </w:p>
          <w:p w:rsidR="008623BB" w:rsidRPr="006F6267" w:rsidRDefault="008623BB" w:rsidP="008623BB">
            <w:pPr>
              <w:ind w:firstLine="142"/>
              <w:jc w:val="both"/>
              <w:rPr>
                <w:sz w:val="26"/>
                <w:szCs w:val="26"/>
              </w:rPr>
            </w:pPr>
          </w:p>
          <w:p w:rsidR="003D2205" w:rsidRPr="006F6267" w:rsidRDefault="003D2205" w:rsidP="008623BB">
            <w:pPr>
              <w:ind w:firstLine="142"/>
              <w:jc w:val="both"/>
              <w:rPr>
                <w:b/>
                <w:sz w:val="26"/>
                <w:szCs w:val="26"/>
              </w:rPr>
            </w:pPr>
          </w:p>
        </w:tc>
        <w:tc>
          <w:tcPr>
            <w:tcW w:w="8363" w:type="dxa"/>
            <w:gridSpan w:val="2"/>
            <w:shd w:val="clear" w:color="auto" w:fill="auto"/>
          </w:tcPr>
          <w:p w:rsidR="003D2205" w:rsidRPr="006F6267" w:rsidRDefault="003D2205" w:rsidP="00F919E9">
            <w:pPr>
              <w:ind w:firstLine="176"/>
              <w:jc w:val="both"/>
              <w:rPr>
                <w:sz w:val="26"/>
                <w:szCs w:val="26"/>
              </w:rPr>
            </w:pPr>
            <w:r w:rsidRPr="006F6267">
              <w:rPr>
                <w:sz w:val="26"/>
                <w:szCs w:val="26"/>
              </w:rPr>
              <w:lastRenderedPageBreak/>
              <w:t>Стаття 17</w:t>
            </w:r>
            <w:r w:rsidRPr="006F6267">
              <w:rPr>
                <w:sz w:val="26"/>
                <w:szCs w:val="26"/>
                <w:vertAlign w:val="superscript"/>
              </w:rPr>
              <w:t>2</w:t>
            </w:r>
            <w:r w:rsidRPr="006F6267">
              <w:rPr>
                <w:sz w:val="26"/>
                <w:szCs w:val="26"/>
              </w:rPr>
              <w:t>. Плата за приєднання електроустановок до електричних мереж</w:t>
            </w:r>
          </w:p>
          <w:p w:rsidR="003D2205" w:rsidRPr="006F6267" w:rsidRDefault="003D2205" w:rsidP="00F919E9">
            <w:pPr>
              <w:ind w:firstLine="176"/>
              <w:jc w:val="both"/>
              <w:rPr>
                <w:sz w:val="26"/>
                <w:szCs w:val="26"/>
              </w:rPr>
            </w:pP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Приєднання електроустановок замовника здійснюється за плату.</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Плата за приєднання стягується у випадках:</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1) приєднання електроустановок, що вперше приймаються в експлуатацію;</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2) реконструкції, технічного переоснащення чи капітального ремонту, раніше приєднаних електроустановок, якщо їх потужність збільшується;</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3) зміни категорії надійності електрозабезпечення, точки приєднання, видів виробничої діяльності, що не тягнуть перегляд величини приєднаної потужності, але змінюють схему зовнішнього електропостачання таких електроустановок.</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Плата за приєднання стягується одноразово.</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Плата за стандартне приєднання розраховується електропередавальною організацією виходячи зі ставки плати за стандартне приєднання та замовленої потужності.</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Ставки плати за стандартне приєднання встановлюються національною комісією, що здійснює державне регулювання у сферах енергетики та комунальних послуг, та індексуються відповідно індексу цін виробників промислової продукції (електричного устаткування) кожний квартал (не пізніше 1 січня, 1 квітня, 1 липня та 1 жовтня кожного календарного року). Інформація щодо ставок плати за стандартне приєднання розміщується національною комісією, що здійснює державне регулювання у сферах енергетики та комунальних послуг, на своєму офіційному веб-сайті в мережі Інтернет.</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 xml:space="preserve">Ставки плати за стандартне приєднання встановлюються </w:t>
            </w:r>
            <w:r w:rsidRPr="003758B6">
              <w:rPr>
                <w:rFonts w:ascii="Times New Roman" w:hAnsi="Times New Roman"/>
                <w:b/>
                <w:szCs w:val="26"/>
              </w:rPr>
              <w:lastRenderedPageBreak/>
              <w:t>окремо для міської та сільської місцевості за диференційованими ступенями потужності для Автономної Республіки Крим, областей, міст Києва та Севастополя на підставі витрат електропередавальної організації на розвиток електричних мереж, пов’язаний із наданням послуг зі стандартного приєднання.</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Витрати електропередавальної організації на розвиток електричних мереж, пов’язаний із наданням послуг із стандартного приєднання, розраховуються електропередавальною організацією виходячи з витрат, необхідних для проектування, нового будівництва та/або реконструкції електричних мереж від місця приєднання електроустановки замовника до місця забезпечення потужності, а також прибутку електропередавальної організації від надання послуги стандартного приєднання відповідно до методик розрахунку витрат на стандартне приєднання електроустановок до електричних мереж, затверджених національною комісією, що здійснює державне регулювання у сферах енергетики та комунальних послуг.</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У разі недостатності коштів, отриманих як плата за приєднання для компенсації частини витрат електропередавальної організації на виконання робіт зі стандартного приєднання, витрати в цій частині компенсуються за рахунок складової тарифу на передачу або розподіл електричної енергії та/або прибутку від здійснення відповідної ліцензованої діяльності. Включення цих витрат до складової тарифу на передачу або розподіл електричної енергії та/або прибутку від здійснення ліцензованої діяльності здійснюється, виходячи з фактичних витрат електропередавальної організації на виконання робіт зі стандартного приєднання національною комісією, що здійснює державне регулювання у сферах енергетики та комунальних послуг, без звернення електропередавальної організації.</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 xml:space="preserve">Плата за нестандартне приєднання електроустановок до електричних мереж визначається виходячи з вартості послуг з </w:t>
            </w:r>
            <w:r w:rsidRPr="003758B6">
              <w:rPr>
                <w:rFonts w:ascii="Times New Roman" w:hAnsi="Times New Roman"/>
                <w:b/>
                <w:szCs w:val="26"/>
              </w:rPr>
              <w:lastRenderedPageBreak/>
              <w:t>нестандартного приєднання електроустановок, що розраховується на підставі проектно-кошторисної документації відповідно до замовленої (заявленої) на приєднання потужності і обґрунтовується витратами, необхідними для проектування, нового будівництва та/або реконструкції електричних мереж від місця приєднання електроустановки замовника до мереж електропередавальної організації з урахуванням укрупнених показників вартості будівництва та граничних термінів будівництва електричних мереж та підстанцій.</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Вихідними даними для підготовки проектної документації на нестандартне приєднання є технічні умови, видані електропередавальною організацією у зв’язку із зверненням замовника. Технічні умови на нестандартне приєднання електропередавальною організацією надаються безоплатно.</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Технічні умови на нестандартне приєднання не можуть містити вимогу одержання будь-яких дозволів, погоджень, або інших документів від державних органів, установ та організацій.</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У разі наявності в діях електропередавальної організації при видачі технічних умов на приєднання ознак порушення законодавства про захист економічної конкуренції, зокрема, у разі прийняття рішення національною комісією, що здійснює державне регулювання у сферах енергетики та комунальних послуг, щодо необґрунтованості виданих технічних умов на нестандартне приєднання, замовник, чиї права порушені, може звернутися до Антимонопольного комітету України із заявою про порушення законодавства про захист економічної конкуренції.</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Розроблення проектної документації для нестандартного приєднання забезпечується замовником, а її вартість враховується у вартості послуги з нестандартного приєднання електроустановок.</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 xml:space="preserve">Розроблення проектної документації розвитку мереж електропередавальної організації, пов’язаного з наданням послуг з </w:t>
            </w:r>
            <w:r w:rsidRPr="003758B6">
              <w:rPr>
                <w:rFonts w:ascii="Times New Roman" w:hAnsi="Times New Roman"/>
                <w:b/>
                <w:szCs w:val="26"/>
              </w:rPr>
              <w:lastRenderedPageBreak/>
              <w:t>нестандартного приєднання електроустановок, забезпечується електропередавальною організацією, а її вартість враховується у вартості нестандартного приєднання.</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Розроблення проектної документації розвитку мереж для забезпечення нестандартного приєднання забезпечується замовником</w:t>
            </w:r>
            <w:r w:rsidR="00865E39" w:rsidRPr="00865E39">
              <w:rPr>
                <w:rFonts w:ascii="Times New Roman" w:hAnsi="Times New Roman"/>
                <w:b/>
                <w:szCs w:val="26"/>
                <w:lang w:val="ru-RU"/>
              </w:rPr>
              <w:t xml:space="preserve"> </w:t>
            </w:r>
            <w:r w:rsidRPr="003758B6">
              <w:rPr>
                <w:rFonts w:ascii="Times New Roman" w:hAnsi="Times New Roman"/>
                <w:b/>
                <w:szCs w:val="26"/>
              </w:rPr>
              <w:t>на підставі виданих електропередавальною організацією технічних умов, а її вартість враховується у вартості послуги з нестандартного приєднання.</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За бажанням замовника виконання деяких робіт, передбачених проектною документацією розвитку мереж</w:t>
            </w:r>
            <w:r w:rsidR="00865E39">
              <w:rPr>
                <w:rFonts w:ascii="Times New Roman" w:hAnsi="Times New Roman"/>
                <w:b/>
                <w:szCs w:val="26"/>
              </w:rPr>
              <w:t>,</w:t>
            </w:r>
            <w:r w:rsidRPr="003758B6">
              <w:rPr>
                <w:rFonts w:ascii="Times New Roman" w:hAnsi="Times New Roman"/>
                <w:b/>
                <w:szCs w:val="26"/>
              </w:rPr>
              <w:t xml:space="preserve"> для забезпечення нестандартного приєднання може проводитись ним самостійно із зменшенням вартості послуги нестандартного приєднання на вартість виконаних робіт. Перелік та вимоги до таких робіт, перевірка якості їх виконання, визначаються договором про нестандартне приєднання.</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 xml:space="preserve">Приєднання електроустановок замовника, яке не є стандартним приєднанням, фінансується в розмірі розрахованої плати за приєднання за рахунок коштів, отриманих як плата за приєднання замовника. У разі недостатності таких коштів для виконання в повному обсязі робіт згідно з проектно-кошторисною документацією ці роботи фінансуються за рахунок плати за приєднання інших замовників, які приєднуються до того самого місця забезпечення потужності, або складової тарифу на передачу або розподіл електричної енергії, або за зверненням замовника за рахунок поворотної фінансової допомоги, яка може надаватися електропередавальній організації. Додатково необхідні кошти для виконання в повному обсязі робіт згідно з проектно-кошторисною документацією передбачаються у складовій тарифу на передачу або розподіл електричної енергії в установленому законодавством порядку строком до п'яти років. Джерелом повернення коштів, залучених від замовника як поворотна фінансова допомога, є плата за приєднання інших замовників, що приєднуються до того самого </w:t>
            </w:r>
            <w:r w:rsidRPr="003758B6">
              <w:rPr>
                <w:rFonts w:ascii="Times New Roman" w:hAnsi="Times New Roman"/>
                <w:b/>
                <w:szCs w:val="26"/>
              </w:rPr>
              <w:lastRenderedPageBreak/>
              <w:t>місця забезпечення потужності, та складова тарифу на передачу або розподіл електричної енергії. Кошти, залучені від замовника як поворотна фінансова допомога, повертаються у строк до п'яти років відповідно до порядку фінансування послуг з приєднання електроустановок до електричних мереж. Частка витрат для створення за рахунок тарифу на передачу або розподіл електричної енергії резерву потужності у місці забезпечення потужності, компенсована у складі плати за приєднання замовниками, приєднана потужність електроустановок яких забезпечується від того самого місця забезпечення потужності, враховується під час перегляду відповідної складової тарифу на передачу або розподіл електричної енергії шляхом виключення з тарифу відповідних сум.</w:t>
            </w:r>
          </w:p>
          <w:p w:rsidR="00190228" w:rsidRPr="003758B6" w:rsidRDefault="00190228" w:rsidP="00190228">
            <w:pPr>
              <w:pStyle w:val="aa"/>
              <w:rPr>
                <w:rFonts w:ascii="Times New Roman" w:hAnsi="Times New Roman"/>
                <w:b/>
                <w:szCs w:val="26"/>
              </w:rPr>
            </w:pPr>
            <w:r w:rsidRPr="003758B6">
              <w:rPr>
                <w:rFonts w:ascii="Times New Roman" w:hAnsi="Times New Roman"/>
                <w:b/>
                <w:szCs w:val="26"/>
              </w:rPr>
              <w:t>Строк повернення поворотної фінансової допомоги замовнику встановлюється національною комісією, що здійснює державне регулювання у сферах енергетики та комунальних послуг, відповідно до порядку фінансування послуг з приєднання електроустановок до електричних мереж і не може перевищувати 10 років. Джерелом повернення поворотної фінансової допомоги є складова тарифу на передачу або розподіл електричної енергії.</w:t>
            </w:r>
          </w:p>
          <w:p w:rsidR="003D2205" w:rsidRPr="006F6267" w:rsidRDefault="00190228" w:rsidP="00190228">
            <w:pPr>
              <w:ind w:firstLine="317"/>
              <w:jc w:val="both"/>
              <w:rPr>
                <w:b/>
                <w:i/>
                <w:sz w:val="26"/>
                <w:szCs w:val="26"/>
                <w:u w:val="single"/>
              </w:rPr>
            </w:pPr>
            <w:r w:rsidRPr="003758B6">
              <w:rPr>
                <w:b/>
                <w:sz w:val="26"/>
                <w:szCs w:val="26"/>
              </w:rPr>
              <w:t>Вартість послуг з приєднання електроустановок замовника, призначених для забезпечення електропостачання об'єктів будівництва, в яких передбачається розміщення доступного житла або житлового фонду соціального призначення, зменшується для замовника пропорційно площі такого доступного житла або житлового фонду соціального призначення до загальної площі об'єкта будівництва. Частина вартості послуг з приєднання електроустановок замовника, на яку зменшено вартість послуг з приєднання електроустановок замовника до електричних мереж, фінансується за рахунок тарифу на передачу або розподіл електричної енергії, який встановлюється для електропередавальної організації національною комісією, що здійснює державне регулювання у сферах енергетики та комунальних послуг.</w:t>
            </w:r>
          </w:p>
        </w:tc>
      </w:tr>
      <w:tr w:rsidR="003D2205" w:rsidRPr="006F6267" w:rsidTr="00050C71">
        <w:trPr>
          <w:trHeight w:val="557"/>
        </w:trPr>
        <w:tc>
          <w:tcPr>
            <w:tcW w:w="7621" w:type="dxa"/>
            <w:shd w:val="clear" w:color="auto" w:fill="auto"/>
          </w:tcPr>
          <w:p w:rsidR="003D2205" w:rsidRPr="006F6267" w:rsidRDefault="003D2205" w:rsidP="00E30A50">
            <w:pPr>
              <w:ind w:firstLine="142"/>
              <w:rPr>
                <w:color w:val="000000"/>
                <w:sz w:val="26"/>
                <w:szCs w:val="26"/>
              </w:rPr>
            </w:pPr>
            <w:bookmarkStart w:id="1" w:name="n468"/>
            <w:bookmarkStart w:id="2" w:name="n467"/>
            <w:bookmarkEnd w:id="1"/>
            <w:bookmarkEnd w:id="2"/>
            <w:r w:rsidRPr="006F6267">
              <w:rPr>
                <w:color w:val="000000"/>
                <w:sz w:val="26"/>
                <w:szCs w:val="26"/>
              </w:rPr>
              <w:lastRenderedPageBreak/>
              <w:t>Стаття 18. Проектування та будівництво об’єктів електроенергетики</w:t>
            </w:r>
          </w:p>
          <w:p w:rsidR="008F4292" w:rsidRPr="006F6267" w:rsidRDefault="003D2205" w:rsidP="00E30A50">
            <w:pPr>
              <w:ind w:firstLine="142"/>
              <w:jc w:val="both"/>
              <w:rPr>
                <w:color w:val="000000"/>
                <w:sz w:val="26"/>
                <w:szCs w:val="26"/>
                <w:lang w:eastAsia="uk-UA"/>
              </w:rPr>
            </w:pPr>
            <w:r w:rsidRPr="006F6267">
              <w:rPr>
                <w:color w:val="000000"/>
                <w:sz w:val="26"/>
                <w:szCs w:val="26"/>
                <w:lang w:eastAsia="uk-UA"/>
              </w:rPr>
              <w:t>…</w:t>
            </w:r>
            <w:bookmarkStart w:id="3" w:name="n469"/>
            <w:bookmarkEnd w:id="3"/>
          </w:p>
          <w:p w:rsidR="003D2205" w:rsidRPr="006F6267" w:rsidRDefault="003D2205" w:rsidP="00E30A50">
            <w:pPr>
              <w:ind w:firstLine="142"/>
              <w:jc w:val="both"/>
              <w:rPr>
                <w:b/>
                <w:color w:val="000000"/>
                <w:sz w:val="26"/>
                <w:szCs w:val="26"/>
                <w:lang w:eastAsia="uk-UA"/>
              </w:rPr>
            </w:pPr>
            <w:r w:rsidRPr="006F6267">
              <w:rPr>
                <w:color w:val="000000"/>
                <w:sz w:val="26"/>
                <w:szCs w:val="26"/>
                <w:lang w:eastAsia="uk-UA"/>
              </w:rPr>
              <w:t xml:space="preserve">Фінансування капітального будівництва, реконструкції та обслуговування об’єктів, призначених для спільних потреб підприємств електроенергетики та підприємств інших галузей, провадиться </w:t>
            </w:r>
            <w:r w:rsidRPr="006F6267">
              <w:rPr>
                <w:b/>
                <w:color w:val="000000"/>
                <w:sz w:val="26"/>
                <w:szCs w:val="26"/>
                <w:lang w:eastAsia="uk-UA"/>
              </w:rPr>
              <w:t>за рахунок замовників (власників) та користувачів цих об’єктів.</w:t>
            </w:r>
          </w:p>
          <w:p w:rsidR="003D2205" w:rsidRPr="006F6267" w:rsidRDefault="003D2205" w:rsidP="00E30A50">
            <w:pPr>
              <w:ind w:firstLine="142"/>
              <w:jc w:val="both"/>
              <w:rPr>
                <w:color w:val="000000"/>
                <w:sz w:val="26"/>
                <w:szCs w:val="26"/>
                <w:lang w:eastAsia="uk-UA"/>
              </w:rPr>
            </w:pPr>
            <w:bookmarkStart w:id="4" w:name="n470"/>
            <w:bookmarkEnd w:id="4"/>
            <w:r w:rsidRPr="006F6267">
              <w:rPr>
                <w:color w:val="000000"/>
                <w:sz w:val="26"/>
                <w:szCs w:val="26"/>
                <w:lang w:eastAsia="uk-UA"/>
              </w:rPr>
              <w:t xml:space="preserve">Розвиток електричних мереж, які перебувають у власності або користуванні електропередавальних організацій, передбачається інвестиційними програмами, схваленими національною комісією, що здійснює державне регулювання у сферах енергетики та комунальних послуг, та фінансується за рахунок коштів, передбачених у тарифах на передачу або розподіл електричної енергії, оплати вартості послуг з приєднання, </w:t>
            </w:r>
            <w:r w:rsidRPr="006F6267">
              <w:rPr>
                <w:b/>
                <w:color w:val="000000"/>
                <w:sz w:val="26"/>
                <w:szCs w:val="26"/>
                <w:lang w:eastAsia="uk-UA"/>
              </w:rPr>
              <w:t>поворотної фінансової допомоги замовників</w:t>
            </w:r>
            <w:r w:rsidRPr="006F6267">
              <w:rPr>
                <w:color w:val="000000"/>
                <w:sz w:val="26"/>
                <w:szCs w:val="26"/>
                <w:lang w:eastAsia="uk-UA"/>
              </w:rPr>
              <w:t xml:space="preserve">, банківських кредитів, коштів, залучених з інших джерел, не заборонених законодавством. </w:t>
            </w:r>
            <w:r w:rsidRPr="006F6267">
              <w:rPr>
                <w:b/>
                <w:color w:val="000000"/>
                <w:sz w:val="26"/>
                <w:szCs w:val="26"/>
                <w:lang w:eastAsia="uk-UA"/>
              </w:rPr>
              <w:t xml:space="preserve">Кошти, отримані як поворотна фінансова допомога замовників для фінансування робіт з приєднання, обліковуються окремо та використовуються електропередавальною організацією для приєднання електроустановок замовників. </w:t>
            </w:r>
            <w:r w:rsidRPr="006F6267">
              <w:rPr>
                <w:color w:val="000000"/>
                <w:sz w:val="26"/>
                <w:szCs w:val="26"/>
                <w:lang w:eastAsia="uk-UA"/>
              </w:rPr>
              <w:t>Розвиток електричних мереж електропередавальної організації має узгоджуватися з планами забудови відповідної території.</w:t>
            </w:r>
          </w:p>
          <w:p w:rsidR="003D2205" w:rsidRPr="006F6267" w:rsidRDefault="003D2205" w:rsidP="00E30A50">
            <w:pPr>
              <w:ind w:firstLine="142"/>
              <w:jc w:val="both"/>
              <w:rPr>
                <w:b/>
                <w:sz w:val="26"/>
                <w:szCs w:val="26"/>
              </w:rPr>
            </w:pPr>
          </w:p>
        </w:tc>
        <w:tc>
          <w:tcPr>
            <w:tcW w:w="8363" w:type="dxa"/>
            <w:gridSpan w:val="2"/>
          </w:tcPr>
          <w:p w:rsidR="003D2205" w:rsidRPr="006F6267" w:rsidRDefault="003D2205" w:rsidP="00F919E9">
            <w:pPr>
              <w:ind w:firstLine="176"/>
              <w:rPr>
                <w:color w:val="000000"/>
                <w:sz w:val="26"/>
                <w:szCs w:val="26"/>
              </w:rPr>
            </w:pPr>
            <w:r w:rsidRPr="006F6267">
              <w:rPr>
                <w:color w:val="000000"/>
                <w:sz w:val="26"/>
                <w:szCs w:val="26"/>
              </w:rPr>
              <w:t xml:space="preserve">Стаття 18. Проектування та будівництво об’єктів </w:t>
            </w:r>
            <w:r w:rsidR="003758B6">
              <w:rPr>
                <w:color w:val="000000"/>
                <w:sz w:val="26"/>
                <w:szCs w:val="26"/>
              </w:rPr>
              <w:br/>
            </w:r>
            <w:r w:rsidRPr="006F6267">
              <w:rPr>
                <w:color w:val="000000"/>
                <w:sz w:val="26"/>
                <w:szCs w:val="26"/>
              </w:rPr>
              <w:t>електроенергетики</w:t>
            </w:r>
          </w:p>
          <w:p w:rsidR="003D2205" w:rsidRPr="006F6267" w:rsidRDefault="003D2205" w:rsidP="00F919E9">
            <w:pPr>
              <w:ind w:firstLine="176"/>
              <w:rPr>
                <w:color w:val="000000"/>
                <w:sz w:val="26"/>
                <w:szCs w:val="26"/>
              </w:rPr>
            </w:pPr>
            <w:r w:rsidRPr="006F6267">
              <w:rPr>
                <w:color w:val="000000"/>
                <w:sz w:val="26"/>
                <w:szCs w:val="26"/>
              </w:rPr>
              <w:t>…</w:t>
            </w:r>
          </w:p>
          <w:p w:rsidR="003D2205" w:rsidRPr="006F6267" w:rsidRDefault="003D2205" w:rsidP="00F919E9">
            <w:pPr>
              <w:ind w:firstLine="176"/>
              <w:jc w:val="both"/>
              <w:rPr>
                <w:b/>
                <w:color w:val="000000"/>
                <w:sz w:val="26"/>
                <w:szCs w:val="26"/>
                <w:lang w:eastAsia="uk-UA"/>
              </w:rPr>
            </w:pPr>
            <w:r w:rsidRPr="006F6267">
              <w:rPr>
                <w:color w:val="000000"/>
                <w:sz w:val="26"/>
                <w:szCs w:val="26"/>
                <w:lang w:eastAsia="uk-UA"/>
              </w:rPr>
              <w:t xml:space="preserve">Фінансування капітального будівництва, реконструкції та обслуговування об’єктів, призначених для спільних потреб підприємств електроенергетики та підприємств інших галузей, провадиться </w:t>
            </w:r>
            <w:r w:rsidRPr="006F6267">
              <w:rPr>
                <w:b/>
                <w:color w:val="000000"/>
                <w:sz w:val="26"/>
                <w:szCs w:val="26"/>
                <w:lang w:eastAsia="uk-UA"/>
              </w:rPr>
              <w:t>відповідно до статті 17</w:t>
            </w:r>
            <w:r w:rsidRPr="006F6267">
              <w:rPr>
                <w:b/>
                <w:color w:val="000000"/>
                <w:sz w:val="26"/>
                <w:szCs w:val="26"/>
                <w:vertAlign w:val="superscript"/>
                <w:lang w:eastAsia="uk-UA"/>
              </w:rPr>
              <w:t>2</w:t>
            </w:r>
            <w:r w:rsidRPr="006F6267">
              <w:rPr>
                <w:b/>
                <w:color w:val="000000"/>
                <w:sz w:val="26"/>
                <w:szCs w:val="26"/>
                <w:lang w:eastAsia="uk-UA"/>
              </w:rPr>
              <w:t xml:space="preserve"> цього Закону. </w:t>
            </w:r>
          </w:p>
          <w:p w:rsidR="003D2205" w:rsidRPr="006F6267" w:rsidRDefault="00822B7E" w:rsidP="00F919E9">
            <w:pPr>
              <w:ind w:firstLine="176"/>
              <w:jc w:val="both"/>
              <w:rPr>
                <w:b/>
                <w:sz w:val="26"/>
                <w:szCs w:val="26"/>
              </w:rPr>
            </w:pPr>
            <w:r w:rsidRPr="006F6267">
              <w:rPr>
                <w:sz w:val="26"/>
                <w:szCs w:val="26"/>
              </w:rPr>
              <w:t>Розвиток електричних мереж, які перебувають у власності або користуванні електропередавальних організацій, передбачається інвестиційними програмами, схваленими національною комісією, що здійснює державне регулювання у сферах енергетики та комунальних послуг, та фінансується за рахунок коштів, передбачених у тарифах на передачу або розподіл електричної енергії, оплати вартості послуг з приєднання, банківських кредитів, коштів, залучених з інших джерел, не заборонених законодавством. Розвиток електричних мереж електропередавальної організації має узгоджуватися з планами забудови відповідної території.</w:t>
            </w:r>
          </w:p>
        </w:tc>
      </w:tr>
      <w:tr w:rsidR="003D2205" w:rsidRPr="006F6267" w:rsidTr="00050C71">
        <w:trPr>
          <w:trHeight w:val="1408"/>
        </w:trPr>
        <w:tc>
          <w:tcPr>
            <w:tcW w:w="7621" w:type="dxa"/>
            <w:shd w:val="clear" w:color="auto" w:fill="auto"/>
          </w:tcPr>
          <w:p w:rsidR="003D2205" w:rsidRPr="006F6267" w:rsidRDefault="003D2205" w:rsidP="00E30A50">
            <w:pPr>
              <w:ind w:firstLine="142"/>
              <w:rPr>
                <w:sz w:val="26"/>
                <w:szCs w:val="26"/>
              </w:rPr>
            </w:pPr>
            <w:r w:rsidRPr="006F6267">
              <w:rPr>
                <w:b/>
                <w:sz w:val="26"/>
                <w:szCs w:val="26"/>
              </w:rPr>
              <w:t>відсутня</w:t>
            </w:r>
          </w:p>
        </w:tc>
        <w:tc>
          <w:tcPr>
            <w:tcW w:w="8363" w:type="dxa"/>
            <w:gridSpan w:val="2"/>
          </w:tcPr>
          <w:p w:rsidR="00EE2067" w:rsidRPr="003758B6" w:rsidRDefault="00EE2067" w:rsidP="00EE2067">
            <w:pPr>
              <w:pStyle w:val="aa"/>
              <w:rPr>
                <w:rFonts w:ascii="Times New Roman" w:hAnsi="Times New Roman"/>
                <w:b/>
                <w:szCs w:val="26"/>
              </w:rPr>
            </w:pPr>
            <w:r w:rsidRPr="003758B6">
              <w:rPr>
                <w:rFonts w:ascii="Times New Roman" w:hAnsi="Times New Roman"/>
                <w:b/>
                <w:szCs w:val="26"/>
              </w:rPr>
              <w:t>Стаття 18</w:t>
            </w:r>
            <w:r w:rsidRPr="003758B6">
              <w:rPr>
                <w:rFonts w:ascii="Times New Roman" w:hAnsi="Times New Roman"/>
                <w:b/>
                <w:szCs w:val="26"/>
                <w:vertAlign w:val="superscript"/>
              </w:rPr>
              <w:t>1</w:t>
            </w:r>
            <w:r w:rsidRPr="003758B6">
              <w:rPr>
                <w:rFonts w:ascii="Times New Roman" w:hAnsi="Times New Roman"/>
                <w:b/>
                <w:szCs w:val="26"/>
              </w:rPr>
              <w:t>. Основні вимоги до приєднання електроустановок до електричних мереж</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Стандартне приєднання електроустановок замовників здійснюється електропередавальною організацією за заявою на підставі договору про приєднання до електричних мереж, за плату та у строки, визначені цим Законом.</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 xml:space="preserve">Для отримання проекту договору про стандартне приєднання </w:t>
            </w:r>
            <w:r w:rsidRPr="003758B6">
              <w:rPr>
                <w:rFonts w:ascii="Times New Roman" w:hAnsi="Times New Roman"/>
                <w:b/>
                <w:szCs w:val="26"/>
              </w:rPr>
              <w:lastRenderedPageBreak/>
              <w:t>замовник звертається до електропередавальної організації за місцем розташування його електроустановок із заявою про стандартне приєднання електроустановки певної потужності.</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Подання заяви може здійснюватися в електронній формі з наданням автоматичного підтвердження з офіційного веб-сайту електропередавальної організації. Таке підтвердження має містити дату подання, вхідний номер, заявлену потужність, опис місця приєднання та перелік наданих в електронній формі даних.</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Послуга із стандартного приєднання включає в себе послуги з облаштування засобів обліку відповідно до обраного споживачем тарифу.</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Електропередавальна організація у разі стандартного приєднання безоплатно не пізніше трьох робочих днів з дня надходження заяви замовника надає або надсилає в письмовому чи електронному вигляді (за бажанням замовника) підписаний договір з визначенням розміру плати за приєднання та строку підключення електроустановки замовника до електричних мереж електропередавальної організації від дня оплати замовником вартості приєднання згідно з цим договором. До договору додається розрахунок плати за приєднання, який є його невід’ємною частиною.</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Договір про стандартне приєднання вважається укладеним з моменту отримання електропередавальною організацією підписаного замовником примірника відповідного договору.</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 xml:space="preserve">Строк надання послуги із стандартного приєднання електроустановок до електричних мереж електропередавальної організації не може перевищувати для першого ступеня потужності 15 робочих днів, для другого ступеня потужності — 25 робочих днів, для третього ступеня потужності — 35 робочих днів від дня оплати замовником електропередавальній організації вартості приєднання згідно з договором про приєднання. Обчислення визначеного строку </w:t>
            </w:r>
            <w:r w:rsidRPr="003758B6">
              <w:rPr>
                <w:rFonts w:ascii="Times New Roman" w:hAnsi="Times New Roman"/>
                <w:b/>
                <w:szCs w:val="26"/>
              </w:rPr>
              <w:lastRenderedPageBreak/>
              <w:t>переривається, якщо надання послуги стандартного приєднання вимагає оформлення права власності чи користування земельною ділянкою та/або будівництво електроустановок зовнішнього забезпечення.</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У разі коли надання послуги із стандартного приєднання вимагає оформлення права власності чи користування земельною ділянкою та/або будівництво електроустановок зовнішнього забезпечення, що передбачені (або непередбачені) інвестиційною програмою, її надання продовжується на строк, необхідний для цього відповідно до законодавства. При цьому, загальний строк надання послуги зі стандартного приєднання не може перевищувати 65 робочих днів у разі передбачення зазначених заходів інвестиційною програмою та 135 робочих днів у разі відсутності цих заходів в інвестиційній програмі.</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Електропередавальна організація письмово повідомляє замовнику про збільшення строку надання послуги із стандартного приєднання із зазначенням кількості робочих днів, на яку продовжується строк, та переліку організацій, до яких звернулась електропередавальна організація щодо питання землевідведення та/або будівництва.</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Нестандартне приєднання електроустановок замовників здійснюється електропередавальною організацією за заявою замовника на підставі договору про приєднання до електричних мереж та відповідної проектної документації, розробленої та погодженої в установленому порядку.</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Строк надання послуги нестандартного приєднання електроустановок замовника до електричних мереж електропередавальної організації визначаються згідно проектної документації та договору з надання послуги нестандартного приєднання.</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 xml:space="preserve">Органи державної влади та органи місцевого самоврядування, </w:t>
            </w:r>
            <w:r w:rsidRPr="003758B6">
              <w:rPr>
                <w:rFonts w:ascii="Times New Roman" w:hAnsi="Times New Roman"/>
                <w:b/>
                <w:szCs w:val="26"/>
              </w:rPr>
              <w:lastRenderedPageBreak/>
              <w:t>зобов’язані вживати в межах своєї компетенції відповідних заходів для забезпечення електропередавальними організаціями надання послуг зі стандартного приєднання в межах строків, визначених цим Законом.</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Розроблення проектної документації, підготовка технічних умов до проекту зовнішнього електрозабезпечення, будівельні роботи та прийняття в експлуатацію новозбудованих чи реконструйованих електроустановок до точки приєднання замовника в межах стандартного приєднання забезпечується електропередавальною організацією.</w:t>
            </w:r>
          </w:p>
          <w:p w:rsidR="00EE2067" w:rsidRPr="003758B6" w:rsidRDefault="00EE2067" w:rsidP="00EE2067">
            <w:pPr>
              <w:pStyle w:val="aa"/>
              <w:rPr>
                <w:rFonts w:ascii="Times New Roman" w:hAnsi="Times New Roman"/>
                <w:b/>
                <w:szCs w:val="26"/>
              </w:rPr>
            </w:pPr>
            <w:r w:rsidRPr="003758B6">
              <w:rPr>
                <w:rFonts w:ascii="Times New Roman" w:hAnsi="Times New Roman"/>
                <w:b/>
                <w:szCs w:val="26"/>
              </w:rPr>
              <w:t>Порядок стандартного та нестандартного приєднання визначається правилами приєднання електроустановок до електричних мереж, що затверджуються національною комісією, що здійснює державне регулювання у сферах енергетики та комунальних послуг, з урахуванням вимог цього Закону.</w:t>
            </w:r>
          </w:p>
          <w:p w:rsidR="003D2205" w:rsidRPr="006F6267" w:rsidRDefault="003D2205" w:rsidP="001A171E">
            <w:pPr>
              <w:ind w:firstLine="317"/>
              <w:jc w:val="both"/>
              <w:rPr>
                <w:sz w:val="26"/>
                <w:szCs w:val="26"/>
              </w:rPr>
            </w:pPr>
          </w:p>
        </w:tc>
      </w:tr>
      <w:tr w:rsidR="003D2205" w:rsidRPr="006F6267" w:rsidTr="00050C71">
        <w:tc>
          <w:tcPr>
            <w:tcW w:w="7621" w:type="dxa"/>
            <w:shd w:val="clear" w:color="auto" w:fill="auto"/>
          </w:tcPr>
          <w:p w:rsidR="003D2205" w:rsidRPr="006F6267" w:rsidRDefault="003D2205" w:rsidP="00E30A50">
            <w:pPr>
              <w:ind w:firstLine="142"/>
              <w:jc w:val="both"/>
              <w:rPr>
                <w:sz w:val="26"/>
                <w:szCs w:val="26"/>
              </w:rPr>
            </w:pPr>
            <w:r w:rsidRPr="006F6267">
              <w:rPr>
                <w:sz w:val="26"/>
                <w:szCs w:val="26"/>
              </w:rPr>
              <w:lastRenderedPageBreak/>
              <w:t xml:space="preserve">Стаття 24. Права, обов’язки та відповідальність </w:t>
            </w:r>
            <w:proofErr w:type="spellStart"/>
            <w:r w:rsidRPr="006F6267">
              <w:rPr>
                <w:sz w:val="26"/>
                <w:szCs w:val="26"/>
              </w:rPr>
              <w:t>енергопостачальників</w:t>
            </w:r>
            <w:proofErr w:type="spellEnd"/>
            <w:r w:rsidRPr="006F6267">
              <w:rPr>
                <w:sz w:val="26"/>
                <w:szCs w:val="26"/>
              </w:rPr>
              <w:t xml:space="preserve"> і електропередавальних організацій</w:t>
            </w:r>
          </w:p>
          <w:p w:rsidR="003D2205" w:rsidRPr="006F6267" w:rsidRDefault="001B04F8" w:rsidP="00E30A50">
            <w:pPr>
              <w:ind w:firstLine="142"/>
              <w:jc w:val="both"/>
              <w:rPr>
                <w:sz w:val="26"/>
                <w:szCs w:val="26"/>
              </w:rPr>
            </w:pPr>
            <w:r w:rsidRPr="006F6267">
              <w:rPr>
                <w:sz w:val="26"/>
                <w:szCs w:val="26"/>
              </w:rPr>
              <w:t>…</w:t>
            </w:r>
          </w:p>
          <w:p w:rsidR="003D2205" w:rsidRPr="006F6267" w:rsidRDefault="003D2205" w:rsidP="001071C8">
            <w:pPr>
              <w:ind w:firstLine="142"/>
              <w:jc w:val="both"/>
              <w:rPr>
                <w:sz w:val="26"/>
                <w:szCs w:val="26"/>
              </w:rPr>
            </w:pPr>
            <w:r w:rsidRPr="006F6267">
              <w:rPr>
                <w:sz w:val="26"/>
                <w:szCs w:val="26"/>
              </w:rPr>
              <w:t xml:space="preserve">Електропередавальна організація оприлюднює та </w:t>
            </w:r>
            <w:proofErr w:type="spellStart"/>
            <w:r w:rsidRPr="006F6267">
              <w:rPr>
                <w:sz w:val="26"/>
                <w:szCs w:val="26"/>
              </w:rPr>
              <w:t>щопівроку</w:t>
            </w:r>
            <w:proofErr w:type="spellEnd"/>
            <w:r w:rsidRPr="006F6267">
              <w:rPr>
                <w:sz w:val="26"/>
                <w:szCs w:val="26"/>
              </w:rPr>
              <w:t xml:space="preserve"> оновлює на своєму веб-сайті в мережі Інтернет інформацію </w:t>
            </w:r>
            <w:r w:rsidRPr="006F6267">
              <w:rPr>
                <w:b/>
                <w:sz w:val="26"/>
                <w:szCs w:val="26"/>
              </w:rPr>
              <w:t xml:space="preserve">за всіма трансформаторними підстанціями на території здійснення ліцензованої діяльності щодо їх номінальної потужності, приєднаної потужності, </w:t>
            </w:r>
            <w:proofErr w:type="spellStart"/>
            <w:r w:rsidRPr="006F6267">
              <w:rPr>
                <w:b/>
                <w:sz w:val="26"/>
                <w:szCs w:val="26"/>
              </w:rPr>
              <w:t>потужності</w:t>
            </w:r>
            <w:proofErr w:type="spellEnd"/>
            <w:r w:rsidRPr="006F6267">
              <w:rPr>
                <w:b/>
                <w:sz w:val="26"/>
                <w:szCs w:val="26"/>
              </w:rPr>
              <w:t>, що приєднується за договорами про приєднання, резерву потужності з урахуванням укладених договорів про приєднання.</w:t>
            </w:r>
            <w:r w:rsidR="00B953BF" w:rsidRPr="006F6267">
              <w:rPr>
                <w:b/>
                <w:sz w:val="26"/>
                <w:szCs w:val="26"/>
              </w:rPr>
              <w:t xml:space="preserve"> </w:t>
            </w:r>
            <w:r w:rsidRPr="006F6267">
              <w:rPr>
                <w:sz w:val="26"/>
                <w:szCs w:val="26"/>
              </w:rPr>
              <w:t>Правилами приєднання електроустановок до електричних мереж можуть встановлюватися додаткові вимоги до інформації, яка підлягає оприлюдненню. Така інформація є відкритою та надається безоплатно</w:t>
            </w:r>
          </w:p>
          <w:p w:rsidR="003D2205" w:rsidRPr="006F6267" w:rsidRDefault="001B04F8" w:rsidP="00A26CCD">
            <w:pPr>
              <w:jc w:val="both"/>
              <w:rPr>
                <w:sz w:val="26"/>
                <w:szCs w:val="26"/>
              </w:rPr>
            </w:pPr>
            <w:r w:rsidRPr="006F6267">
              <w:rPr>
                <w:sz w:val="26"/>
                <w:szCs w:val="26"/>
              </w:rPr>
              <w:t>…</w:t>
            </w:r>
            <w:r w:rsidR="001071C8" w:rsidRPr="006F6267">
              <w:rPr>
                <w:sz w:val="26"/>
                <w:szCs w:val="26"/>
              </w:rPr>
              <w:t xml:space="preserve"> </w:t>
            </w:r>
          </w:p>
        </w:tc>
        <w:tc>
          <w:tcPr>
            <w:tcW w:w="8363" w:type="dxa"/>
            <w:gridSpan w:val="2"/>
          </w:tcPr>
          <w:p w:rsidR="00D00574" w:rsidRPr="006F6267" w:rsidRDefault="00D00574" w:rsidP="00D00574">
            <w:pPr>
              <w:ind w:firstLine="142"/>
              <w:jc w:val="both"/>
              <w:rPr>
                <w:sz w:val="26"/>
                <w:szCs w:val="26"/>
              </w:rPr>
            </w:pPr>
            <w:r w:rsidRPr="006F6267">
              <w:rPr>
                <w:sz w:val="26"/>
                <w:szCs w:val="26"/>
              </w:rPr>
              <w:t xml:space="preserve">Стаття 24. Права, обов’язки та відповідальність </w:t>
            </w:r>
            <w:proofErr w:type="spellStart"/>
            <w:r w:rsidRPr="006F6267">
              <w:rPr>
                <w:sz w:val="26"/>
                <w:szCs w:val="26"/>
              </w:rPr>
              <w:t>енергопостачальників</w:t>
            </w:r>
            <w:proofErr w:type="spellEnd"/>
            <w:r w:rsidRPr="006F6267">
              <w:rPr>
                <w:sz w:val="26"/>
                <w:szCs w:val="26"/>
              </w:rPr>
              <w:t xml:space="preserve"> і електропередавальних організацій</w:t>
            </w:r>
          </w:p>
          <w:p w:rsidR="00D00574" w:rsidRPr="006F6267" w:rsidRDefault="001B04F8" w:rsidP="00D00574">
            <w:pPr>
              <w:ind w:firstLine="142"/>
              <w:jc w:val="both"/>
              <w:rPr>
                <w:sz w:val="26"/>
                <w:szCs w:val="26"/>
              </w:rPr>
            </w:pPr>
            <w:r w:rsidRPr="006F6267">
              <w:rPr>
                <w:sz w:val="26"/>
                <w:szCs w:val="26"/>
              </w:rPr>
              <w:t>…</w:t>
            </w:r>
          </w:p>
          <w:p w:rsidR="00D00574" w:rsidRPr="006F6267" w:rsidRDefault="00D00574" w:rsidP="00D00574">
            <w:pPr>
              <w:pStyle w:val="aa"/>
              <w:rPr>
                <w:rFonts w:ascii="Times New Roman" w:hAnsi="Times New Roman"/>
                <w:b/>
                <w:szCs w:val="26"/>
              </w:rPr>
            </w:pPr>
            <w:r w:rsidRPr="006F6267">
              <w:rPr>
                <w:rFonts w:ascii="Times New Roman" w:hAnsi="Times New Roman"/>
                <w:b/>
                <w:szCs w:val="26"/>
              </w:rPr>
              <w:t xml:space="preserve">Електропередавальна організація оприлюднює та </w:t>
            </w:r>
            <w:proofErr w:type="spellStart"/>
            <w:r w:rsidRPr="006F6267">
              <w:rPr>
                <w:rFonts w:ascii="Times New Roman" w:hAnsi="Times New Roman"/>
                <w:b/>
                <w:szCs w:val="26"/>
              </w:rPr>
              <w:t>щопівроку</w:t>
            </w:r>
            <w:proofErr w:type="spellEnd"/>
            <w:r w:rsidRPr="006F6267">
              <w:rPr>
                <w:rFonts w:ascii="Times New Roman" w:hAnsi="Times New Roman"/>
                <w:b/>
                <w:szCs w:val="26"/>
              </w:rPr>
              <w:t xml:space="preserve"> оновлює на своєму веб-сайті інформацію за всіма існуючими та запроектованими трансформаторними підстанціями на території здійснення ліцензованої діяльності з прив’язкою до картографічних даних щодо:</w:t>
            </w:r>
          </w:p>
          <w:p w:rsidR="00D00574" w:rsidRPr="006F6267" w:rsidRDefault="00D00574" w:rsidP="00D00574">
            <w:pPr>
              <w:pStyle w:val="aa"/>
              <w:rPr>
                <w:rFonts w:ascii="Times New Roman" w:hAnsi="Times New Roman"/>
                <w:b/>
                <w:szCs w:val="26"/>
              </w:rPr>
            </w:pPr>
            <w:r w:rsidRPr="006F6267">
              <w:rPr>
                <w:rFonts w:ascii="Times New Roman" w:hAnsi="Times New Roman"/>
                <w:b/>
                <w:szCs w:val="26"/>
              </w:rPr>
              <w:t>територій електрифікації на території здійснення ліцензованої діяльності;</w:t>
            </w:r>
          </w:p>
          <w:p w:rsidR="00D00574" w:rsidRPr="006F6267" w:rsidRDefault="00D00574" w:rsidP="00D00574">
            <w:pPr>
              <w:pStyle w:val="aa"/>
              <w:rPr>
                <w:rFonts w:ascii="Times New Roman" w:hAnsi="Times New Roman"/>
                <w:b/>
                <w:szCs w:val="26"/>
              </w:rPr>
            </w:pPr>
            <w:r w:rsidRPr="006F6267">
              <w:rPr>
                <w:rFonts w:ascii="Times New Roman" w:hAnsi="Times New Roman"/>
                <w:b/>
                <w:szCs w:val="26"/>
              </w:rPr>
              <w:t xml:space="preserve">номінальної потужності, приєднаної потужності, </w:t>
            </w:r>
            <w:proofErr w:type="spellStart"/>
            <w:r w:rsidRPr="006F6267">
              <w:rPr>
                <w:rFonts w:ascii="Times New Roman" w:hAnsi="Times New Roman"/>
                <w:b/>
                <w:szCs w:val="26"/>
              </w:rPr>
              <w:t>потужності</w:t>
            </w:r>
            <w:proofErr w:type="spellEnd"/>
            <w:r w:rsidRPr="006F6267">
              <w:rPr>
                <w:rFonts w:ascii="Times New Roman" w:hAnsi="Times New Roman"/>
                <w:b/>
                <w:szCs w:val="26"/>
              </w:rPr>
              <w:t>, що приєднується згідно з договорами про приєднання;</w:t>
            </w:r>
          </w:p>
          <w:p w:rsidR="00D00574" w:rsidRPr="006F6267" w:rsidRDefault="00D00574" w:rsidP="00D00574">
            <w:pPr>
              <w:pStyle w:val="aa"/>
              <w:rPr>
                <w:rFonts w:ascii="Times New Roman" w:hAnsi="Times New Roman"/>
                <w:b/>
                <w:szCs w:val="26"/>
              </w:rPr>
            </w:pPr>
            <w:r w:rsidRPr="006F6267">
              <w:rPr>
                <w:rFonts w:ascii="Times New Roman" w:hAnsi="Times New Roman"/>
                <w:b/>
                <w:szCs w:val="26"/>
              </w:rPr>
              <w:t>резерву потужності з урахуванням укладених договорів про приєднання;</w:t>
            </w:r>
          </w:p>
          <w:p w:rsidR="00D00574" w:rsidRPr="006F6267" w:rsidRDefault="00D00574" w:rsidP="00D00574">
            <w:pPr>
              <w:pStyle w:val="aa"/>
              <w:rPr>
                <w:rFonts w:ascii="Times New Roman" w:hAnsi="Times New Roman"/>
                <w:b/>
                <w:szCs w:val="26"/>
              </w:rPr>
            </w:pPr>
            <w:r w:rsidRPr="006F6267">
              <w:rPr>
                <w:rFonts w:ascii="Times New Roman" w:hAnsi="Times New Roman"/>
                <w:b/>
                <w:szCs w:val="26"/>
              </w:rPr>
              <w:t>замірів режимного дня;</w:t>
            </w:r>
          </w:p>
          <w:p w:rsidR="00D00574" w:rsidRPr="006F6267" w:rsidRDefault="00D00574" w:rsidP="00D00574">
            <w:pPr>
              <w:pStyle w:val="aa"/>
              <w:rPr>
                <w:rFonts w:ascii="Times New Roman" w:hAnsi="Times New Roman"/>
                <w:b/>
                <w:szCs w:val="26"/>
              </w:rPr>
            </w:pPr>
            <w:r w:rsidRPr="006F6267">
              <w:rPr>
                <w:rFonts w:ascii="Times New Roman" w:hAnsi="Times New Roman"/>
                <w:b/>
                <w:szCs w:val="26"/>
              </w:rPr>
              <w:lastRenderedPageBreak/>
              <w:t>діючого розміру ставки плати за стандартне приєднання.</w:t>
            </w:r>
          </w:p>
          <w:p w:rsidR="00D00574" w:rsidRPr="006F6267" w:rsidRDefault="00D00574" w:rsidP="00D00574">
            <w:pPr>
              <w:pStyle w:val="aa"/>
              <w:rPr>
                <w:rFonts w:ascii="Times New Roman" w:hAnsi="Times New Roman"/>
                <w:b/>
                <w:szCs w:val="26"/>
              </w:rPr>
            </w:pPr>
            <w:r w:rsidRPr="006F6267">
              <w:rPr>
                <w:rFonts w:ascii="Times New Roman" w:hAnsi="Times New Roman"/>
                <w:b/>
                <w:szCs w:val="26"/>
              </w:rPr>
              <w:t>Інформація про існуючі та запроектовані трансформаторні підстанції електропередавальної організації є відкритою та надається безоплатно.</w:t>
            </w:r>
          </w:p>
          <w:p w:rsidR="00D00574" w:rsidRPr="006F6267" w:rsidRDefault="00D00574" w:rsidP="00D00574">
            <w:pPr>
              <w:pStyle w:val="aa"/>
              <w:rPr>
                <w:rFonts w:ascii="Times New Roman" w:hAnsi="Times New Roman"/>
                <w:b/>
                <w:szCs w:val="26"/>
              </w:rPr>
            </w:pPr>
            <w:r w:rsidRPr="006F6267">
              <w:rPr>
                <w:rFonts w:ascii="Times New Roman" w:hAnsi="Times New Roman"/>
                <w:b/>
                <w:szCs w:val="26"/>
              </w:rPr>
              <w:t>Для виконання зазначеного обов’язку електропередавальні організації мають право на безоплатне отримання від місцевих державних адміністрацій та органів місцевого самоврядування копій матеріалів містобудівної документації, затвердженої в установленому порядку, або витягів з них.</w:t>
            </w:r>
          </w:p>
          <w:p w:rsidR="00D00574" w:rsidRPr="006F6267" w:rsidRDefault="00D00574" w:rsidP="00D00574">
            <w:pPr>
              <w:pStyle w:val="aa"/>
              <w:rPr>
                <w:rFonts w:ascii="Times New Roman" w:hAnsi="Times New Roman"/>
                <w:b/>
                <w:szCs w:val="26"/>
              </w:rPr>
            </w:pPr>
            <w:r w:rsidRPr="006F6267">
              <w:rPr>
                <w:rFonts w:ascii="Times New Roman" w:hAnsi="Times New Roman"/>
                <w:b/>
                <w:szCs w:val="26"/>
              </w:rPr>
              <w:t>Зазначені матеріали надаються на запит електропередавальної організації не пізніше 10 робочих днів від дня надходження запиту.</w:t>
            </w:r>
          </w:p>
          <w:p w:rsidR="003D2205" w:rsidRPr="006F6267" w:rsidRDefault="00D00574" w:rsidP="00D00574">
            <w:pPr>
              <w:jc w:val="both"/>
              <w:rPr>
                <w:b/>
                <w:sz w:val="26"/>
                <w:szCs w:val="26"/>
              </w:rPr>
            </w:pPr>
            <w:r w:rsidRPr="006F6267">
              <w:rPr>
                <w:b/>
                <w:sz w:val="26"/>
                <w:szCs w:val="26"/>
              </w:rPr>
              <w:t>Правилами приєднання електроустановок до електричних мереж можуть встановлюватися додаткові вимоги до інформації, яка підлягає оприлюдненню. Така інформація є відкритою, надається безоплатно та може бути використана замовниками у відповідних проектних рішеннях протягом півроку з дати її опублікування електропередавальною організацією.</w:t>
            </w:r>
          </w:p>
          <w:p w:rsidR="001B04F8" w:rsidRPr="006B4334" w:rsidRDefault="001B04F8" w:rsidP="00D00574">
            <w:pPr>
              <w:jc w:val="both"/>
              <w:rPr>
                <w:sz w:val="26"/>
                <w:szCs w:val="26"/>
              </w:rPr>
            </w:pPr>
            <w:r w:rsidRPr="006B4334">
              <w:rPr>
                <w:sz w:val="26"/>
                <w:szCs w:val="26"/>
              </w:rPr>
              <w:t>…</w:t>
            </w:r>
          </w:p>
        </w:tc>
      </w:tr>
      <w:tr w:rsidR="003D2205" w:rsidRPr="006F6267" w:rsidTr="00050C71">
        <w:tc>
          <w:tcPr>
            <w:tcW w:w="7621" w:type="dxa"/>
            <w:shd w:val="clear" w:color="auto" w:fill="auto"/>
          </w:tcPr>
          <w:p w:rsidR="003D2205" w:rsidRPr="006F6267" w:rsidRDefault="003D2205" w:rsidP="008B6642">
            <w:pPr>
              <w:pStyle w:val="rvps2"/>
              <w:spacing w:before="0" w:beforeAutospacing="0" w:after="0" w:afterAutospacing="0"/>
              <w:ind w:firstLine="142"/>
              <w:jc w:val="both"/>
              <w:rPr>
                <w:sz w:val="26"/>
                <w:szCs w:val="26"/>
                <w:lang w:val="uk-UA" w:eastAsia="uk-UA"/>
              </w:rPr>
            </w:pPr>
            <w:r w:rsidRPr="006F6267">
              <w:rPr>
                <w:sz w:val="26"/>
                <w:szCs w:val="26"/>
                <w:lang w:val="uk-UA" w:eastAsia="uk-UA"/>
              </w:rPr>
              <w:lastRenderedPageBreak/>
              <w:t>Стаття 27. Відповідальність за порушення законодавства про електроенергетику</w:t>
            </w:r>
          </w:p>
          <w:p w:rsidR="003758B6" w:rsidRDefault="003D2205" w:rsidP="008B6642">
            <w:pPr>
              <w:pStyle w:val="rvps2"/>
              <w:spacing w:before="0" w:beforeAutospacing="0" w:after="0" w:afterAutospacing="0"/>
              <w:ind w:firstLine="142"/>
              <w:jc w:val="both"/>
              <w:rPr>
                <w:sz w:val="26"/>
                <w:szCs w:val="26"/>
                <w:lang w:val="uk-UA" w:eastAsia="uk-UA"/>
              </w:rPr>
            </w:pPr>
            <w:r w:rsidRPr="006F6267">
              <w:rPr>
                <w:sz w:val="26"/>
                <w:szCs w:val="26"/>
                <w:lang w:val="uk-UA" w:eastAsia="uk-UA"/>
              </w:rPr>
              <w:t>…</w:t>
            </w:r>
          </w:p>
          <w:p w:rsidR="003D2205" w:rsidRPr="006F6267" w:rsidRDefault="003D2205" w:rsidP="008B6642">
            <w:pPr>
              <w:pStyle w:val="rvps2"/>
              <w:spacing w:before="120" w:beforeAutospacing="0" w:after="120" w:afterAutospacing="0"/>
              <w:ind w:firstLine="142"/>
              <w:jc w:val="both"/>
              <w:rPr>
                <w:sz w:val="26"/>
                <w:szCs w:val="26"/>
                <w:lang w:val="uk-UA" w:eastAsia="uk-UA"/>
              </w:rPr>
            </w:pPr>
            <w:r w:rsidRPr="006F6267">
              <w:rPr>
                <w:sz w:val="26"/>
                <w:szCs w:val="26"/>
                <w:lang w:val="uk-UA" w:eastAsia="uk-UA"/>
              </w:rPr>
              <w:t>Суб'єкти господарської діяльності несуть відповідальність за правопорушення в електроенергетиці:</w:t>
            </w:r>
          </w:p>
          <w:p w:rsidR="003D2205" w:rsidRPr="006F6267" w:rsidRDefault="003D2205" w:rsidP="00E30A50">
            <w:pPr>
              <w:pStyle w:val="rvps2"/>
              <w:spacing w:before="0" w:beforeAutospacing="0" w:after="120" w:afterAutospacing="0"/>
              <w:ind w:firstLine="142"/>
              <w:jc w:val="both"/>
              <w:rPr>
                <w:sz w:val="26"/>
                <w:szCs w:val="26"/>
                <w:lang w:val="uk-UA" w:eastAsia="uk-UA"/>
              </w:rPr>
            </w:pPr>
            <w:r w:rsidRPr="006F6267">
              <w:rPr>
                <w:sz w:val="26"/>
                <w:szCs w:val="26"/>
                <w:lang w:val="uk-UA" w:eastAsia="uk-UA"/>
              </w:rPr>
              <w:t xml:space="preserve">за неподання інформації або подання завідомо недостовірної інформації, передбаченої в ліцензіях на виробництво, передачу, розподіл або постачання електричної енергії, здійснення функцій системного оператора, здійснення функцій оператора ринку, здійснення функцій гарантованого покупця та в нормативно-правових актах, що регулюють питання функціонування об'єднаної енергетичної системи України і споживання енергії, - штраф у розмірі </w:t>
            </w:r>
            <w:r w:rsidRPr="006F6267">
              <w:rPr>
                <w:b/>
                <w:sz w:val="26"/>
                <w:szCs w:val="26"/>
                <w:lang w:val="uk-UA" w:eastAsia="uk-UA"/>
              </w:rPr>
              <w:t xml:space="preserve">до однієї тисячі </w:t>
            </w:r>
            <w:r w:rsidRPr="006F6267">
              <w:rPr>
                <w:sz w:val="26"/>
                <w:szCs w:val="26"/>
                <w:lang w:val="uk-UA" w:eastAsia="uk-UA"/>
              </w:rPr>
              <w:t xml:space="preserve">неоподатковуваних мінімумів </w:t>
            </w:r>
            <w:r w:rsidRPr="006F6267">
              <w:rPr>
                <w:sz w:val="26"/>
                <w:szCs w:val="26"/>
                <w:lang w:val="uk-UA" w:eastAsia="uk-UA"/>
              </w:rPr>
              <w:lastRenderedPageBreak/>
              <w:t>доходів громадян;</w:t>
            </w:r>
          </w:p>
          <w:p w:rsidR="003D2205" w:rsidRPr="006F6267" w:rsidRDefault="003D2205" w:rsidP="00E30A50">
            <w:pPr>
              <w:ind w:firstLine="142"/>
              <w:jc w:val="both"/>
              <w:rPr>
                <w:b/>
                <w:sz w:val="26"/>
                <w:szCs w:val="26"/>
              </w:rPr>
            </w:pPr>
            <w:r w:rsidRPr="006F6267">
              <w:rPr>
                <w:b/>
                <w:sz w:val="26"/>
                <w:szCs w:val="26"/>
              </w:rPr>
              <w:t>відсутн</w:t>
            </w:r>
            <w:r w:rsidR="001B04F8" w:rsidRPr="006F6267">
              <w:rPr>
                <w:b/>
                <w:sz w:val="26"/>
                <w:szCs w:val="26"/>
              </w:rPr>
              <w:t>ій</w:t>
            </w:r>
          </w:p>
          <w:p w:rsidR="003D2205" w:rsidRPr="006F6267" w:rsidRDefault="003D2205" w:rsidP="00E30A50">
            <w:pPr>
              <w:ind w:firstLine="142"/>
              <w:jc w:val="both"/>
              <w:rPr>
                <w:b/>
                <w:sz w:val="26"/>
                <w:szCs w:val="26"/>
              </w:rPr>
            </w:pPr>
          </w:p>
          <w:p w:rsidR="003D2205" w:rsidRPr="006F6267" w:rsidRDefault="003D2205" w:rsidP="00E30A50">
            <w:pPr>
              <w:ind w:firstLine="142"/>
              <w:jc w:val="both"/>
              <w:rPr>
                <w:b/>
                <w:sz w:val="26"/>
                <w:szCs w:val="26"/>
              </w:rPr>
            </w:pPr>
          </w:p>
          <w:p w:rsidR="003D2205" w:rsidRPr="006F6267" w:rsidRDefault="003D2205" w:rsidP="00E30A50">
            <w:pPr>
              <w:pStyle w:val="rvps2"/>
              <w:shd w:val="clear" w:color="auto" w:fill="FFFFFF"/>
              <w:spacing w:before="0" w:beforeAutospacing="0" w:after="0" w:afterAutospacing="0"/>
              <w:ind w:firstLine="142"/>
              <w:jc w:val="both"/>
              <w:textAlignment w:val="baseline"/>
              <w:rPr>
                <w:color w:val="000000"/>
                <w:sz w:val="26"/>
                <w:szCs w:val="26"/>
                <w:lang w:val="uk-UA"/>
              </w:rPr>
            </w:pPr>
          </w:p>
          <w:p w:rsidR="00E40FE8" w:rsidRPr="006F6267" w:rsidRDefault="00E40FE8" w:rsidP="00E30A50">
            <w:pPr>
              <w:pStyle w:val="rvps2"/>
              <w:shd w:val="clear" w:color="auto" w:fill="FFFFFF"/>
              <w:spacing w:before="0" w:beforeAutospacing="0" w:after="0" w:afterAutospacing="0"/>
              <w:ind w:firstLine="142"/>
              <w:jc w:val="both"/>
              <w:textAlignment w:val="baseline"/>
              <w:rPr>
                <w:color w:val="000000"/>
                <w:sz w:val="26"/>
                <w:szCs w:val="26"/>
                <w:lang w:val="uk-UA"/>
              </w:rPr>
            </w:pPr>
          </w:p>
          <w:p w:rsidR="001B04F8" w:rsidRPr="006F6267" w:rsidRDefault="001B04F8" w:rsidP="00E30A50">
            <w:pPr>
              <w:pStyle w:val="rvps2"/>
              <w:shd w:val="clear" w:color="auto" w:fill="FFFFFF"/>
              <w:spacing w:before="0" w:beforeAutospacing="0" w:after="0" w:afterAutospacing="0"/>
              <w:ind w:firstLine="142"/>
              <w:jc w:val="both"/>
              <w:textAlignment w:val="baseline"/>
              <w:rPr>
                <w:color w:val="000000"/>
                <w:sz w:val="26"/>
                <w:szCs w:val="26"/>
                <w:lang w:val="uk-UA"/>
              </w:rPr>
            </w:pPr>
          </w:p>
          <w:p w:rsidR="001B04F8" w:rsidRPr="006F6267" w:rsidRDefault="001B04F8" w:rsidP="00E30A50">
            <w:pPr>
              <w:pStyle w:val="rvps2"/>
              <w:shd w:val="clear" w:color="auto" w:fill="FFFFFF"/>
              <w:spacing w:before="0" w:beforeAutospacing="0" w:after="0" w:afterAutospacing="0"/>
              <w:ind w:firstLine="142"/>
              <w:jc w:val="both"/>
              <w:textAlignment w:val="baseline"/>
              <w:rPr>
                <w:color w:val="000000"/>
                <w:sz w:val="26"/>
                <w:szCs w:val="26"/>
                <w:lang w:val="uk-UA"/>
              </w:rPr>
            </w:pPr>
          </w:p>
          <w:p w:rsidR="001B04F8" w:rsidRPr="006F6267" w:rsidRDefault="001B04F8" w:rsidP="00E30A50">
            <w:pPr>
              <w:pStyle w:val="rvps2"/>
              <w:shd w:val="clear" w:color="auto" w:fill="FFFFFF"/>
              <w:spacing w:before="0" w:beforeAutospacing="0" w:after="0" w:afterAutospacing="0"/>
              <w:ind w:firstLine="142"/>
              <w:jc w:val="both"/>
              <w:textAlignment w:val="baseline"/>
              <w:rPr>
                <w:color w:val="000000"/>
                <w:sz w:val="26"/>
                <w:szCs w:val="26"/>
                <w:lang w:val="uk-UA"/>
              </w:rPr>
            </w:pPr>
          </w:p>
          <w:p w:rsidR="001B04F8" w:rsidRPr="006F6267" w:rsidRDefault="001B04F8" w:rsidP="00E30A50">
            <w:pPr>
              <w:pStyle w:val="rvps2"/>
              <w:shd w:val="clear" w:color="auto" w:fill="FFFFFF"/>
              <w:spacing w:before="0" w:beforeAutospacing="0" w:after="0" w:afterAutospacing="0"/>
              <w:ind w:firstLine="142"/>
              <w:jc w:val="both"/>
              <w:textAlignment w:val="baseline"/>
              <w:rPr>
                <w:color w:val="000000"/>
                <w:sz w:val="26"/>
                <w:szCs w:val="26"/>
                <w:lang w:val="uk-UA"/>
              </w:rPr>
            </w:pPr>
          </w:p>
          <w:p w:rsidR="001B04F8" w:rsidRPr="006F6267" w:rsidRDefault="001B04F8" w:rsidP="00E30A50">
            <w:pPr>
              <w:pStyle w:val="rvps2"/>
              <w:shd w:val="clear" w:color="auto" w:fill="FFFFFF"/>
              <w:spacing w:before="0" w:beforeAutospacing="0" w:after="0" w:afterAutospacing="0"/>
              <w:ind w:firstLine="142"/>
              <w:jc w:val="both"/>
              <w:textAlignment w:val="baseline"/>
              <w:rPr>
                <w:color w:val="000000"/>
                <w:sz w:val="26"/>
                <w:szCs w:val="26"/>
                <w:lang w:val="uk-UA"/>
              </w:rPr>
            </w:pPr>
          </w:p>
          <w:p w:rsidR="003D2205" w:rsidRPr="006F6267" w:rsidRDefault="003D2205" w:rsidP="00E30A50">
            <w:pPr>
              <w:pStyle w:val="rvps2"/>
              <w:shd w:val="clear" w:color="auto" w:fill="FFFFFF"/>
              <w:spacing w:before="0" w:beforeAutospacing="0" w:after="0" w:afterAutospacing="0"/>
              <w:ind w:firstLine="142"/>
              <w:jc w:val="both"/>
              <w:textAlignment w:val="baseline"/>
              <w:rPr>
                <w:color w:val="000000"/>
                <w:sz w:val="26"/>
                <w:szCs w:val="26"/>
                <w:lang w:val="uk-UA"/>
              </w:rPr>
            </w:pPr>
            <w:r w:rsidRPr="006F6267">
              <w:rPr>
                <w:color w:val="000000"/>
                <w:sz w:val="26"/>
                <w:szCs w:val="26"/>
                <w:lang w:val="uk-UA"/>
              </w:rPr>
              <w:t>за ухилення від виконання або несвоєчасне виконання рішень чи приписів національної комісії, що здійснює державне регулювання у сферах енергетики та комунальних послуг, центрального органу виконавчої влади, що реалізує державну політику у сфері нагляду (контролю) в галузі електроенергетики та порушення умов ліцензій - штраф у розмірі до п'яти тисяч неоподатковуваних мінімумів доходів громадян.</w:t>
            </w:r>
          </w:p>
          <w:p w:rsidR="003D2205" w:rsidRPr="006F6267" w:rsidRDefault="003D2205" w:rsidP="00E30A50">
            <w:pPr>
              <w:ind w:firstLine="142"/>
              <w:jc w:val="both"/>
              <w:rPr>
                <w:b/>
                <w:sz w:val="26"/>
                <w:szCs w:val="26"/>
              </w:rPr>
            </w:pPr>
          </w:p>
        </w:tc>
        <w:tc>
          <w:tcPr>
            <w:tcW w:w="8363" w:type="dxa"/>
            <w:gridSpan w:val="2"/>
          </w:tcPr>
          <w:p w:rsidR="003D2205" w:rsidRDefault="003D2205" w:rsidP="008B6642">
            <w:pPr>
              <w:pStyle w:val="rvps2"/>
              <w:spacing w:before="0" w:beforeAutospacing="0" w:after="0" w:afterAutospacing="0"/>
              <w:ind w:firstLine="176"/>
              <w:jc w:val="both"/>
              <w:rPr>
                <w:sz w:val="26"/>
                <w:szCs w:val="26"/>
                <w:lang w:val="uk-UA" w:eastAsia="uk-UA"/>
              </w:rPr>
            </w:pPr>
            <w:r w:rsidRPr="006F6267">
              <w:rPr>
                <w:sz w:val="26"/>
                <w:szCs w:val="26"/>
                <w:lang w:val="uk-UA" w:eastAsia="uk-UA"/>
              </w:rPr>
              <w:lastRenderedPageBreak/>
              <w:t>Стаття 27. Відповідальність за порушення законодавства про електроенергетику</w:t>
            </w:r>
          </w:p>
          <w:p w:rsidR="008B6642" w:rsidRDefault="008B6642" w:rsidP="008B6642">
            <w:pPr>
              <w:pStyle w:val="rvps2"/>
              <w:spacing w:before="0" w:beforeAutospacing="0" w:after="0" w:afterAutospacing="0"/>
              <w:ind w:firstLine="142"/>
              <w:jc w:val="both"/>
              <w:rPr>
                <w:sz w:val="26"/>
                <w:szCs w:val="26"/>
                <w:lang w:val="uk-UA" w:eastAsia="uk-UA"/>
              </w:rPr>
            </w:pPr>
            <w:r w:rsidRPr="006F6267">
              <w:rPr>
                <w:sz w:val="26"/>
                <w:szCs w:val="26"/>
                <w:lang w:val="uk-UA" w:eastAsia="uk-UA"/>
              </w:rPr>
              <w:t>…</w:t>
            </w:r>
          </w:p>
          <w:p w:rsidR="003D2205" w:rsidRPr="006F6267" w:rsidRDefault="003D2205" w:rsidP="008B6642">
            <w:pPr>
              <w:pStyle w:val="rvps2"/>
              <w:shd w:val="clear" w:color="auto" w:fill="FFFFFF"/>
              <w:spacing w:before="120" w:beforeAutospacing="0" w:after="120" w:afterAutospacing="0"/>
              <w:ind w:firstLine="176"/>
              <w:jc w:val="both"/>
              <w:textAlignment w:val="baseline"/>
              <w:rPr>
                <w:color w:val="000000"/>
                <w:sz w:val="26"/>
                <w:szCs w:val="26"/>
                <w:lang w:val="uk-UA"/>
              </w:rPr>
            </w:pPr>
            <w:r w:rsidRPr="006F6267">
              <w:rPr>
                <w:color w:val="000000"/>
                <w:sz w:val="26"/>
                <w:szCs w:val="26"/>
                <w:lang w:val="uk-UA"/>
              </w:rPr>
              <w:t>Суб'єкти господарської діяльності несуть відповідальність за правопорушення в електроенергетиці:</w:t>
            </w:r>
          </w:p>
          <w:p w:rsidR="003D2205" w:rsidRPr="006F6267" w:rsidRDefault="003D2205" w:rsidP="00F919E9">
            <w:pPr>
              <w:pStyle w:val="rvps2"/>
              <w:shd w:val="clear" w:color="auto" w:fill="FFFFFF"/>
              <w:spacing w:before="0" w:beforeAutospacing="0" w:after="0" w:afterAutospacing="0"/>
              <w:ind w:firstLine="176"/>
              <w:jc w:val="both"/>
              <w:textAlignment w:val="baseline"/>
              <w:rPr>
                <w:color w:val="000000"/>
                <w:sz w:val="26"/>
                <w:szCs w:val="26"/>
                <w:lang w:val="uk-UA"/>
              </w:rPr>
            </w:pPr>
            <w:bookmarkStart w:id="5" w:name="n625"/>
            <w:bookmarkEnd w:id="5"/>
            <w:r w:rsidRPr="006F6267">
              <w:rPr>
                <w:color w:val="000000"/>
                <w:sz w:val="26"/>
                <w:szCs w:val="26"/>
                <w:lang w:val="uk-UA"/>
              </w:rPr>
              <w:t>за неподання інформації або подання завідомо недостовірної інформації, передбаченої в ліцензіях на виробництво, передачу, розподіл або постачання електричної енергії, здійснення функцій системного оператора, здійснення функцій оператора ринку, здійснення функцій гарантованого покупця та в нормативно-правових актах, що регулюють питання функціонування об’єднаної енергетичної системи України і споживання енергії, - штраф у розмірі до однієї тисячі неоподатковуваних мінімумів доходів громадян;</w:t>
            </w:r>
          </w:p>
          <w:p w:rsidR="003D2205" w:rsidRPr="006F6267" w:rsidRDefault="003D2205" w:rsidP="00F919E9">
            <w:pPr>
              <w:pStyle w:val="rvps2"/>
              <w:spacing w:before="0" w:beforeAutospacing="0" w:after="120" w:afterAutospacing="0"/>
              <w:ind w:firstLine="176"/>
              <w:jc w:val="both"/>
              <w:rPr>
                <w:b/>
                <w:sz w:val="26"/>
                <w:szCs w:val="26"/>
                <w:lang w:val="uk-UA" w:eastAsia="uk-UA"/>
              </w:rPr>
            </w:pPr>
          </w:p>
          <w:p w:rsidR="001B04F8" w:rsidRPr="006F6267" w:rsidRDefault="001B04F8" w:rsidP="00F919E9">
            <w:pPr>
              <w:pStyle w:val="rvps2"/>
              <w:shd w:val="clear" w:color="auto" w:fill="FFFFFF"/>
              <w:spacing w:before="0" w:beforeAutospacing="0" w:after="0" w:afterAutospacing="0"/>
              <w:ind w:firstLine="176"/>
              <w:jc w:val="both"/>
              <w:textAlignment w:val="baseline"/>
              <w:rPr>
                <w:b/>
                <w:sz w:val="26"/>
                <w:szCs w:val="26"/>
                <w:lang w:val="uk-UA"/>
              </w:rPr>
            </w:pPr>
            <w:r w:rsidRPr="006F6267">
              <w:rPr>
                <w:b/>
                <w:sz w:val="26"/>
                <w:szCs w:val="26"/>
              </w:rPr>
              <w:t xml:space="preserve">за </w:t>
            </w:r>
            <w:proofErr w:type="spellStart"/>
            <w:r w:rsidRPr="006F6267">
              <w:rPr>
                <w:b/>
                <w:sz w:val="26"/>
                <w:szCs w:val="26"/>
              </w:rPr>
              <w:t>порушення</w:t>
            </w:r>
            <w:proofErr w:type="spellEnd"/>
            <w:r w:rsidRPr="006F6267">
              <w:rPr>
                <w:b/>
                <w:sz w:val="26"/>
                <w:szCs w:val="26"/>
              </w:rPr>
              <w:t xml:space="preserve"> </w:t>
            </w:r>
            <w:proofErr w:type="spellStart"/>
            <w:r w:rsidRPr="006F6267">
              <w:rPr>
                <w:b/>
                <w:sz w:val="26"/>
                <w:szCs w:val="26"/>
              </w:rPr>
              <w:t>строків</w:t>
            </w:r>
            <w:proofErr w:type="spellEnd"/>
            <w:r w:rsidRPr="006F6267">
              <w:rPr>
                <w:b/>
                <w:sz w:val="26"/>
                <w:szCs w:val="26"/>
              </w:rPr>
              <w:t xml:space="preserve"> стандартного </w:t>
            </w:r>
            <w:proofErr w:type="spellStart"/>
            <w:r w:rsidRPr="006F6267">
              <w:rPr>
                <w:b/>
                <w:sz w:val="26"/>
                <w:szCs w:val="26"/>
              </w:rPr>
              <w:t>приєднання</w:t>
            </w:r>
            <w:proofErr w:type="spellEnd"/>
            <w:r w:rsidRPr="006F6267">
              <w:rPr>
                <w:b/>
                <w:sz w:val="26"/>
                <w:szCs w:val="26"/>
              </w:rPr>
              <w:t xml:space="preserve"> </w:t>
            </w:r>
            <w:proofErr w:type="spellStart"/>
            <w:r w:rsidRPr="006F6267">
              <w:rPr>
                <w:b/>
                <w:sz w:val="26"/>
                <w:szCs w:val="26"/>
              </w:rPr>
              <w:t>електроустановок</w:t>
            </w:r>
            <w:proofErr w:type="spellEnd"/>
            <w:r w:rsidRPr="006F6267">
              <w:rPr>
                <w:b/>
                <w:sz w:val="26"/>
                <w:szCs w:val="26"/>
              </w:rPr>
              <w:t xml:space="preserve"> до </w:t>
            </w:r>
            <w:proofErr w:type="spellStart"/>
            <w:r w:rsidRPr="006F6267">
              <w:rPr>
                <w:b/>
                <w:sz w:val="26"/>
                <w:szCs w:val="26"/>
              </w:rPr>
              <w:t>електричних</w:t>
            </w:r>
            <w:proofErr w:type="spellEnd"/>
            <w:r w:rsidRPr="006F6267">
              <w:rPr>
                <w:b/>
                <w:sz w:val="26"/>
                <w:szCs w:val="26"/>
              </w:rPr>
              <w:t xml:space="preserve"> мереж на </w:t>
            </w:r>
            <w:proofErr w:type="spellStart"/>
            <w:r w:rsidRPr="006F6267">
              <w:rPr>
                <w:b/>
                <w:sz w:val="26"/>
                <w:szCs w:val="26"/>
              </w:rPr>
              <w:t>електрифікованих</w:t>
            </w:r>
            <w:proofErr w:type="spellEnd"/>
            <w:r w:rsidRPr="006F6267">
              <w:rPr>
                <w:b/>
                <w:sz w:val="26"/>
                <w:szCs w:val="26"/>
              </w:rPr>
              <w:t xml:space="preserve"> </w:t>
            </w:r>
            <w:proofErr w:type="spellStart"/>
            <w:r w:rsidRPr="006F6267">
              <w:rPr>
                <w:b/>
                <w:sz w:val="26"/>
                <w:szCs w:val="26"/>
              </w:rPr>
              <w:t>територіях</w:t>
            </w:r>
            <w:proofErr w:type="spellEnd"/>
            <w:r w:rsidRPr="006F6267">
              <w:rPr>
                <w:b/>
                <w:sz w:val="26"/>
                <w:szCs w:val="26"/>
              </w:rPr>
              <w:t xml:space="preserve">, за </w:t>
            </w:r>
            <w:proofErr w:type="spellStart"/>
            <w:r w:rsidRPr="006F6267">
              <w:rPr>
                <w:b/>
                <w:sz w:val="26"/>
                <w:szCs w:val="26"/>
              </w:rPr>
              <w:t>необґрунтованість</w:t>
            </w:r>
            <w:proofErr w:type="spellEnd"/>
            <w:r w:rsidRPr="006F6267">
              <w:rPr>
                <w:b/>
                <w:sz w:val="26"/>
                <w:szCs w:val="26"/>
              </w:rPr>
              <w:t xml:space="preserve"> </w:t>
            </w:r>
            <w:proofErr w:type="spellStart"/>
            <w:r w:rsidRPr="006F6267">
              <w:rPr>
                <w:b/>
                <w:sz w:val="26"/>
                <w:szCs w:val="26"/>
              </w:rPr>
              <w:t>виданих</w:t>
            </w:r>
            <w:proofErr w:type="spellEnd"/>
            <w:r w:rsidRPr="006F6267">
              <w:rPr>
                <w:b/>
                <w:sz w:val="26"/>
                <w:szCs w:val="26"/>
              </w:rPr>
              <w:t xml:space="preserve"> </w:t>
            </w:r>
            <w:proofErr w:type="spellStart"/>
            <w:proofErr w:type="gramStart"/>
            <w:r w:rsidRPr="006F6267">
              <w:rPr>
                <w:b/>
                <w:sz w:val="26"/>
                <w:szCs w:val="26"/>
              </w:rPr>
              <w:t>техн</w:t>
            </w:r>
            <w:proofErr w:type="gramEnd"/>
            <w:r w:rsidRPr="006F6267">
              <w:rPr>
                <w:b/>
                <w:sz w:val="26"/>
                <w:szCs w:val="26"/>
              </w:rPr>
              <w:t>ічних</w:t>
            </w:r>
            <w:proofErr w:type="spellEnd"/>
            <w:r w:rsidRPr="006F6267">
              <w:rPr>
                <w:b/>
                <w:sz w:val="26"/>
                <w:szCs w:val="26"/>
              </w:rPr>
              <w:t xml:space="preserve"> умов на </w:t>
            </w:r>
            <w:proofErr w:type="spellStart"/>
            <w:r w:rsidRPr="006F6267">
              <w:rPr>
                <w:b/>
                <w:sz w:val="26"/>
                <w:szCs w:val="26"/>
              </w:rPr>
              <w:t>нестандартне</w:t>
            </w:r>
            <w:proofErr w:type="spellEnd"/>
            <w:r w:rsidRPr="006F6267">
              <w:rPr>
                <w:b/>
                <w:sz w:val="26"/>
                <w:szCs w:val="26"/>
              </w:rPr>
              <w:t xml:space="preserve"> </w:t>
            </w:r>
            <w:proofErr w:type="spellStart"/>
            <w:r w:rsidRPr="006F6267">
              <w:rPr>
                <w:b/>
                <w:sz w:val="26"/>
                <w:szCs w:val="26"/>
              </w:rPr>
              <w:t>приєднання</w:t>
            </w:r>
            <w:proofErr w:type="spellEnd"/>
            <w:r w:rsidRPr="006F6267">
              <w:rPr>
                <w:b/>
                <w:sz w:val="26"/>
                <w:szCs w:val="26"/>
              </w:rPr>
              <w:t xml:space="preserve">, а </w:t>
            </w:r>
            <w:proofErr w:type="spellStart"/>
            <w:r w:rsidRPr="006F6267">
              <w:rPr>
                <w:b/>
                <w:sz w:val="26"/>
                <w:szCs w:val="26"/>
              </w:rPr>
              <w:t>також</w:t>
            </w:r>
            <w:proofErr w:type="spellEnd"/>
            <w:r w:rsidRPr="006F6267">
              <w:rPr>
                <w:b/>
                <w:sz w:val="26"/>
                <w:szCs w:val="26"/>
              </w:rPr>
              <w:t xml:space="preserve"> за </w:t>
            </w:r>
            <w:proofErr w:type="spellStart"/>
            <w:r w:rsidRPr="006F6267">
              <w:rPr>
                <w:b/>
                <w:sz w:val="26"/>
                <w:szCs w:val="26"/>
              </w:rPr>
              <w:t>неоприлюднення</w:t>
            </w:r>
            <w:proofErr w:type="spellEnd"/>
            <w:r w:rsidRPr="006F6267">
              <w:rPr>
                <w:b/>
                <w:sz w:val="26"/>
                <w:szCs w:val="26"/>
              </w:rPr>
              <w:t xml:space="preserve"> </w:t>
            </w:r>
            <w:proofErr w:type="spellStart"/>
            <w:r w:rsidRPr="006F6267">
              <w:rPr>
                <w:b/>
                <w:sz w:val="26"/>
                <w:szCs w:val="26"/>
              </w:rPr>
              <w:t>інформації</w:t>
            </w:r>
            <w:proofErr w:type="spellEnd"/>
            <w:r w:rsidRPr="006F6267">
              <w:rPr>
                <w:b/>
                <w:sz w:val="26"/>
                <w:szCs w:val="26"/>
              </w:rPr>
              <w:t xml:space="preserve">, </w:t>
            </w:r>
            <w:proofErr w:type="spellStart"/>
            <w:r w:rsidRPr="006F6267">
              <w:rPr>
                <w:b/>
                <w:sz w:val="26"/>
                <w:szCs w:val="26"/>
              </w:rPr>
              <w:t>передбаченої</w:t>
            </w:r>
            <w:proofErr w:type="spellEnd"/>
            <w:r w:rsidRPr="006F6267">
              <w:rPr>
                <w:b/>
                <w:sz w:val="26"/>
                <w:szCs w:val="26"/>
              </w:rPr>
              <w:t xml:space="preserve"> </w:t>
            </w:r>
            <w:proofErr w:type="spellStart"/>
            <w:r w:rsidRPr="006F6267">
              <w:rPr>
                <w:b/>
                <w:sz w:val="26"/>
                <w:szCs w:val="26"/>
              </w:rPr>
              <w:t>статтею</w:t>
            </w:r>
            <w:proofErr w:type="spellEnd"/>
            <w:r w:rsidRPr="006F6267">
              <w:rPr>
                <w:b/>
                <w:sz w:val="26"/>
                <w:szCs w:val="26"/>
              </w:rPr>
              <w:t xml:space="preserve"> 24 </w:t>
            </w:r>
            <w:proofErr w:type="spellStart"/>
            <w:r w:rsidRPr="006F6267">
              <w:rPr>
                <w:b/>
                <w:sz w:val="26"/>
                <w:szCs w:val="26"/>
              </w:rPr>
              <w:t>цього</w:t>
            </w:r>
            <w:proofErr w:type="spellEnd"/>
            <w:r w:rsidRPr="006F6267">
              <w:rPr>
                <w:b/>
                <w:sz w:val="26"/>
                <w:szCs w:val="26"/>
              </w:rPr>
              <w:t xml:space="preserve"> Закону, — штраф у </w:t>
            </w:r>
            <w:proofErr w:type="spellStart"/>
            <w:r w:rsidRPr="006F6267">
              <w:rPr>
                <w:b/>
                <w:sz w:val="26"/>
                <w:szCs w:val="26"/>
              </w:rPr>
              <w:t>розмірі</w:t>
            </w:r>
            <w:proofErr w:type="spellEnd"/>
            <w:r w:rsidRPr="006F6267">
              <w:rPr>
                <w:b/>
                <w:sz w:val="26"/>
                <w:szCs w:val="26"/>
              </w:rPr>
              <w:t xml:space="preserve"> </w:t>
            </w:r>
            <w:proofErr w:type="spellStart"/>
            <w:r w:rsidRPr="006F6267">
              <w:rPr>
                <w:b/>
                <w:sz w:val="26"/>
                <w:szCs w:val="26"/>
              </w:rPr>
              <w:t>від</w:t>
            </w:r>
            <w:proofErr w:type="spellEnd"/>
            <w:r w:rsidRPr="006F6267">
              <w:rPr>
                <w:b/>
                <w:sz w:val="26"/>
                <w:szCs w:val="26"/>
              </w:rPr>
              <w:t xml:space="preserve"> </w:t>
            </w:r>
            <w:proofErr w:type="spellStart"/>
            <w:r w:rsidRPr="006F6267">
              <w:rPr>
                <w:b/>
                <w:sz w:val="26"/>
                <w:szCs w:val="26"/>
              </w:rPr>
              <w:t>однієї</w:t>
            </w:r>
            <w:proofErr w:type="spellEnd"/>
            <w:r w:rsidRPr="006F6267">
              <w:rPr>
                <w:b/>
                <w:sz w:val="26"/>
                <w:szCs w:val="26"/>
              </w:rPr>
              <w:t xml:space="preserve"> до десяти </w:t>
            </w:r>
            <w:proofErr w:type="spellStart"/>
            <w:r w:rsidRPr="006F6267">
              <w:rPr>
                <w:b/>
                <w:sz w:val="26"/>
                <w:szCs w:val="26"/>
              </w:rPr>
              <w:t>тисяч</w:t>
            </w:r>
            <w:proofErr w:type="spellEnd"/>
            <w:r w:rsidRPr="006F6267">
              <w:rPr>
                <w:b/>
                <w:sz w:val="26"/>
                <w:szCs w:val="26"/>
              </w:rPr>
              <w:t xml:space="preserve"> </w:t>
            </w:r>
            <w:proofErr w:type="spellStart"/>
            <w:r w:rsidRPr="006F6267">
              <w:rPr>
                <w:b/>
                <w:sz w:val="26"/>
                <w:szCs w:val="26"/>
              </w:rPr>
              <w:t>неоподатковуваних</w:t>
            </w:r>
            <w:proofErr w:type="spellEnd"/>
            <w:r w:rsidRPr="006F6267">
              <w:rPr>
                <w:b/>
                <w:sz w:val="26"/>
                <w:szCs w:val="26"/>
              </w:rPr>
              <w:t xml:space="preserve"> </w:t>
            </w:r>
            <w:proofErr w:type="spellStart"/>
            <w:r w:rsidRPr="006F6267">
              <w:rPr>
                <w:b/>
                <w:sz w:val="26"/>
                <w:szCs w:val="26"/>
              </w:rPr>
              <w:t>мінімумів</w:t>
            </w:r>
            <w:proofErr w:type="spellEnd"/>
            <w:r w:rsidRPr="006F6267">
              <w:rPr>
                <w:b/>
                <w:sz w:val="26"/>
                <w:szCs w:val="26"/>
              </w:rPr>
              <w:t xml:space="preserve"> </w:t>
            </w:r>
            <w:proofErr w:type="spellStart"/>
            <w:r w:rsidRPr="006F6267">
              <w:rPr>
                <w:b/>
                <w:sz w:val="26"/>
                <w:szCs w:val="26"/>
              </w:rPr>
              <w:t>доходів</w:t>
            </w:r>
            <w:proofErr w:type="spellEnd"/>
            <w:r w:rsidRPr="006F6267">
              <w:rPr>
                <w:b/>
                <w:sz w:val="26"/>
                <w:szCs w:val="26"/>
              </w:rPr>
              <w:t xml:space="preserve"> </w:t>
            </w:r>
            <w:proofErr w:type="spellStart"/>
            <w:r w:rsidRPr="006F6267">
              <w:rPr>
                <w:b/>
                <w:sz w:val="26"/>
                <w:szCs w:val="26"/>
              </w:rPr>
              <w:t>громадян</w:t>
            </w:r>
            <w:proofErr w:type="spellEnd"/>
            <w:r w:rsidRPr="006F6267">
              <w:rPr>
                <w:b/>
                <w:sz w:val="26"/>
                <w:szCs w:val="26"/>
              </w:rPr>
              <w:t>;</w:t>
            </w:r>
            <w:bookmarkStart w:id="6" w:name="n626"/>
            <w:bookmarkStart w:id="7" w:name="n627"/>
            <w:bookmarkEnd w:id="6"/>
            <w:bookmarkEnd w:id="7"/>
          </w:p>
          <w:p w:rsidR="0025583C" w:rsidRDefault="0025583C" w:rsidP="00F919E9">
            <w:pPr>
              <w:pStyle w:val="rvps2"/>
              <w:shd w:val="clear" w:color="auto" w:fill="FFFFFF"/>
              <w:spacing w:before="0" w:beforeAutospacing="0" w:after="0" w:afterAutospacing="0"/>
              <w:ind w:firstLine="176"/>
              <w:jc w:val="both"/>
              <w:textAlignment w:val="baseline"/>
              <w:rPr>
                <w:color w:val="000000"/>
                <w:sz w:val="26"/>
                <w:szCs w:val="26"/>
                <w:lang w:val="uk-UA"/>
              </w:rPr>
            </w:pPr>
          </w:p>
          <w:p w:rsidR="0025583C" w:rsidRDefault="0025583C" w:rsidP="00F919E9">
            <w:pPr>
              <w:pStyle w:val="rvps2"/>
              <w:shd w:val="clear" w:color="auto" w:fill="FFFFFF"/>
              <w:spacing w:before="0" w:beforeAutospacing="0" w:after="0" w:afterAutospacing="0"/>
              <w:ind w:firstLine="176"/>
              <w:jc w:val="both"/>
              <w:textAlignment w:val="baseline"/>
              <w:rPr>
                <w:color w:val="000000"/>
                <w:sz w:val="26"/>
                <w:szCs w:val="26"/>
                <w:lang w:val="uk-UA"/>
              </w:rPr>
            </w:pPr>
          </w:p>
          <w:p w:rsidR="0025583C" w:rsidRDefault="0025583C" w:rsidP="00F919E9">
            <w:pPr>
              <w:pStyle w:val="rvps2"/>
              <w:shd w:val="clear" w:color="auto" w:fill="FFFFFF"/>
              <w:spacing w:before="0" w:beforeAutospacing="0" w:after="0" w:afterAutospacing="0"/>
              <w:ind w:firstLine="176"/>
              <w:jc w:val="both"/>
              <w:textAlignment w:val="baseline"/>
              <w:rPr>
                <w:color w:val="000000"/>
                <w:sz w:val="26"/>
                <w:szCs w:val="26"/>
                <w:lang w:val="uk-UA"/>
              </w:rPr>
            </w:pPr>
          </w:p>
          <w:p w:rsidR="0025583C" w:rsidRDefault="0025583C" w:rsidP="00F919E9">
            <w:pPr>
              <w:pStyle w:val="rvps2"/>
              <w:shd w:val="clear" w:color="auto" w:fill="FFFFFF"/>
              <w:spacing w:before="0" w:beforeAutospacing="0" w:after="0" w:afterAutospacing="0"/>
              <w:ind w:firstLine="176"/>
              <w:jc w:val="both"/>
              <w:textAlignment w:val="baseline"/>
              <w:rPr>
                <w:color w:val="000000"/>
                <w:sz w:val="26"/>
                <w:szCs w:val="26"/>
                <w:lang w:val="uk-UA"/>
              </w:rPr>
            </w:pPr>
          </w:p>
          <w:p w:rsidR="003D2205" w:rsidRPr="006F6267" w:rsidRDefault="003D2205" w:rsidP="00F919E9">
            <w:pPr>
              <w:pStyle w:val="rvps2"/>
              <w:shd w:val="clear" w:color="auto" w:fill="FFFFFF"/>
              <w:spacing w:before="0" w:beforeAutospacing="0" w:after="0" w:afterAutospacing="0"/>
              <w:ind w:firstLine="176"/>
              <w:jc w:val="both"/>
              <w:textAlignment w:val="baseline"/>
              <w:rPr>
                <w:color w:val="000000"/>
                <w:sz w:val="26"/>
                <w:szCs w:val="26"/>
                <w:lang w:val="uk-UA"/>
              </w:rPr>
            </w:pPr>
            <w:r w:rsidRPr="006F6267">
              <w:rPr>
                <w:color w:val="000000"/>
                <w:sz w:val="26"/>
                <w:szCs w:val="26"/>
                <w:lang w:val="uk-UA"/>
              </w:rPr>
              <w:t>за ухилення від виконання або несвоєчасне виконання рішень чи приписів національної комісії, що здійснює державне регулювання у сферах енергетики та комунальних послуг, центрального органу виконавчої влади, що реалізує державну політику у сфері нагляду (контролю) в галузі електроенергетики та порушення умов ліцензій - штраф у розмірі до п'яти тисяч неоподатковуваних мінімумів доходів громадян.</w:t>
            </w:r>
          </w:p>
          <w:p w:rsidR="003D2205" w:rsidRPr="006F6267" w:rsidRDefault="003D2205" w:rsidP="00F919E9">
            <w:pPr>
              <w:ind w:firstLine="176"/>
              <w:jc w:val="both"/>
              <w:rPr>
                <w:b/>
                <w:sz w:val="26"/>
                <w:szCs w:val="26"/>
              </w:rPr>
            </w:pPr>
          </w:p>
        </w:tc>
      </w:tr>
      <w:tr w:rsidR="0047613E" w:rsidRPr="006F6267" w:rsidTr="00C92E1B">
        <w:tc>
          <w:tcPr>
            <w:tcW w:w="15984" w:type="dxa"/>
            <w:gridSpan w:val="3"/>
            <w:shd w:val="clear" w:color="auto" w:fill="auto"/>
          </w:tcPr>
          <w:p w:rsidR="0047613E" w:rsidRPr="006F6267" w:rsidRDefault="0047613E" w:rsidP="00764A87">
            <w:pPr>
              <w:jc w:val="center"/>
              <w:rPr>
                <w:b/>
                <w:sz w:val="26"/>
                <w:szCs w:val="26"/>
              </w:rPr>
            </w:pPr>
            <w:r w:rsidRPr="006F6267">
              <w:rPr>
                <w:b/>
                <w:sz w:val="26"/>
                <w:szCs w:val="26"/>
              </w:rPr>
              <w:lastRenderedPageBreak/>
              <w:t xml:space="preserve">Закон України </w:t>
            </w:r>
            <w:r w:rsidR="00764A87">
              <w:rPr>
                <w:b/>
                <w:sz w:val="26"/>
                <w:szCs w:val="26"/>
              </w:rPr>
              <w:t>«</w:t>
            </w:r>
            <w:r w:rsidRPr="006F6267">
              <w:rPr>
                <w:b/>
                <w:sz w:val="26"/>
                <w:szCs w:val="26"/>
              </w:rPr>
              <w:t>Про благоустрій населених пунктів</w:t>
            </w:r>
            <w:r w:rsidR="00764A87">
              <w:rPr>
                <w:b/>
                <w:sz w:val="26"/>
                <w:szCs w:val="26"/>
              </w:rPr>
              <w:t>»</w:t>
            </w:r>
          </w:p>
        </w:tc>
      </w:tr>
      <w:tr w:rsidR="0047613E" w:rsidRPr="006F6267" w:rsidTr="00C92E1B">
        <w:trPr>
          <w:trHeight w:val="128"/>
        </w:trPr>
        <w:tc>
          <w:tcPr>
            <w:tcW w:w="7638" w:type="dxa"/>
            <w:gridSpan w:val="2"/>
            <w:shd w:val="clear" w:color="auto" w:fill="auto"/>
          </w:tcPr>
          <w:p w:rsidR="0047613E" w:rsidRPr="006F6267" w:rsidRDefault="0047613E" w:rsidP="00C92E1B">
            <w:pPr>
              <w:ind w:firstLine="142"/>
              <w:jc w:val="both"/>
              <w:rPr>
                <w:b/>
                <w:sz w:val="26"/>
                <w:szCs w:val="26"/>
              </w:rPr>
            </w:pPr>
          </w:p>
          <w:p w:rsidR="0047613E" w:rsidRPr="006F6267" w:rsidRDefault="0047613E" w:rsidP="00C92E1B">
            <w:pPr>
              <w:ind w:firstLine="142"/>
              <w:jc w:val="both"/>
              <w:rPr>
                <w:b/>
                <w:sz w:val="26"/>
                <w:szCs w:val="26"/>
              </w:rPr>
            </w:pPr>
            <w:r w:rsidRPr="006F6267">
              <w:rPr>
                <w:b/>
                <w:sz w:val="26"/>
                <w:szCs w:val="26"/>
              </w:rPr>
              <w:t>Стаття 26</w:t>
            </w:r>
            <w:r w:rsidRPr="006F6267">
              <w:rPr>
                <w:b/>
                <w:sz w:val="26"/>
                <w:szCs w:val="26"/>
                <w:vertAlign w:val="superscript"/>
              </w:rPr>
              <w:t>1</w:t>
            </w:r>
            <w:r w:rsidRPr="006F6267">
              <w:rPr>
                <w:b/>
                <w:sz w:val="26"/>
                <w:szCs w:val="26"/>
              </w:rPr>
              <w:t xml:space="preserve">. Дозвіл на порушення об’єктів благоустрою </w:t>
            </w:r>
          </w:p>
          <w:p w:rsidR="0047613E" w:rsidRPr="006F6267" w:rsidRDefault="0047613E" w:rsidP="00C92E1B">
            <w:pPr>
              <w:ind w:firstLine="142"/>
              <w:jc w:val="both"/>
              <w:rPr>
                <w:b/>
                <w:sz w:val="26"/>
                <w:szCs w:val="26"/>
              </w:rPr>
            </w:pPr>
          </w:p>
          <w:p w:rsidR="0047613E" w:rsidRPr="006F6267" w:rsidRDefault="0047613E" w:rsidP="00C92E1B">
            <w:pPr>
              <w:ind w:firstLine="142"/>
              <w:jc w:val="both"/>
              <w:rPr>
                <w:sz w:val="26"/>
                <w:szCs w:val="26"/>
              </w:rPr>
            </w:pPr>
            <w:r w:rsidRPr="006F6267">
              <w:rPr>
                <w:sz w:val="26"/>
                <w:szCs w:val="26"/>
              </w:rPr>
              <w:t xml:space="preserve">1.  Порушення  об’єктів  благоустрою,  пов’язане з виконанням суб’єктами    господарювання    земляних   та   ремонтних   робіт, здійснюється на підставі дозволу на порушення об’єктів благоустрою виконавчого  органу  сільської,  селищної,  міської  ради  (далі - дозвіл),  крім  випадків, встановлених абзацами другим </w:t>
            </w:r>
            <w:r w:rsidR="0025583C">
              <w:rPr>
                <w:sz w:val="26"/>
                <w:szCs w:val="26"/>
              </w:rPr>
              <w:t>–</w:t>
            </w:r>
            <w:r w:rsidRPr="006F6267">
              <w:rPr>
                <w:sz w:val="26"/>
                <w:szCs w:val="26"/>
              </w:rPr>
              <w:t xml:space="preserve"> четвертим частини першої цієї статті. </w:t>
            </w:r>
          </w:p>
          <w:p w:rsidR="0047613E" w:rsidRPr="006F6267" w:rsidRDefault="0047613E" w:rsidP="00C92E1B">
            <w:pPr>
              <w:ind w:firstLine="142"/>
              <w:jc w:val="both"/>
              <w:rPr>
                <w:sz w:val="26"/>
                <w:szCs w:val="26"/>
              </w:rPr>
            </w:pPr>
          </w:p>
          <w:p w:rsidR="0047613E" w:rsidRPr="006F6267" w:rsidRDefault="0047613E" w:rsidP="00C92E1B">
            <w:pPr>
              <w:ind w:firstLine="142"/>
              <w:jc w:val="both"/>
              <w:rPr>
                <w:sz w:val="26"/>
                <w:szCs w:val="26"/>
              </w:rPr>
            </w:pPr>
            <w:r w:rsidRPr="006F6267">
              <w:rPr>
                <w:sz w:val="26"/>
                <w:szCs w:val="26"/>
              </w:rPr>
              <w:t xml:space="preserve">Дозвіл на порушення об’єктів благоустрою не вимагається, якщо земляні та ремонтні роботи здійснюються: </w:t>
            </w:r>
          </w:p>
          <w:p w:rsidR="0047613E" w:rsidRPr="006F6267" w:rsidRDefault="0047613E" w:rsidP="00C92E1B">
            <w:pPr>
              <w:ind w:firstLine="142"/>
              <w:jc w:val="both"/>
              <w:rPr>
                <w:sz w:val="26"/>
                <w:szCs w:val="26"/>
              </w:rPr>
            </w:pPr>
          </w:p>
          <w:p w:rsidR="0047613E" w:rsidRPr="006F6267" w:rsidRDefault="0047613E" w:rsidP="00C92E1B">
            <w:pPr>
              <w:ind w:firstLine="142"/>
              <w:jc w:val="both"/>
              <w:rPr>
                <w:sz w:val="26"/>
                <w:szCs w:val="26"/>
              </w:rPr>
            </w:pPr>
            <w:r w:rsidRPr="006F6267">
              <w:rPr>
                <w:sz w:val="26"/>
                <w:szCs w:val="26"/>
              </w:rPr>
              <w:lastRenderedPageBreak/>
              <w:t xml:space="preserve">особами, які мають документ, що посвідчує право власності або право користування земельною  ділянкою, у тому числі право земельного сервітуту; </w:t>
            </w:r>
          </w:p>
          <w:p w:rsidR="0047613E" w:rsidRPr="006F6267" w:rsidRDefault="0047613E" w:rsidP="00C92E1B">
            <w:pPr>
              <w:ind w:firstLine="142"/>
              <w:jc w:val="both"/>
              <w:rPr>
                <w:sz w:val="26"/>
                <w:szCs w:val="26"/>
              </w:rPr>
            </w:pPr>
          </w:p>
          <w:p w:rsidR="0047613E" w:rsidRPr="006F6267" w:rsidRDefault="0047613E" w:rsidP="00C92E1B">
            <w:pPr>
              <w:ind w:firstLine="142"/>
              <w:jc w:val="both"/>
              <w:rPr>
                <w:sz w:val="26"/>
                <w:szCs w:val="26"/>
              </w:rPr>
            </w:pPr>
            <w:r w:rsidRPr="006F6267">
              <w:rPr>
                <w:sz w:val="26"/>
                <w:szCs w:val="26"/>
              </w:rPr>
              <w:t xml:space="preserve">у складі підготовчих або будівельних робіт, право на виконання яких оформлене у встановленому законодавством порядку. </w:t>
            </w:r>
          </w:p>
          <w:p w:rsidR="0047613E" w:rsidRPr="006F6267" w:rsidRDefault="0047613E" w:rsidP="00C92E1B">
            <w:pPr>
              <w:ind w:firstLine="142"/>
              <w:jc w:val="both"/>
              <w:rPr>
                <w:sz w:val="26"/>
                <w:szCs w:val="26"/>
              </w:rPr>
            </w:pPr>
          </w:p>
          <w:p w:rsidR="0047613E" w:rsidRPr="006F6267" w:rsidRDefault="0047613E" w:rsidP="00C92E1B">
            <w:pPr>
              <w:ind w:firstLine="142"/>
              <w:jc w:val="both"/>
              <w:rPr>
                <w:sz w:val="26"/>
                <w:szCs w:val="26"/>
              </w:rPr>
            </w:pPr>
            <w:r w:rsidRPr="006F6267">
              <w:rPr>
                <w:sz w:val="26"/>
                <w:szCs w:val="26"/>
              </w:rPr>
              <w:t xml:space="preserve">Роботи з усунення наслідків аварій на об’єктах благоустрою розпочинаються негайно з обов'язковим подальшим  оформленням дозволу в порядку, визначеному законодавством. </w:t>
            </w:r>
          </w:p>
          <w:p w:rsidR="0047613E" w:rsidRPr="006F6267" w:rsidRDefault="0047613E" w:rsidP="00C92E1B">
            <w:pPr>
              <w:ind w:firstLine="142"/>
              <w:jc w:val="both"/>
              <w:rPr>
                <w:b/>
                <w:sz w:val="26"/>
                <w:szCs w:val="26"/>
              </w:rPr>
            </w:pPr>
          </w:p>
          <w:p w:rsidR="0047613E" w:rsidRPr="006F6267" w:rsidRDefault="0047613E" w:rsidP="00C92E1B">
            <w:pPr>
              <w:ind w:firstLine="142"/>
              <w:jc w:val="both"/>
              <w:rPr>
                <w:b/>
                <w:sz w:val="26"/>
                <w:szCs w:val="26"/>
              </w:rPr>
            </w:pPr>
            <w:r w:rsidRPr="006F6267">
              <w:rPr>
                <w:b/>
                <w:sz w:val="26"/>
                <w:szCs w:val="26"/>
              </w:rPr>
              <w:t>відсутній</w:t>
            </w:r>
          </w:p>
          <w:p w:rsidR="0047613E" w:rsidRPr="006F6267" w:rsidRDefault="0047613E" w:rsidP="00C92E1B">
            <w:pPr>
              <w:ind w:firstLine="142"/>
              <w:jc w:val="both"/>
              <w:rPr>
                <w:sz w:val="26"/>
                <w:szCs w:val="26"/>
              </w:rPr>
            </w:pPr>
          </w:p>
          <w:p w:rsidR="0047613E" w:rsidRPr="006F6267" w:rsidRDefault="0047613E" w:rsidP="00C92E1B">
            <w:pPr>
              <w:ind w:firstLine="142"/>
              <w:jc w:val="both"/>
              <w:rPr>
                <w:sz w:val="26"/>
                <w:szCs w:val="26"/>
              </w:rPr>
            </w:pPr>
          </w:p>
          <w:p w:rsidR="0047613E" w:rsidRPr="006F6267" w:rsidRDefault="0047613E" w:rsidP="00C92E1B">
            <w:pPr>
              <w:ind w:firstLine="142"/>
              <w:jc w:val="both"/>
              <w:rPr>
                <w:sz w:val="26"/>
                <w:szCs w:val="26"/>
              </w:rPr>
            </w:pPr>
          </w:p>
          <w:p w:rsidR="0047613E" w:rsidRPr="006F6267" w:rsidRDefault="0047613E" w:rsidP="00C92E1B">
            <w:pPr>
              <w:ind w:firstLine="142"/>
              <w:jc w:val="both"/>
              <w:rPr>
                <w:b/>
                <w:sz w:val="26"/>
                <w:szCs w:val="26"/>
              </w:rPr>
            </w:pPr>
          </w:p>
        </w:tc>
        <w:tc>
          <w:tcPr>
            <w:tcW w:w="8346" w:type="dxa"/>
            <w:shd w:val="clear" w:color="auto" w:fill="auto"/>
          </w:tcPr>
          <w:p w:rsidR="0047613E" w:rsidRPr="006F6267" w:rsidRDefault="0047613E" w:rsidP="00C92E1B">
            <w:pPr>
              <w:ind w:firstLine="159"/>
              <w:jc w:val="center"/>
              <w:rPr>
                <w:b/>
                <w:sz w:val="26"/>
                <w:szCs w:val="26"/>
              </w:rPr>
            </w:pPr>
          </w:p>
          <w:p w:rsidR="0047613E" w:rsidRPr="006F6267" w:rsidRDefault="0047613E" w:rsidP="00C92E1B">
            <w:pPr>
              <w:ind w:firstLine="17"/>
              <w:jc w:val="center"/>
              <w:rPr>
                <w:b/>
                <w:sz w:val="26"/>
                <w:szCs w:val="26"/>
              </w:rPr>
            </w:pPr>
            <w:r w:rsidRPr="006F6267">
              <w:rPr>
                <w:b/>
                <w:sz w:val="26"/>
                <w:szCs w:val="26"/>
              </w:rPr>
              <w:t>Стаття 26</w:t>
            </w:r>
            <w:r w:rsidRPr="006F6267">
              <w:rPr>
                <w:b/>
                <w:sz w:val="26"/>
                <w:szCs w:val="26"/>
                <w:vertAlign w:val="superscript"/>
              </w:rPr>
              <w:t>1</w:t>
            </w:r>
            <w:r w:rsidRPr="006F6267">
              <w:rPr>
                <w:b/>
                <w:sz w:val="26"/>
                <w:szCs w:val="26"/>
              </w:rPr>
              <w:t xml:space="preserve">. Дозвіл на порушення об’єктів благоустрою </w:t>
            </w:r>
          </w:p>
          <w:p w:rsidR="0047613E" w:rsidRPr="006F6267" w:rsidRDefault="0047613E" w:rsidP="00C92E1B">
            <w:pPr>
              <w:ind w:firstLine="159"/>
              <w:jc w:val="both"/>
              <w:rPr>
                <w:b/>
                <w:sz w:val="26"/>
                <w:szCs w:val="26"/>
              </w:rPr>
            </w:pPr>
          </w:p>
          <w:p w:rsidR="0047613E" w:rsidRPr="006F6267" w:rsidRDefault="0047613E" w:rsidP="00C92E1B">
            <w:pPr>
              <w:ind w:firstLine="159"/>
              <w:jc w:val="both"/>
              <w:rPr>
                <w:sz w:val="26"/>
                <w:szCs w:val="26"/>
              </w:rPr>
            </w:pPr>
            <w:r w:rsidRPr="006F6267">
              <w:rPr>
                <w:sz w:val="26"/>
                <w:szCs w:val="26"/>
              </w:rPr>
              <w:t xml:space="preserve">1. Порушення  об’єктів  благоустрою,  пов’язане з виконанням суб’єктами господарювання земляних та ремонтних робіт, здійснюється на підставі дозволу на порушення об’єктів благоустрою виконавчого  органу  сільської,  селищної,  міської  ради  (далі </w:t>
            </w:r>
            <w:r w:rsidR="00A45B01">
              <w:rPr>
                <w:sz w:val="26"/>
                <w:szCs w:val="26"/>
              </w:rPr>
              <w:t>–</w:t>
            </w:r>
            <w:r w:rsidRPr="006F6267">
              <w:rPr>
                <w:sz w:val="26"/>
                <w:szCs w:val="26"/>
              </w:rPr>
              <w:t xml:space="preserve"> дозвіл),  крім випадків, встановлених абзацами другим </w:t>
            </w:r>
            <w:r w:rsidRPr="0025583C">
              <w:rPr>
                <w:sz w:val="26"/>
                <w:szCs w:val="26"/>
              </w:rPr>
              <w:t xml:space="preserve">– </w:t>
            </w:r>
            <w:r w:rsidRPr="006F6267">
              <w:rPr>
                <w:sz w:val="26"/>
                <w:szCs w:val="26"/>
              </w:rPr>
              <w:t>четвертим</w:t>
            </w:r>
            <w:r w:rsidRPr="006F6267">
              <w:rPr>
                <w:b/>
                <w:sz w:val="26"/>
                <w:szCs w:val="26"/>
              </w:rPr>
              <w:t xml:space="preserve">, шостим </w:t>
            </w:r>
            <w:r w:rsidRPr="006F6267">
              <w:rPr>
                <w:sz w:val="26"/>
                <w:szCs w:val="26"/>
              </w:rPr>
              <w:t xml:space="preserve">частини першої цієї статті. </w:t>
            </w:r>
          </w:p>
          <w:p w:rsidR="0047613E" w:rsidRPr="006F6267" w:rsidRDefault="0047613E" w:rsidP="00C92E1B">
            <w:pPr>
              <w:ind w:firstLine="159"/>
              <w:jc w:val="both"/>
              <w:rPr>
                <w:sz w:val="26"/>
                <w:szCs w:val="26"/>
              </w:rPr>
            </w:pPr>
            <w:r w:rsidRPr="006F6267">
              <w:rPr>
                <w:sz w:val="26"/>
                <w:szCs w:val="26"/>
              </w:rPr>
              <w:t xml:space="preserve">    </w:t>
            </w:r>
          </w:p>
          <w:p w:rsidR="0047613E" w:rsidRPr="006F6267" w:rsidRDefault="0047613E" w:rsidP="00C92E1B">
            <w:pPr>
              <w:ind w:firstLine="159"/>
              <w:jc w:val="both"/>
              <w:rPr>
                <w:sz w:val="26"/>
                <w:szCs w:val="26"/>
              </w:rPr>
            </w:pPr>
            <w:r w:rsidRPr="006F6267">
              <w:rPr>
                <w:sz w:val="26"/>
                <w:szCs w:val="26"/>
              </w:rPr>
              <w:t xml:space="preserve">Дозвіл на порушення об’єктів благоустрою не вимагається, якщо земляні та ремонтні роботи здійснюються: </w:t>
            </w:r>
          </w:p>
          <w:p w:rsidR="0047613E" w:rsidRPr="006F6267" w:rsidRDefault="0047613E" w:rsidP="00C92E1B">
            <w:pPr>
              <w:ind w:firstLine="159"/>
              <w:jc w:val="both"/>
              <w:rPr>
                <w:sz w:val="26"/>
                <w:szCs w:val="26"/>
              </w:rPr>
            </w:pPr>
          </w:p>
          <w:p w:rsidR="0047613E" w:rsidRPr="006F6267" w:rsidRDefault="0047613E" w:rsidP="00C92E1B">
            <w:pPr>
              <w:ind w:firstLine="159"/>
              <w:jc w:val="both"/>
              <w:rPr>
                <w:sz w:val="26"/>
                <w:szCs w:val="26"/>
              </w:rPr>
            </w:pPr>
            <w:r w:rsidRPr="006F6267">
              <w:rPr>
                <w:sz w:val="26"/>
                <w:szCs w:val="26"/>
              </w:rPr>
              <w:lastRenderedPageBreak/>
              <w:t xml:space="preserve">особами, які мають документ, що посвідчує право власності або право   користування земельною ділянкою, у тому числі право земельного сервітуту; </w:t>
            </w:r>
          </w:p>
          <w:p w:rsidR="0047613E" w:rsidRPr="006F6267" w:rsidRDefault="0047613E" w:rsidP="00C92E1B">
            <w:pPr>
              <w:ind w:firstLine="159"/>
              <w:jc w:val="both"/>
              <w:rPr>
                <w:sz w:val="26"/>
                <w:szCs w:val="26"/>
              </w:rPr>
            </w:pPr>
          </w:p>
          <w:p w:rsidR="0047613E" w:rsidRPr="006F6267" w:rsidRDefault="0047613E" w:rsidP="00C92E1B">
            <w:pPr>
              <w:ind w:firstLine="159"/>
              <w:jc w:val="both"/>
              <w:rPr>
                <w:sz w:val="26"/>
                <w:szCs w:val="26"/>
              </w:rPr>
            </w:pPr>
          </w:p>
          <w:p w:rsidR="0047613E" w:rsidRPr="006F6267" w:rsidRDefault="0047613E" w:rsidP="00C92E1B">
            <w:pPr>
              <w:ind w:firstLine="159"/>
              <w:jc w:val="both"/>
              <w:rPr>
                <w:sz w:val="26"/>
                <w:szCs w:val="26"/>
              </w:rPr>
            </w:pPr>
            <w:r w:rsidRPr="006F6267">
              <w:rPr>
                <w:sz w:val="26"/>
                <w:szCs w:val="26"/>
              </w:rPr>
              <w:t xml:space="preserve">у складі підготовчих  або  будівельних  робіт,  право  на виконання яких оформлене у встановленому законодавством порядку. </w:t>
            </w:r>
          </w:p>
          <w:p w:rsidR="0047613E" w:rsidRPr="006F6267" w:rsidRDefault="0047613E" w:rsidP="00C92E1B">
            <w:pPr>
              <w:ind w:firstLine="159"/>
              <w:jc w:val="both"/>
              <w:rPr>
                <w:sz w:val="26"/>
                <w:szCs w:val="26"/>
              </w:rPr>
            </w:pPr>
          </w:p>
          <w:p w:rsidR="0047613E" w:rsidRPr="006F6267" w:rsidRDefault="0047613E" w:rsidP="00C92E1B">
            <w:pPr>
              <w:ind w:firstLine="159"/>
              <w:jc w:val="both"/>
              <w:rPr>
                <w:sz w:val="26"/>
                <w:szCs w:val="26"/>
              </w:rPr>
            </w:pPr>
            <w:r w:rsidRPr="006F6267">
              <w:rPr>
                <w:sz w:val="26"/>
                <w:szCs w:val="26"/>
              </w:rPr>
              <w:t xml:space="preserve">Роботи з усунення наслідків аварій на об’єктах благоустрою розпочинаються   негайно з обов'язковим подальшим оформленням дозволу в порядку, визначеному законодавством. </w:t>
            </w:r>
          </w:p>
          <w:p w:rsidR="0047613E" w:rsidRPr="006F6267" w:rsidRDefault="0047613E" w:rsidP="00C92E1B">
            <w:pPr>
              <w:ind w:firstLine="159"/>
              <w:jc w:val="both"/>
              <w:rPr>
                <w:sz w:val="26"/>
                <w:szCs w:val="26"/>
              </w:rPr>
            </w:pPr>
          </w:p>
          <w:p w:rsidR="0047613E" w:rsidRPr="006F6267" w:rsidRDefault="0047613E" w:rsidP="00C92E1B">
            <w:pPr>
              <w:ind w:firstLine="159"/>
              <w:jc w:val="both"/>
              <w:rPr>
                <w:b/>
                <w:sz w:val="26"/>
                <w:szCs w:val="26"/>
              </w:rPr>
            </w:pPr>
            <w:r w:rsidRPr="006F6267">
              <w:rPr>
                <w:b/>
                <w:sz w:val="26"/>
                <w:szCs w:val="26"/>
              </w:rPr>
              <w:t>Виконання земляних та ремонтних робіт для здійснення заходів із стандартного приєднання замовника до мереж електропередавальної організації згідно із Законом України “Про електроенергетику” може здійснюватись без отримання дозволу за умови надсилання електропередавальною організацією виконавчо</w:t>
            </w:r>
            <w:r w:rsidR="004337EC">
              <w:rPr>
                <w:b/>
                <w:sz w:val="26"/>
                <w:szCs w:val="26"/>
              </w:rPr>
              <w:t>му</w:t>
            </w:r>
            <w:bookmarkStart w:id="8" w:name="_GoBack"/>
            <w:bookmarkEnd w:id="8"/>
            <w:r w:rsidRPr="006F6267">
              <w:rPr>
                <w:b/>
                <w:sz w:val="26"/>
                <w:szCs w:val="26"/>
              </w:rPr>
              <w:t xml:space="preserve"> органу сільської, селищної, міської ради не менше ніж за п’ять робочих днів письмового повідомлення про дату початку, строк, місце та види виконуваних робіт. У разі коли зазначені роботи тривають більше трьох місяців, електропередавальна організація зобов’язана оформити дозвіл у встановленому порядку.</w:t>
            </w:r>
          </w:p>
          <w:p w:rsidR="0047613E" w:rsidRPr="006F6267" w:rsidRDefault="0047613E" w:rsidP="00C92E1B">
            <w:pPr>
              <w:ind w:firstLine="159"/>
              <w:jc w:val="both"/>
              <w:rPr>
                <w:b/>
                <w:sz w:val="26"/>
                <w:szCs w:val="26"/>
              </w:rPr>
            </w:pPr>
            <w:r w:rsidRPr="006F6267">
              <w:rPr>
                <w:sz w:val="26"/>
                <w:szCs w:val="26"/>
              </w:rPr>
              <w:t xml:space="preserve">     </w:t>
            </w:r>
          </w:p>
        </w:tc>
      </w:tr>
      <w:tr w:rsidR="003D2205" w:rsidRPr="006F6267" w:rsidTr="00050C71">
        <w:tc>
          <w:tcPr>
            <w:tcW w:w="15984" w:type="dxa"/>
            <w:gridSpan w:val="3"/>
            <w:shd w:val="clear" w:color="auto" w:fill="auto"/>
          </w:tcPr>
          <w:p w:rsidR="003D2205" w:rsidRPr="006F6267" w:rsidRDefault="003D2205" w:rsidP="00DF5008">
            <w:pPr>
              <w:jc w:val="center"/>
              <w:rPr>
                <w:b/>
                <w:sz w:val="26"/>
                <w:szCs w:val="26"/>
              </w:rPr>
            </w:pPr>
            <w:r w:rsidRPr="006F6267">
              <w:rPr>
                <w:b/>
                <w:sz w:val="26"/>
                <w:szCs w:val="26"/>
              </w:rPr>
              <w:lastRenderedPageBreak/>
              <w:t>Закон України «Про регулювання містобудівної діяльності»</w:t>
            </w:r>
          </w:p>
        </w:tc>
      </w:tr>
      <w:tr w:rsidR="003D2205" w:rsidRPr="006F6267" w:rsidTr="00050C71">
        <w:tc>
          <w:tcPr>
            <w:tcW w:w="7621" w:type="dxa"/>
            <w:shd w:val="clear" w:color="auto" w:fill="auto"/>
          </w:tcPr>
          <w:p w:rsidR="008F4292" w:rsidRPr="006F6267" w:rsidRDefault="008F4292" w:rsidP="00E30A50">
            <w:pPr>
              <w:ind w:firstLine="142"/>
              <w:jc w:val="both"/>
              <w:rPr>
                <w:sz w:val="26"/>
                <w:szCs w:val="26"/>
              </w:rPr>
            </w:pPr>
          </w:p>
          <w:p w:rsidR="003D2205" w:rsidRPr="006F6267" w:rsidRDefault="003D2205" w:rsidP="00E30A50">
            <w:pPr>
              <w:ind w:firstLine="142"/>
              <w:jc w:val="both"/>
              <w:rPr>
                <w:sz w:val="26"/>
                <w:szCs w:val="26"/>
              </w:rPr>
            </w:pPr>
            <w:r w:rsidRPr="006F6267">
              <w:rPr>
                <w:sz w:val="26"/>
                <w:szCs w:val="26"/>
              </w:rPr>
              <w:t xml:space="preserve">Стаття 18. План зонування території </w:t>
            </w:r>
          </w:p>
          <w:p w:rsidR="003D2205" w:rsidRPr="006F6267" w:rsidRDefault="003D2205" w:rsidP="00E30A50">
            <w:pPr>
              <w:ind w:firstLine="142"/>
              <w:jc w:val="both"/>
              <w:rPr>
                <w:b/>
                <w:sz w:val="26"/>
                <w:szCs w:val="26"/>
              </w:rPr>
            </w:pPr>
          </w:p>
          <w:p w:rsidR="003D2205" w:rsidRPr="006F6267" w:rsidRDefault="003D2205" w:rsidP="00E30A50">
            <w:pPr>
              <w:ind w:firstLine="142"/>
              <w:jc w:val="both"/>
              <w:rPr>
                <w:sz w:val="26"/>
                <w:szCs w:val="26"/>
              </w:rPr>
            </w:pPr>
            <w:r w:rsidRPr="006F6267">
              <w:rPr>
                <w:sz w:val="26"/>
                <w:szCs w:val="26"/>
              </w:rPr>
              <w:t>…</w:t>
            </w:r>
          </w:p>
          <w:p w:rsidR="003D2205" w:rsidRPr="006F6267" w:rsidRDefault="003D2205" w:rsidP="00E30A50">
            <w:pPr>
              <w:ind w:firstLine="142"/>
              <w:jc w:val="both"/>
              <w:rPr>
                <w:sz w:val="26"/>
                <w:szCs w:val="26"/>
              </w:rPr>
            </w:pPr>
            <w:r w:rsidRPr="006F6267">
              <w:rPr>
                <w:sz w:val="26"/>
                <w:szCs w:val="26"/>
              </w:rPr>
              <w:t xml:space="preserve">3. Зонування   території  здійснюється  з  дотриманням  таких вимог: </w:t>
            </w:r>
          </w:p>
          <w:p w:rsidR="003D2205" w:rsidRPr="006F6267" w:rsidRDefault="003D2205" w:rsidP="00E30A50">
            <w:pPr>
              <w:ind w:firstLine="142"/>
              <w:jc w:val="both"/>
              <w:rPr>
                <w:sz w:val="26"/>
                <w:szCs w:val="26"/>
              </w:rPr>
            </w:pPr>
          </w:p>
          <w:p w:rsidR="003D2205" w:rsidRPr="006F6267" w:rsidRDefault="003D2205" w:rsidP="00E30A50">
            <w:pPr>
              <w:ind w:firstLine="142"/>
              <w:jc w:val="both"/>
              <w:rPr>
                <w:sz w:val="26"/>
                <w:szCs w:val="26"/>
              </w:rPr>
            </w:pPr>
            <w:r w:rsidRPr="006F6267">
              <w:rPr>
                <w:sz w:val="26"/>
                <w:szCs w:val="26"/>
              </w:rPr>
              <w:t>…</w:t>
            </w:r>
          </w:p>
          <w:p w:rsidR="003D2205" w:rsidRPr="006F6267" w:rsidRDefault="003D2205" w:rsidP="00E30A50">
            <w:pPr>
              <w:ind w:firstLine="142"/>
              <w:jc w:val="both"/>
              <w:rPr>
                <w:sz w:val="26"/>
                <w:szCs w:val="26"/>
              </w:rPr>
            </w:pPr>
            <w:r w:rsidRPr="006F6267">
              <w:rPr>
                <w:sz w:val="26"/>
                <w:szCs w:val="26"/>
              </w:rPr>
              <w:t xml:space="preserve">7) відображення меж прибережних захисних смуг і пляжних зон </w:t>
            </w:r>
            <w:r w:rsidRPr="006F6267">
              <w:rPr>
                <w:sz w:val="26"/>
                <w:szCs w:val="26"/>
              </w:rPr>
              <w:lastRenderedPageBreak/>
              <w:t>водних об’єктів.</w:t>
            </w:r>
          </w:p>
          <w:p w:rsidR="003D2205" w:rsidRPr="006F6267" w:rsidRDefault="003D2205" w:rsidP="00E30A50">
            <w:pPr>
              <w:ind w:firstLine="142"/>
              <w:jc w:val="both"/>
              <w:rPr>
                <w:b/>
                <w:sz w:val="26"/>
                <w:szCs w:val="26"/>
              </w:rPr>
            </w:pPr>
          </w:p>
          <w:p w:rsidR="003D2205" w:rsidRPr="006F6267" w:rsidRDefault="003D2205" w:rsidP="00E30A50">
            <w:pPr>
              <w:ind w:firstLine="142"/>
              <w:jc w:val="both"/>
              <w:rPr>
                <w:b/>
                <w:sz w:val="26"/>
                <w:szCs w:val="26"/>
              </w:rPr>
            </w:pPr>
            <w:r w:rsidRPr="006F6267">
              <w:rPr>
                <w:b/>
                <w:sz w:val="26"/>
                <w:szCs w:val="26"/>
              </w:rPr>
              <w:t>відсутній</w:t>
            </w:r>
          </w:p>
        </w:tc>
        <w:tc>
          <w:tcPr>
            <w:tcW w:w="8363" w:type="dxa"/>
            <w:gridSpan w:val="2"/>
            <w:shd w:val="clear" w:color="auto" w:fill="auto"/>
          </w:tcPr>
          <w:p w:rsidR="008F4292" w:rsidRPr="006F6267" w:rsidRDefault="008F4292" w:rsidP="00F919E9">
            <w:pPr>
              <w:ind w:firstLine="176"/>
              <w:jc w:val="both"/>
              <w:rPr>
                <w:sz w:val="26"/>
                <w:szCs w:val="26"/>
              </w:rPr>
            </w:pPr>
          </w:p>
          <w:p w:rsidR="003D2205" w:rsidRPr="006F6267" w:rsidRDefault="003D2205" w:rsidP="00F919E9">
            <w:pPr>
              <w:ind w:firstLine="176"/>
              <w:jc w:val="both"/>
              <w:rPr>
                <w:sz w:val="26"/>
                <w:szCs w:val="26"/>
              </w:rPr>
            </w:pPr>
            <w:r w:rsidRPr="006F6267">
              <w:rPr>
                <w:sz w:val="26"/>
                <w:szCs w:val="26"/>
              </w:rPr>
              <w:t xml:space="preserve">Стаття 18. План зонування території </w:t>
            </w:r>
          </w:p>
          <w:p w:rsidR="003D2205" w:rsidRPr="006F6267" w:rsidRDefault="003D2205" w:rsidP="00F919E9">
            <w:pPr>
              <w:ind w:firstLine="176"/>
              <w:jc w:val="both"/>
              <w:rPr>
                <w:b/>
                <w:sz w:val="26"/>
                <w:szCs w:val="26"/>
              </w:rPr>
            </w:pPr>
          </w:p>
          <w:p w:rsidR="003D2205" w:rsidRPr="006F6267" w:rsidRDefault="003D2205" w:rsidP="00F919E9">
            <w:pPr>
              <w:ind w:firstLine="176"/>
              <w:jc w:val="both"/>
              <w:rPr>
                <w:sz w:val="26"/>
                <w:szCs w:val="26"/>
              </w:rPr>
            </w:pPr>
            <w:r w:rsidRPr="006F6267">
              <w:rPr>
                <w:sz w:val="26"/>
                <w:szCs w:val="26"/>
              </w:rPr>
              <w:t>…</w:t>
            </w:r>
          </w:p>
          <w:p w:rsidR="003D2205" w:rsidRPr="006F6267" w:rsidRDefault="003D2205" w:rsidP="00F919E9">
            <w:pPr>
              <w:ind w:firstLine="176"/>
              <w:jc w:val="both"/>
              <w:rPr>
                <w:sz w:val="26"/>
                <w:szCs w:val="26"/>
              </w:rPr>
            </w:pPr>
            <w:r w:rsidRPr="006F6267">
              <w:rPr>
                <w:sz w:val="26"/>
                <w:szCs w:val="26"/>
              </w:rPr>
              <w:t xml:space="preserve">3. Зонування   території  здійснюється  з  дотриманням  таких вимог: </w:t>
            </w:r>
          </w:p>
          <w:p w:rsidR="003D2205" w:rsidRDefault="003D2205" w:rsidP="00F919E9">
            <w:pPr>
              <w:ind w:firstLine="176"/>
              <w:jc w:val="both"/>
              <w:rPr>
                <w:sz w:val="26"/>
                <w:szCs w:val="26"/>
              </w:rPr>
            </w:pPr>
          </w:p>
          <w:p w:rsidR="008B6642" w:rsidRPr="006F6267" w:rsidRDefault="008B6642" w:rsidP="00F919E9">
            <w:pPr>
              <w:ind w:firstLine="176"/>
              <w:jc w:val="both"/>
              <w:rPr>
                <w:sz w:val="26"/>
                <w:szCs w:val="26"/>
              </w:rPr>
            </w:pPr>
          </w:p>
          <w:p w:rsidR="003D2205" w:rsidRPr="006F6267" w:rsidRDefault="008B6642" w:rsidP="00F919E9">
            <w:pPr>
              <w:ind w:firstLine="176"/>
              <w:jc w:val="both"/>
              <w:rPr>
                <w:sz w:val="26"/>
                <w:szCs w:val="26"/>
              </w:rPr>
            </w:pPr>
            <w:r>
              <w:rPr>
                <w:sz w:val="26"/>
                <w:szCs w:val="26"/>
              </w:rPr>
              <w:t>..</w:t>
            </w:r>
            <w:r w:rsidR="003D2205" w:rsidRPr="006F6267">
              <w:rPr>
                <w:sz w:val="26"/>
                <w:szCs w:val="26"/>
              </w:rPr>
              <w:t>.</w:t>
            </w:r>
          </w:p>
          <w:p w:rsidR="003D2205" w:rsidRPr="006F6267" w:rsidRDefault="003D2205" w:rsidP="00F919E9">
            <w:pPr>
              <w:ind w:firstLine="176"/>
              <w:jc w:val="both"/>
              <w:rPr>
                <w:sz w:val="26"/>
                <w:szCs w:val="26"/>
              </w:rPr>
            </w:pPr>
            <w:r w:rsidRPr="006F6267">
              <w:rPr>
                <w:sz w:val="26"/>
                <w:szCs w:val="26"/>
              </w:rPr>
              <w:t xml:space="preserve">7) відображення  меж прибережних захисних смуг і пляжних зон </w:t>
            </w:r>
            <w:r w:rsidRPr="006F6267">
              <w:rPr>
                <w:sz w:val="26"/>
                <w:szCs w:val="26"/>
              </w:rPr>
              <w:lastRenderedPageBreak/>
              <w:t>водних об’єктів;</w:t>
            </w:r>
          </w:p>
          <w:p w:rsidR="003D2205" w:rsidRPr="006F6267" w:rsidRDefault="003D2205" w:rsidP="00F919E9">
            <w:pPr>
              <w:ind w:firstLine="176"/>
              <w:jc w:val="both"/>
              <w:rPr>
                <w:sz w:val="26"/>
                <w:szCs w:val="26"/>
              </w:rPr>
            </w:pPr>
          </w:p>
          <w:p w:rsidR="003D2205" w:rsidRPr="006F6267" w:rsidRDefault="007C5986" w:rsidP="007C5986">
            <w:pPr>
              <w:ind w:firstLine="176"/>
              <w:jc w:val="both"/>
              <w:rPr>
                <w:b/>
                <w:sz w:val="26"/>
                <w:szCs w:val="26"/>
              </w:rPr>
            </w:pPr>
            <w:r w:rsidRPr="006F6267">
              <w:rPr>
                <w:b/>
                <w:sz w:val="26"/>
                <w:szCs w:val="26"/>
              </w:rPr>
              <w:t xml:space="preserve">8) установлення інженерних коридорів для прокладення мереж </w:t>
            </w:r>
            <w:proofErr w:type="spellStart"/>
            <w:r w:rsidRPr="006F6267">
              <w:rPr>
                <w:b/>
                <w:sz w:val="26"/>
                <w:szCs w:val="26"/>
              </w:rPr>
              <w:t>водо-</w:t>
            </w:r>
            <w:proofErr w:type="spellEnd"/>
            <w:r w:rsidRPr="006F6267">
              <w:rPr>
                <w:b/>
                <w:sz w:val="26"/>
                <w:szCs w:val="26"/>
              </w:rPr>
              <w:t xml:space="preserve">, </w:t>
            </w:r>
            <w:proofErr w:type="spellStart"/>
            <w:r w:rsidRPr="006F6267">
              <w:rPr>
                <w:b/>
                <w:sz w:val="26"/>
                <w:szCs w:val="26"/>
              </w:rPr>
              <w:t>тепло-</w:t>
            </w:r>
            <w:proofErr w:type="spellEnd"/>
            <w:r w:rsidRPr="006F6267">
              <w:rPr>
                <w:b/>
                <w:sz w:val="26"/>
                <w:szCs w:val="26"/>
              </w:rPr>
              <w:t xml:space="preserve">, </w:t>
            </w:r>
            <w:proofErr w:type="spellStart"/>
            <w:r w:rsidRPr="006F6267">
              <w:rPr>
                <w:b/>
                <w:sz w:val="26"/>
                <w:szCs w:val="26"/>
              </w:rPr>
              <w:t>енерго-</w:t>
            </w:r>
            <w:proofErr w:type="spellEnd"/>
            <w:r w:rsidRPr="006F6267">
              <w:rPr>
                <w:b/>
                <w:sz w:val="26"/>
                <w:szCs w:val="26"/>
              </w:rPr>
              <w:t xml:space="preserve"> і газопостачання, каналізації, радіофікації, зовнішнього освітлення, відведення зливових вод, телефонізації, телекомунікації та території розміщення об’єктів електроенергетики.</w:t>
            </w:r>
          </w:p>
        </w:tc>
      </w:tr>
      <w:tr w:rsidR="003D2205" w:rsidRPr="006F6267" w:rsidTr="00050C71">
        <w:tc>
          <w:tcPr>
            <w:tcW w:w="7621" w:type="dxa"/>
            <w:shd w:val="clear" w:color="auto" w:fill="auto"/>
          </w:tcPr>
          <w:p w:rsidR="008F4292" w:rsidRPr="006F6267" w:rsidRDefault="008F4292" w:rsidP="00E30A50">
            <w:pPr>
              <w:pStyle w:val="HTML"/>
              <w:shd w:val="clear" w:color="auto" w:fill="FFFFFF"/>
              <w:ind w:firstLine="142"/>
              <w:jc w:val="both"/>
              <w:textAlignment w:val="baseline"/>
              <w:rPr>
                <w:rFonts w:ascii="Times New Roman" w:hAnsi="Times New Roman"/>
                <w:color w:val="000000"/>
                <w:sz w:val="26"/>
                <w:szCs w:val="26"/>
                <w:lang w:val="uk-UA" w:eastAsia="ru-RU"/>
              </w:rPr>
            </w:pPr>
          </w:p>
          <w:p w:rsidR="003D2205" w:rsidRPr="006F6267" w:rsidRDefault="003D2205" w:rsidP="00E30A50">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Стаття 19. Детальний план території</w:t>
            </w:r>
          </w:p>
          <w:p w:rsidR="003D2205" w:rsidRPr="006F6267" w:rsidRDefault="003D2205" w:rsidP="00E30A50">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4. Детальний план території визначає:</w:t>
            </w:r>
            <w:bookmarkStart w:id="9" w:name="o204"/>
            <w:bookmarkEnd w:id="9"/>
          </w:p>
          <w:p w:rsidR="003D2205" w:rsidRPr="006F6267" w:rsidRDefault="003D2205" w:rsidP="00E30A50">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w:t>
            </w:r>
            <w:bookmarkStart w:id="10" w:name="o210"/>
            <w:bookmarkEnd w:id="10"/>
          </w:p>
          <w:p w:rsidR="003D2205" w:rsidRPr="006F6267" w:rsidRDefault="003D2205" w:rsidP="00E30A50">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 xml:space="preserve">7) черговість та обсяги інженерної підготовки території; </w:t>
            </w:r>
            <w:r w:rsidRPr="006F6267">
              <w:rPr>
                <w:rFonts w:ascii="Times New Roman" w:hAnsi="Times New Roman"/>
                <w:color w:val="000000"/>
                <w:sz w:val="26"/>
                <w:szCs w:val="26"/>
                <w:lang w:val="uk-UA" w:eastAsia="ru-RU"/>
              </w:rPr>
              <w:br/>
            </w:r>
          </w:p>
          <w:p w:rsidR="00720A2C" w:rsidRPr="006F6267" w:rsidRDefault="00720A2C" w:rsidP="00E30A50">
            <w:pPr>
              <w:pStyle w:val="HTML"/>
              <w:shd w:val="clear" w:color="auto" w:fill="FFFFFF"/>
              <w:ind w:firstLine="142"/>
              <w:jc w:val="both"/>
              <w:textAlignment w:val="baseline"/>
              <w:rPr>
                <w:rFonts w:ascii="Times New Roman" w:hAnsi="Times New Roman"/>
                <w:color w:val="000000"/>
                <w:sz w:val="26"/>
                <w:szCs w:val="26"/>
                <w:lang w:val="uk-UA" w:eastAsia="ru-RU"/>
              </w:rPr>
            </w:pPr>
            <w:bookmarkStart w:id="11" w:name="o211"/>
            <w:bookmarkEnd w:id="11"/>
          </w:p>
          <w:p w:rsidR="003D2205" w:rsidRPr="006F6267" w:rsidRDefault="003D2205" w:rsidP="00E30A50">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 xml:space="preserve">8) систему інженерних мереж; </w:t>
            </w:r>
          </w:p>
          <w:p w:rsidR="003D2205" w:rsidRPr="006F6267" w:rsidRDefault="003D2205" w:rsidP="00E30A50">
            <w:pPr>
              <w:ind w:firstLine="142"/>
              <w:jc w:val="both"/>
              <w:rPr>
                <w:b/>
                <w:sz w:val="26"/>
                <w:szCs w:val="26"/>
              </w:rPr>
            </w:pPr>
          </w:p>
        </w:tc>
        <w:tc>
          <w:tcPr>
            <w:tcW w:w="8363" w:type="dxa"/>
            <w:gridSpan w:val="2"/>
            <w:shd w:val="clear" w:color="auto" w:fill="auto"/>
          </w:tcPr>
          <w:p w:rsidR="008F4292" w:rsidRPr="006F6267" w:rsidRDefault="008F4292" w:rsidP="00F919E9">
            <w:pPr>
              <w:pStyle w:val="HTML"/>
              <w:shd w:val="clear" w:color="auto" w:fill="FFFFFF"/>
              <w:ind w:firstLine="176"/>
              <w:jc w:val="both"/>
              <w:textAlignment w:val="baseline"/>
              <w:rPr>
                <w:rFonts w:ascii="Times New Roman" w:hAnsi="Times New Roman"/>
                <w:color w:val="000000"/>
                <w:sz w:val="26"/>
                <w:szCs w:val="26"/>
                <w:lang w:val="uk-UA" w:eastAsia="ru-RU"/>
              </w:rPr>
            </w:pPr>
          </w:p>
          <w:p w:rsidR="003D2205" w:rsidRPr="006F6267" w:rsidRDefault="003D2205" w:rsidP="00F919E9">
            <w:pPr>
              <w:pStyle w:val="HTML"/>
              <w:shd w:val="clear" w:color="auto" w:fill="FFFFFF"/>
              <w:ind w:firstLine="176"/>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Стаття 19. Детальний план території</w:t>
            </w:r>
          </w:p>
          <w:p w:rsidR="003D2205" w:rsidRPr="006F6267" w:rsidRDefault="003D2205" w:rsidP="00F919E9">
            <w:pPr>
              <w:ind w:firstLine="176"/>
              <w:jc w:val="both"/>
              <w:rPr>
                <w:sz w:val="26"/>
                <w:szCs w:val="26"/>
              </w:rPr>
            </w:pPr>
            <w:r w:rsidRPr="006F6267">
              <w:rPr>
                <w:sz w:val="26"/>
                <w:szCs w:val="26"/>
              </w:rPr>
              <w:t xml:space="preserve">4. Детальний план території визначає: </w:t>
            </w:r>
          </w:p>
          <w:p w:rsidR="003D2205" w:rsidRPr="006F6267" w:rsidRDefault="003D2205" w:rsidP="00F919E9">
            <w:pPr>
              <w:ind w:firstLine="176"/>
              <w:jc w:val="both"/>
              <w:rPr>
                <w:sz w:val="26"/>
                <w:szCs w:val="26"/>
              </w:rPr>
            </w:pPr>
            <w:r w:rsidRPr="006F6267">
              <w:rPr>
                <w:sz w:val="26"/>
                <w:szCs w:val="26"/>
              </w:rPr>
              <w:t>……</w:t>
            </w:r>
          </w:p>
          <w:p w:rsidR="003D2205" w:rsidRPr="006F6267" w:rsidRDefault="003D2205" w:rsidP="00F919E9">
            <w:pPr>
              <w:ind w:firstLine="176"/>
              <w:jc w:val="both"/>
              <w:rPr>
                <w:sz w:val="26"/>
                <w:szCs w:val="26"/>
              </w:rPr>
            </w:pPr>
            <w:r w:rsidRPr="006F6267">
              <w:rPr>
                <w:sz w:val="26"/>
                <w:szCs w:val="26"/>
              </w:rPr>
              <w:t xml:space="preserve">7) черговість та обсяги інженерної підготовки території; </w:t>
            </w:r>
          </w:p>
          <w:p w:rsidR="003D2205" w:rsidRPr="006F6267" w:rsidRDefault="003D2205" w:rsidP="00F919E9">
            <w:pPr>
              <w:ind w:firstLine="176"/>
              <w:jc w:val="both"/>
              <w:rPr>
                <w:b/>
                <w:sz w:val="26"/>
                <w:szCs w:val="26"/>
              </w:rPr>
            </w:pPr>
          </w:p>
          <w:p w:rsidR="003D2205" w:rsidRPr="006F6267" w:rsidRDefault="00720A2C" w:rsidP="00757E6B">
            <w:pPr>
              <w:ind w:firstLine="176"/>
              <w:jc w:val="both"/>
              <w:rPr>
                <w:b/>
                <w:sz w:val="26"/>
                <w:szCs w:val="26"/>
              </w:rPr>
            </w:pPr>
            <w:r w:rsidRPr="006F6267">
              <w:rPr>
                <w:sz w:val="26"/>
                <w:szCs w:val="26"/>
              </w:rPr>
              <w:t xml:space="preserve">8) систему інженерних мереж </w:t>
            </w:r>
            <w:r w:rsidRPr="006F6267">
              <w:rPr>
                <w:b/>
                <w:sz w:val="26"/>
                <w:szCs w:val="26"/>
              </w:rPr>
              <w:t xml:space="preserve">(в тому числі інженерні коридори для прокладення мереж </w:t>
            </w:r>
            <w:proofErr w:type="spellStart"/>
            <w:r w:rsidRPr="006F6267">
              <w:rPr>
                <w:b/>
                <w:sz w:val="26"/>
                <w:szCs w:val="26"/>
              </w:rPr>
              <w:t>водо-</w:t>
            </w:r>
            <w:proofErr w:type="spellEnd"/>
            <w:r w:rsidRPr="006F6267">
              <w:rPr>
                <w:b/>
                <w:sz w:val="26"/>
                <w:szCs w:val="26"/>
              </w:rPr>
              <w:t xml:space="preserve">, </w:t>
            </w:r>
            <w:proofErr w:type="spellStart"/>
            <w:r w:rsidRPr="006F6267">
              <w:rPr>
                <w:b/>
                <w:sz w:val="26"/>
                <w:szCs w:val="26"/>
              </w:rPr>
              <w:t>тепло-</w:t>
            </w:r>
            <w:proofErr w:type="spellEnd"/>
            <w:r w:rsidRPr="006F6267">
              <w:rPr>
                <w:b/>
                <w:sz w:val="26"/>
                <w:szCs w:val="26"/>
              </w:rPr>
              <w:t xml:space="preserve">, </w:t>
            </w:r>
            <w:proofErr w:type="spellStart"/>
            <w:r w:rsidRPr="006F6267">
              <w:rPr>
                <w:b/>
                <w:sz w:val="26"/>
                <w:szCs w:val="26"/>
              </w:rPr>
              <w:t>енерго-</w:t>
            </w:r>
            <w:proofErr w:type="spellEnd"/>
            <w:r w:rsidRPr="006F6267">
              <w:rPr>
                <w:b/>
                <w:sz w:val="26"/>
                <w:szCs w:val="26"/>
              </w:rPr>
              <w:t xml:space="preserve"> і газопостачання, каналізації, радіофікації, зовнішнього освітлення, відведення зливових вод, телефонізації, телекомунікації) та території розміщення об’єктів електроенергетики</w:t>
            </w:r>
            <w:r w:rsidRPr="006F6267">
              <w:rPr>
                <w:sz w:val="26"/>
                <w:szCs w:val="26"/>
              </w:rPr>
              <w:t>;</w:t>
            </w:r>
          </w:p>
          <w:p w:rsidR="003D2205" w:rsidRPr="006F6267" w:rsidRDefault="003D2205" w:rsidP="00757E6B">
            <w:pPr>
              <w:ind w:firstLine="176"/>
              <w:jc w:val="both"/>
              <w:rPr>
                <w:b/>
                <w:sz w:val="26"/>
                <w:szCs w:val="26"/>
              </w:rPr>
            </w:pPr>
          </w:p>
        </w:tc>
      </w:tr>
      <w:tr w:rsidR="003D2205" w:rsidRPr="006F6267" w:rsidTr="00050C71">
        <w:tc>
          <w:tcPr>
            <w:tcW w:w="7621" w:type="dxa"/>
            <w:shd w:val="clear" w:color="auto" w:fill="auto"/>
          </w:tcPr>
          <w:p w:rsidR="003D2205" w:rsidRPr="006F6267" w:rsidRDefault="003D2205" w:rsidP="00E30A50">
            <w:pPr>
              <w:pStyle w:val="HTML"/>
              <w:shd w:val="clear" w:color="auto" w:fill="FFFFFF"/>
              <w:ind w:firstLine="142"/>
              <w:jc w:val="both"/>
              <w:textAlignment w:val="baseline"/>
              <w:rPr>
                <w:rFonts w:ascii="Times New Roman" w:hAnsi="Times New Roman"/>
                <w:b/>
                <w:color w:val="000000"/>
                <w:sz w:val="26"/>
                <w:szCs w:val="26"/>
                <w:lang w:val="uk-UA" w:eastAsia="ru-RU"/>
              </w:rPr>
            </w:pPr>
            <w:r w:rsidRPr="006F6267">
              <w:rPr>
                <w:rFonts w:ascii="Times New Roman" w:hAnsi="Times New Roman"/>
                <w:b/>
                <w:color w:val="000000"/>
                <w:sz w:val="26"/>
                <w:szCs w:val="26"/>
                <w:lang w:val="uk-UA" w:eastAsia="ru-RU"/>
              </w:rPr>
              <w:t xml:space="preserve">Стаття 30. Технічні умови </w:t>
            </w: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 xml:space="preserve">1. Технічні умови - комплекс умов та вимог до інженерного забезпечення об'єкта будівництва, які повинні відповідати його розрахунковим параметрам, зокрема щодо </w:t>
            </w:r>
            <w:proofErr w:type="spellStart"/>
            <w:r w:rsidRPr="006F6267">
              <w:rPr>
                <w:rFonts w:ascii="Times New Roman" w:hAnsi="Times New Roman"/>
                <w:color w:val="000000"/>
                <w:sz w:val="26"/>
                <w:szCs w:val="26"/>
                <w:lang w:val="uk-UA" w:eastAsia="ru-RU"/>
              </w:rPr>
              <w:t>водо-</w:t>
            </w:r>
            <w:proofErr w:type="spellEnd"/>
            <w:r w:rsidRPr="006F6267">
              <w:rPr>
                <w:rFonts w:ascii="Times New Roman" w:hAnsi="Times New Roman"/>
                <w:color w:val="000000"/>
                <w:sz w:val="26"/>
                <w:szCs w:val="26"/>
                <w:lang w:val="uk-UA" w:eastAsia="ru-RU"/>
              </w:rPr>
              <w:t xml:space="preserve">, </w:t>
            </w:r>
            <w:proofErr w:type="spellStart"/>
            <w:r w:rsidRPr="006F6267">
              <w:rPr>
                <w:rFonts w:ascii="Times New Roman" w:hAnsi="Times New Roman"/>
                <w:color w:val="000000"/>
                <w:sz w:val="26"/>
                <w:szCs w:val="26"/>
                <w:lang w:val="uk-UA" w:eastAsia="ru-RU"/>
              </w:rPr>
              <w:t>тепло-</w:t>
            </w:r>
            <w:proofErr w:type="spellEnd"/>
            <w:r w:rsidRPr="006F6267">
              <w:rPr>
                <w:rFonts w:ascii="Times New Roman" w:hAnsi="Times New Roman"/>
                <w:color w:val="000000"/>
                <w:sz w:val="26"/>
                <w:szCs w:val="26"/>
                <w:lang w:val="uk-UA" w:eastAsia="ru-RU"/>
              </w:rPr>
              <w:t xml:space="preserve">, </w:t>
            </w:r>
            <w:proofErr w:type="spellStart"/>
            <w:r w:rsidRPr="006F6267">
              <w:rPr>
                <w:rFonts w:ascii="Times New Roman" w:hAnsi="Times New Roman"/>
                <w:color w:val="000000"/>
                <w:sz w:val="26"/>
                <w:szCs w:val="26"/>
                <w:lang w:val="uk-UA" w:eastAsia="ru-RU"/>
              </w:rPr>
              <w:t>енерго-</w:t>
            </w:r>
            <w:proofErr w:type="spellEnd"/>
            <w:r w:rsidRPr="006F6267">
              <w:rPr>
                <w:rFonts w:ascii="Times New Roman" w:hAnsi="Times New Roman"/>
                <w:color w:val="000000"/>
                <w:sz w:val="26"/>
                <w:szCs w:val="26"/>
                <w:lang w:val="uk-UA" w:eastAsia="ru-RU"/>
              </w:rPr>
              <w:t xml:space="preserve"> і газопостачання, каналізації, радіофікації, зовнішнього освітлення, відведення зливових вод, телефонізації, телекомунікації, диспетчеризації, пожежної та техногенної безпеки. </w:t>
            </w: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 xml:space="preserve">2. Фізична чи юридична особа, яка має намір щодо забудови земельної ділянки, що перебуває в її власності або користуванні, має право на одержання технічних умов згідно із поданою нею заявою. </w:t>
            </w: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25583C" w:rsidRDefault="0025583C"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lastRenderedPageBreak/>
              <w:t>Технічні умови надаються протягом 10 робочих днів з дня реєстрації відповідної заяви.</w:t>
            </w: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 xml:space="preserve">3. Технічні умови повинні відповідати законодавству, містити достовірну інформацію та обґрунтовані вимоги до об'єктів будівництва, а також відповідати намірам заявника щодо забудови земельної ділянки. </w:t>
            </w: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 xml:space="preserve">4. У технічних умовах враховується, що місце приєднання інженерних мереж замовника до магістральних чи інших інженерних мереж розташовується на межі земельної ділянки замовника або за його згодою на території такої земельної ділянки. </w:t>
            </w: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 xml:space="preserve">5. 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 </w:t>
            </w: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 xml:space="preserve">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перевищує розмір пайової участі замовника у розвитку інфраструктури населеного пункту, орган місцевого самоврядування приймає рішення про відшкодування замовнику різниці між здійсненими витратами та розміром пайової участі замовника у розвитку інфраструктури населеного пункту. </w:t>
            </w: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3A0318"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DF5008" w:rsidRDefault="00DF500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DF5008" w:rsidRDefault="00DF500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DF5008" w:rsidRDefault="00DF500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DF5008" w:rsidRDefault="00DF500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3A0318" w:rsidRPr="006F6267" w:rsidRDefault="003A0318" w:rsidP="00CF052F">
            <w:pPr>
              <w:pStyle w:val="HTML"/>
              <w:shd w:val="clear" w:color="auto" w:fill="FFFFFF"/>
              <w:spacing w:before="120"/>
              <w:ind w:firstLine="142"/>
              <w:jc w:val="both"/>
              <w:textAlignment w:val="baseline"/>
              <w:rPr>
                <w:rFonts w:ascii="Times New Roman" w:hAnsi="Times New Roman"/>
                <w:color w:val="000000"/>
                <w:sz w:val="26"/>
                <w:szCs w:val="26"/>
                <w:lang w:val="uk-UA" w:eastAsia="ru-RU"/>
              </w:rPr>
            </w:pPr>
            <w:r w:rsidRPr="006F6267">
              <w:rPr>
                <w:rFonts w:ascii="Times New Roman" w:hAnsi="Times New Roman"/>
                <w:color w:val="000000"/>
                <w:sz w:val="26"/>
                <w:szCs w:val="26"/>
                <w:lang w:val="uk-UA" w:eastAsia="ru-RU"/>
              </w:rPr>
              <w:t xml:space="preserve">6. Склад, зміст, порядок надання технічних умов та порядок визначення вартості послуг з їх надання визначаються відповідними центральними органами виконавчої влади. </w:t>
            </w:r>
          </w:p>
          <w:p w:rsidR="003A0318" w:rsidRPr="006F6267" w:rsidRDefault="00CF052F" w:rsidP="00CF052F">
            <w:pPr>
              <w:pStyle w:val="HTML"/>
              <w:shd w:val="clear" w:color="auto" w:fill="FFFFFF"/>
              <w:spacing w:before="120"/>
              <w:ind w:firstLine="142"/>
              <w:jc w:val="both"/>
              <w:textAlignment w:val="baseline"/>
              <w:rPr>
                <w:rFonts w:ascii="Times New Roman" w:hAnsi="Times New Roman"/>
                <w:color w:val="000000"/>
                <w:sz w:val="26"/>
                <w:szCs w:val="26"/>
                <w:lang w:val="uk-UA" w:eastAsia="ru-RU"/>
              </w:rPr>
            </w:pPr>
            <w:r>
              <w:rPr>
                <w:rFonts w:ascii="Times New Roman" w:hAnsi="Times New Roman"/>
                <w:color w:val="000000"/>
                <w:sz w:val="26"/>
                <w:szCs w:val="26"/>
                <w:lang w:val="uk-UA" w:eastAsia="ru-RU"/>
              </w:rPr>
              <w:t>7</w:t>
            </w:r>
            <w:r w:rsidR="003A0318" w:rsidRPr="006F6267">
              <w:rPr>
                <w:rFonts w:ascii="Times New Roman" w:hAnsi="Times New Roman"/>
                <w:color w:val="000000"/>
                <w:sz w:val="26"/>
                <w:szCs w:val="26"/>
                <w:lang w:val="uk-UA" w:eastAsia="ru-RU"/>
              </w:rPr>
              <w:t xml:space="preserve">. Технічні умови є чинними до завершення будівництва об'єкта незалежно від зміни замовника. Зміни до технічних умов можуть вноситися тільки за згодою замовника. </w:t>
            </w: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3A0318" w:rsidRPr="006F6267" w:rsidRDefault="003A0318" w:rsidP="003A0318">
            <w:pPr>
              <w:pStyle w:val="HTML"/>
              <w:shd w:val="clear" w:color="auto" w:fill="FFFFFF"/>
              <w:ind w:firstLine="142"/>
              <w:jc w:val="both"/>
              <w:textAlignment w:val="baseline"/>
              <w:rPr>
                <w:rFonts w:ascii="Times New Roman" w:hAnsi="Times New Roman"/>
                <w:color w:val="000000"/>
                <w:sz w:val="26"/>
                <w:szCs w:val="26"/>
                <w:lang w:val="uk-UA" w:eastAsia="ru-RU"/>
              </w:rPr>
            </w:pPr>
          </w:p>
          <w:p w:rsidR="0025583C" w:rsidRDefault="0025583C" w:rsidP="003A0318">
            <w:pPr>
              <w:rPr>
                <w:color w:val="000000"/>
                <w:sz w:val="26"/>
                <w:szCs w:val="26"/>
              </w:rPr>
            </w:pPr>
          </w:p>
          <w:p w:rsidR="0025583C" w:rsidRDefault="0025583C" w:rsidP="003A0318">
            <w:pPr>
              <w:rPr>
                <w:color w:val="000000"/>
                <w:sz w:val="26"/>
                <w:szCs w:val="26"/>
              </w:rPr>
            </w:pPr>
          </w:p>
          <w:p w:rsidR="0025583C" w:rsidRDefault="0025583C" w:rsidP="003A0318">
            <w:pPr>
              <w:rPr>
                <w:color w:val="000000"/>
                <w:sz w:val="26"/>
                <w:szCs w:val="26"/>
              </w:rPr>
            </w:pPr>
          </w:p>
          <w:p w:rsidR="0025583C" w:rsidRDefault="0025583C" w:rsidP="003A0318">
            <w:pPr>
              <w:rPr>
                <w:color w:val="000000"/>
                <w:sz w:val="26"/>
                <w:szCs w:val="26"/>
              </w:rPr>
            </w:pPr>
          </w:p>
          <w:p w:rsidR="0025583C" w:rsidRDefault="0025583C" w:rsidP="003A0318">
            <w:pPr>
              <w:rPr>
                <w:color w:val="000000"/>
                <w:sz w:val="26"/>
                <w:szCs w:val="26"/>
              </w:rPr>
            </w:pPr>
          </w:p>
          <w:p w:rsidR="0025583C" w:rsidRDefault="0025583C" w:rsidP="003A0318">
            <w:pPr>
              <w:rPr>
                <w:color w:val="000000"/>
                <w:sz w:val="26"/>
                <w:szCs w:val="26"/>
              </w:rPr>
            </w:pPr>
          </w:p>
          <w:p w:rsidR="0025583C" w:rsidRDefault="0025583C" w:rsidP="003A0318">
            <w:pPr>
              <w:rPr>
                <w:color w:val="000000"/>
                <w:sz w:val="26"/>
                <w:szCs w:val="26"/>
              </w:rPr>
            </w:pPr>
          </w:p>
          <w:p w:rsidR="0025583C" w:rsidRDefault="0025583C" w:rsidP="003A0318">
            <w:pPr>
              <w:rPr>
                <w:color w:val="000000"/>
                <w:sz w:val="26"/>
                <w:szCs w:val="26"/>
              </w:rPr>
            </w:pPr>
          </w:p>
          <w:p w:rsidR="003D2205" w:rsidRPr="006F6267" w:rsidRDefault="003A0318" w:rsidP="003A0318">
            <w:pPr>
              <w:rPr>
                <w:sz w:val="26"/>
                <w:szCs w:val="26"/>
              </w:rPr>
            </w:pPr>
            <w:r w:rsidRPr="006F6267">
              <w:rPr>
                <w:color w:val="000000"/>
                <w:sz w:val="26"/>
                <w:szCs w:val="26"/>
              </w:rPr>
              <w:t xml:space="preserve">8. За рішенням замовника може бути передбачено застосування автономних систем інженерного забезпечення в установленому законодавством порядку. </w:t>
            </w:r>
          </w:p>
        </w:tc>
        <w:tc>
          <w:tcPr>
            <w:tcW w:w="8363" w:type="dxa"/>
            <w:gridSpan w:val="2"/>
            <w:shd w:val="clear" w:color="auto" w:fill="auto"/>
          </w:tcPr>
          <w:p w:rsidR="003D2205" w:rsidRPr="006F6267" w:rsidRDefault="003D2205" w:rsidP="00F919E9">
            <w:pPr>
              <w:pStyle w:val="HTML"/>
              <w:shd w:val="clear" w:color="auto" w:fill="FFFFFF"/>
              <w:ind w:firstLine="176"/>
              <w:jc w:val="both"/>
              <w:textAlignment w:val="baseline"/>
              <w:rPr>
                <w:rFonts w:ascii="Times New Roman" w:hAnsi="Times New Roman"/>
                <w:b/>
                <w:color w:val="000000"/>
                <w:sz w:val="26"/>
                <w:szCs w:val="26"/>
                <w:lang w:val="uk-UA" w:eastAsia="ru-RU"/>
              </w:rPr>
            </w:pPr>
            <w:r w:rsidRPr="006F6267">
              <w:rPr>
                <w:rFonts w:ascii="Times New Roman" w:hAnsi="Times New Roman"/>
                <w:b/>
                <w:color w:val="000000"/>
                <w:sz w:val="26"/>
                <w:szCs w:val="26"/>
                <w:lang w:val="uk-UA" w:eastAsia="ru-RU"/>
              </w:rPr>
              <w:lastRenderedPageBreak/>
              <w:t xml:space="preserve">Стаття 30. Технічні умови </w:t>
            </w:r>
          </w:p>
          <w:p w:rsidR="00EB06C8" w:rsidRPr="006F6267" w:rsidRDefault="00EB06C8" w:rsidP="00EB06C8">
            <w:pPr>
              <w:pStyle w:val="aa"/>
              <w:rPr>
                <w:rFonts w:ascii="Times New Roman" w:hAnsi="Times New Roman"/>
                <w:szCs w:val="26"/>
              </w:rPr>
            </w:pPr>
            <w:r w:rsidRPr="006F6267">
              <w:rPr>
                <w:rFonts w:ascii="Times New Roman" w:hAnsi="Times New Roman"/>
                <w:szCs w:val="26"/>
              </w:rPr>
              <w:t xml:space="preserve">1. Технічні умови - комплекс умов та вимог до інженерного забезпечення об'єкта будівництва, які повинні відповідати його розрахунковим параметрам, зокрема щодо </w:t>
            </w:r>
            <w:proofErr w:type="spellStart"/>
            <w:r w:rsidRPr="006F6267">
              <w:rPr>
                <w:rFonts w:ascii="Times New Roman" w:hAnsi="Times New Roman"/>
                <w:szCs w:val="26"/>
              </w:rPr>
              <w:t>водо-</w:t>
            </w:r>
            <w:proofErr w:type="spellEnd"/>
            <w:r w:rsidRPr="006F6267">
              <w:rPr>
                <w:rFonts w:ascii="Times New Roman" w:hAnsi="Times New Roman"/>
                <w:szCs w:val="26"/>
              </w:rPr>
              <w:t xml:space="preserve">, </w:t>
            </w:r>
            <w:proofErr w:type="spellStart"/>
            <w:r w:rsidRPr="006F6267">
              <w:rPr>
                <w:rFonts w:ascii="Times New Roman" w:hAnsi="Times New Roman"/>
                <w:szCs w:val="26"/>
              </w:rPr>
              <w:t>тепло-</w:t>
            </w:r>
            <w:proofErr w:type="spellEnd"/>
            <w:r w:rsidRPr="006F6267">
              <w:rPr>
                <w:rFonts w:ascii="Times New Roman" w:hAnsi="Times New Roman"/>
                <w:szCs w:val="26"/>
              </w:rPr>
              <w:t xml:space="preserve">, </w:t>
            </w:r>
            <w:proofErr w:type="spellStart"/>
            <w:r w:rsidRPr="006F6267">
              <w:rPr>
                <w:rFonts w:ascii="Times New Roman" w:hAnsi="Times New Roman"/>
                <w:szCs w:val="26"/>
              </w:rPr>
              <w:t>енерго-</w:t>
            </w:r>
            <w:proofErr w:type="spellEnd"/>
            <w:r w:rsidRPr="006F6267">
              <w:rPr>
                <w:rFonts w:ascii="Times New Roman" w:hAnsi="Times New Roman"/>
                <w:szCs w:val="26"/>
              </w:rPr>
              <w:t xml:space="preserve"> і газопостачання, каналізації, радіофікації, зовнішнього освітлення, відведення зливових вод, телефонізації, телекомунікації, диспетчеризації, пожежної та техногенної безпеки. </w:t>
            </w:r>
          </w:p>
          <w:p w:rsidR="00EB06C8" w:rsidRPr="006F6267" w:rsidRDefault="00EB06C8" w:rsidP="00EB06C8">
            <w:pPr>
              <w:pStyle w:val="aa"/>
              <w:rPr>
                <w:rFonts w:ascii="Times New Roman" w:hAnsi="Times New Roman"/>
                <w:b/>
                <w:szCs w:val="26"/>
              </w:rPr>
            </w:pPr>
            <w:r w:rsidRPr="006F6267">
              <w:rPr>
                <w:rFonts w:ascii="Times New Roman" w:hAnsi="Times New Roman"/>
                <w:b/>
                <w:szCs w:val="26"/>
              </w:rPr>
              <w:t>2. Фізична чи юридична особа, яка має намір щодо забудови земельної ділянки, що перебуває в її власності або користуванні, має право на одержання технічних умов згідно із поданою нею заявою до власника інженерних мереж або особи, що володіє ними на праві господарського відання.</w:t>
            </w:r>
          </w:p>
          <w:p w:rsidR="00EB06C8" w:rsidRPr="006F6267" w:rsidRDefault="00EB06C8" w:rsidP="00EB06C8">
            <w:pPr>
              <w:pStyle w:val="aa"/>
              <w:rPr>
                <w:rFonts w:ascii="Times New Roman" w:hAnsi="Times New Roman"/>
                <w:b/>
                <w:szCs w:val="26"/>
              </w:rPr>
            </w:pPr>
            <w:r w:rsidRPr="006F6267">
              <w:rPr>
                <w:rFonts w:ascii="Times New Roman" w:hAnsi="Times New Roman"/>
                <w:b/>
                <w:szCs w:val="26"/>
              </w:rPr>
              <w:t xml:space="preserve">Технічні умови та підписаний проект договору про приєднання </w:t>
            </w:r>
            <w:r w:rsidRPr="006F6267">
              <w:rPr>
                <w:rFonts w:ascii="Times New Roman" w:hAnsi="Times New Roman"/>
                <w:b/>
                <w:szCs w:val="26"/>
              </w:rPr>
              <w:lastRenderedPageBreak/>
              <w:t>до інженерних мереж надаються замовнику протягом 10 робочих днів з дня реєстрації відповідної заяви.</w:t>
            </w:r>
          </w:p>
          <w:p w:rsidR="00EB06C8" w:rsidRPr="006F6267" w:rsidRDefault="00EB06C8" w:rsidP="00EB06C8">
            <w:pPr>
              <w:pStyle w:val="aa"/>
              <w:rPr>
                <w:rFonts w:ascii="Times New Roman" w:hAnsi="Times New Roman"/>
                <w:szCs w:val="26"/>
              </w:rPr>
            </w:pPr>
            <w:r w:rsidRPr="006F6267">
              <w:rPr>
                <w:rFonts w:ascii="Times New Roman" w:hAnsi="Times New Roman"/>
                <w:szCs w:val="26"/>
              </w:rPr>
              <w:t>У разі необхідності погодження приєднання з власниками магістральних/міждержавних мереж чи інженерних мереж іншої ніж та, до якої звернувся замовник, особи, технічні умови та підписаний проект договору на приєднання надаються замовнику протягом 20 робочих днів. Власники таких інженерних мереж зобов’язані за зверненням особи, до якої звернувся замовник, протягом 10 робочих днів від дня отримання проекту технічних умов із заявою замовника надати технічні вимоги щодо реконструкції та/або нового будівництва відповідних інженерних мереж, які є складовою частиною технічних умов, що видаються замовнику.</w:t>
            </w:r>
          </w:p>
          <w:p w:rsidR="00EB06C8" w:rsidRPr="006F6267" w:rsidRDefault="00EB06C8" w:rsidP="00EB06C8">
            <w:pPr>
              <w:pStyle w:val="aa"/>
              <w:rPr>
                <w:rFonts w:ascii="Times New Roman" w:hAnsi="Times New Roman"/>
                <w:szCs w:val="26"/>
              </w:rPr>
            </w:pPr>
            <w:r w:rsidRPr="006F6267">
              <w:rPr>
                <w:rFonts w:ascii="Times New Roman" w:hAnsi="Times New Roman"/>
                <w:szCs w:val="26"/>
              </w:rPr>
              <w:t xml:space="preserve">3. Технічні умови повинні відповідати законодавству, містити достовірну інформацію та обґрунтовані вимоги до об'єктів будівництва, а також відповідати намірам заявника щодо забудови земельної ділянки. </w:t>
            </w:r>
          </w:p>
          <w:p w:rsidR="00EB06C8" w:rsidRPr="006F6267" w:rsidRDefault="00EB06C8" w:rsidP="00EB06C8">
            <w:pPr>
              <w:pStyle w:val="aa"/>
              <w:rPr>
                <w:rFonts w:ascii="Times New Roman" w:hAnsi="Times New Roman"/>
                <w:szCs w:val="26"/>
              </w:rPr>
            </w:pPr>
            <w:r w:rsidRPr="006F6267">
              <w:rPr>
                <w:rFonts w:ascii="Times New Roman" w:hAnsi="Times New Roman"/>
                <w:szCs w:val="26"/>
              </w:rPr>
              <w:t xml:space="preserve">4. У технічних умовах враховується, що місце приєднання інженерних мереж замовника до магістральних чи інших інженерних мереж розташовується на межі земельної ділянки замовника або за його згодою на території такої земельної ділянки. </w:t>
            </w:r>
          </w:p>
          <w:p w:rsidR="00EB06C8" w:rsidRPr="006F6267" w:rsidRDefault="00EB06C8" w:rsidP="00EB06C8">
            <w:pPr>
              <w:pStyle w:val="aa"/>
              <w:rPr>
                <w:rFonts w:ascii="Times New Roman" w:hAnsi="Times New Roman"/>
                <w:szCs w:val="26"/>
              </w:rPr>
            </w:pPr>
            <w:r w:rsidRPr="006F6267">
              <w:rPr>
                <w:rFonts w:ascii="Times New Roman" w:hAnsi="Times New Roman"/>
                <w:szCs w:val="26"/>
              </w:rPr>
              <w:t xml:space="preserve">5. 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 </w:t>
            </w:r>
          </w:p>
          <w:p w:rsidR="00EB06C8" w:rsidRPr="006F6267" w:rsidRDefault="00EB06C8" w:rsidP="00EB06C8">
            <w:pPr>
              <w:pStyle w:val="aa"/>
              <w:rPr>
                <w:rFonts w:ascii="Times New Roman" w:hAnsi="Times New Roman"/>
                <w:szCs w:val="26"/>
              </w:rPr>
            </w:pPr>
            <w:r w:rsidRPr="006F6267">
              <w:rPr>
                <w:rFonts w:ascii="Times New Roman" w:hAnsi="Times New Roman"/>
                <w:szCs w:val="26"/>
              </w:rPr>
              <w:t xml:space="preserve">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w:t>
            </w:r>
            <w:r w:rsidRPr="006F6267">
              <w:rPr>
                <w:rFonts w:ascii="Times New Roman" w:hAnsi="Times New Roman"/>
                <w:szCs w:val="26"/>
              </w:rPr>
              <w:lastRenderedPageBreak/>
              <w:t xml:space="preserve">для розподілу природного газу, транспортування нафти та природного газу) перевищує розмір пайової участі замовника у розвитку інфраструктури населеного пункту, орган місцевого самоврядування приймає рішення про відшкодування замовнику різниці між здійсненими витратами та розміром пайової участі замовника у розвитку інфраструктури населеного пункту. </w:t>
            </w:r>
          </w:p>
          <w:p w:rsidR="00EB06C8" w:rsidRPr="006F6267" w:rsidRDefault="00EB06C8" w:rsidP="00EB06C8">
            <w:pPr>
              <w:pStyle w:val="aa"/>
              <w:rPr>
                <w:rFonts w:ascii="Times New Roman" w:hAnsi="Times New Roman"/>
                <w:szCs w:val="26"/>
              </w:rPr>
            </w:pPr>
            <w:r w:rsidRPr="006F6267">
              <w:rPr>
                <w:rFonts w:ascii="Times New Roman" w:hAnsi="Times New Roman"/>
                <w:szCs w:val="26"/>
              </w:rPr>
              <w:t xml:space="preserve">6. Склад, зміст, порядок надання технічних умов та порядок визначення вартості послуг з їх надання визначаються відповідними центральними органами виконавчої влади. </w:t>
            </w:r>
          </w:p>
          <w:p w:rsidR="00EB06C8" w:rsidRPr="006F6267" w:rsidRDefault="00EB06C8" w:rsidP="00EB06C8">
            <w:pPr>
              <w:pStyle w:val="aa"/>
              <w:rPr>
                <w:rFonts w:ascii="Times New Roman" w:hAnsi="Times New Roman"/>
                <w:b/>
                <w:szCs w:val="26"/>
              </w:rPr>
            </w:pPr>
            <w:r w:rsidRPr="006F6267">
              <w:rPr>
                <w:rFonts w:ascii="Times New Roman" w:hAnsi="Times New Roman"/>
                <w:b/>
                <w:szCs w:val="26"/>
              </w:rPr>
              <w:t>7. Технічні умови є чинними до завершення будівництва об’єкта за умови укладення замовником договору про приєднання до відповідних інженерних мереж протягом року з дня їх видачі. У разі коли протягом року з дня видачі технічних умов договір про приєднання до інженерних мереж не укладено, вони втрачають чинність.</w:t>
            </w:r>
          </w:p>
          <w:p w:rsidR="00EB06C8" w:rsidRPr="006F6267" w:rsidRDefault="00EB06C8" w:rsidP="00EB06C8">
            <w:pPr>
              <w:pStyle w:val="aa"/>
              <w:rPr>
                <w:rFonts w:ascii="Times New Roman" w:hAnsi="Times New Roman"/>
                <w:b/>
                <w:szCs w:val="26"/>
              </w:rPr>
            </w:pPr>
            <w:r w:rsidRPr="006F6267">
              <w:rPr>
                <w:rFonts w:ascii="Times New Roman" w:hAnsi="Times New Roman"/>
                <w:b/>
                <w:szCs w:val="26"/>
              </w:rPr>
              <w:t>Зміни до технічних умов можуть вноситися тільки за згодою замовника.</w:t>
            </w:r>
          </w:p>
          <w:p w:rsidR="00EB06C8" w:rsidRPr="006F6267" w:rsidRDefault="00EB06C8" w:rsidP="00EB06C8">
            <w:pPr>
              <w:pStyle w:val="aa"/>
              <w:rPr>
                <w:rFonts w:ascii="Times New Roman" w:hAnsi="Times New Roman"/>
                <w:b/>
                <w:szCs w:val="26"/>
              </w:rPr>
            </w:pPr>
            <w:r w:rsidRPr="006F6267">
              <w:rPr>
                <w:rFonts w:ascii="Times New Roman" w:hAnsi="Times New Roman"/>
                <w:b/>
                <w:szCs w:val="26"/>
              </w:rPr>
              <w:t>Зміна замовника є підставою для внесення відповідних змін до договору приєднання до відповідних інженерних мереж та не тягне за собою зміни чи втрати чинності технічних умов, крім випадків, що передбачені абзацом першим частини сьомої цієї статті.</w:t>
            </w:r>
          </w:p>
          <w:p w:rsidR="00EB06C8" w:rsidRPr="006F6267" w:rsidRDefault="00EB06C8" w:rsidP="00EB06C8">
            <w:pPr>
              <w:pStyle w:val="aa"/>
              <w:rPr>
                <w:rFonts w:ascii="Times New Roman" w:hAnsi="Times New Roman"/>
                <w:szCs w:val="26"/>
              </w:rPr>
            </w:pPr>
            <w:r w:rsidRPr="006F6267">
              <w:rPr>
                <w:rFonts w:ascii="Times New Roman" w:hAnsi="Times New Roman"/>
                <w:szCs w:val="26"/>
              </w:rPr>
              <w:t>8. За рішенням замовника може бути передбачено застосування автономних систем інженерного забезпечення в установленому законодавством порядку.”.</w:t>
            </w:r>
          </w:p>
          <w:p w:rsidR="003D2205" w:rsidRPr="006F6267" w:rsidRDefault="003D2205" w:rsidP="007C6F4C">
            <w:pPr>
              <w:pStyle w:val="HTML"/>
              <w:shd w:val="clear" w:color="auto" w:fill="FFFFFF"/>
              <w:ind w:firstLine="176"/>
              <w:jc w:val="both"/>
              <w:textAlignment w:val="baseline"/>
              <w:rPr>
                <w:rFonts w:ascii="Times New Roman" w:hAnsi="Times New Roman"/>
                <w:color w:val="000000"/>
                <w:sz w:val="26"/>
                <w:szCs w:val="26"/>
                <w:lang w:val="uk-UA" w:eastAsia="ru-RU"/>
              </w:rPr>
            </w:pPr>
          </w:p>
        </w:tc>
      </w:tr>
    </w:tbl>
    <w:p w:rsidR="00050C71" w:rsidRPr="006F6267" w:rsidRDefault="00050C71" w:rsidP="00050C71">
      <w:pPr>
        <w:shd w:val="clear" w:color="auto" w:fill="FFFFFF"/>
        <w:jc w:val="both"/>
        <w:rPr>
          <w:b/>
          <w:sz w:val="26"/>
          <w:szCs w:val="26"/>
        </w:rPr>
      </w:pPr>
    </w:p>
    <w:p w:rsidR="00050C71" w:rsidRPr="006F6267" w:rsidRDefault="00050C71" w:rsidP="00050C71">
      <w:pPr>
        <w:shd w:val="clear" w:color="auto" w:fill="FFFFFF"/>
        <w:jc w:val="both"/>
        <w:rPr>
          <w:b/>
          <w:sz w:val="26"/>
          <w:szCs w:val="26"/>
        </w:rPr>
      </w:pPr>
    </w:p>
    <w:p w:rsidR="00926ADD" w:rsidRPr="006F6267" w:rsidRDefault="00926ADD" w:rsidP="00F919E9">
      <w:pPr>
        <w:shd w:val="clear" w:color="auto" w:fill="FFFFFF"/>
        <w:jc w:val="both"/>
        <w:rPr>
          <w:b/>
          <w:sz w:val="26"/>
          <w:szCs w:val="26"/>
        </w:rPr>
      </w:pPr>
    </w:p>
    <w:p w:rsidR="00764A87" w:rsidRDefault="007955FA" w:rsidP="00764A87">
      <w:pPr>
        <w:tabs>
          <w:tab w:val="left" w:pos="9354"/>
        </w:tabs>
        <w:ind w:right="-6"/>
        <w:rPr>
          <w:b/>
          <w:sz w:val="26"/>
          <w:szCs w:val="26"/>
        </w:rPr>
      </w:pPr>
      <w:r w:rsidRPr="006F6267">
        <w:rPr>
          <w:b/>
          <w:sz w:val="26"/>
          <w:szCs w:val="26"/>
        </w:rPr>
        <w:t xml:space="preserve">Заступник </w:t>
      </w:r>
      <w:r w:rsidR="00764A87">
        <w:rPr>
          <w:b/>
          <w:sz w:val="26"/>
          <w:szCs w:val="26"/>
        </w:rPr>
        <w:t xml:space="preserve">Міністра регіонального розвитку, </w:t>
      </w:r>
    </w:p>
    <w:p w:rsidR="007955FA" w:rsidRPr="006F6267" w:rsidRDefault="00764A87" w:rsidP="00071EFB">
      <w:pPr>
        <w:tabs>
          <w:tab w:val="left" w:pos="9354"/>
        </w:tabs>
        <w:ind w:right="-6"/>
        <w:rPr>
          <w:b/>
          <w:sz w:val="26"/>
          <w:szCs w:val="26"/>
        </w:rPr>
      </w:pPr>
      <w:r>
        <w:rPr>
          <w:b/>
          <w:sz w:val="26"/>
          <w:szCs w:val="26"/>
        </w:rPr>
        <w:t>будівництва та житлово-комунального господарства                                                                                                        М. Малашкін</w:t>
      </w:r>
    </w:p>
    <w:sectPr w:rsidR="007955FA" w:rsidRPr="006F6267" w:rsidSect="00050C71">
      <w:footerReference w:type="default" r:id="rId14"/>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F6" w:rsidRDefault="007A00F6">
      <w:r>
        <w:separator/>
      </w:r>
    </w:p>
  </w:endnote>
  <w:endnote w:type="continuationSeparator" w:id="0">
    <w:p w:rsidR="007A00F6" w:rsidRDefault="007A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953" w:type="dxa"/>
      <w:tblLayout w:type="fixed"/>
      <w:tblLook w:val="0000" w:firstRow="0" w:lastRow="0" w:firstColumn="0" w:lastColumn="0" w:noHBand="0" w:noVBand="0"/>
    </w:tblPr>
    <w:tblGrid>
      <w:gridCol w:w="15276"/>
      <w:gridCol w:w="4677"/>
    </w:tblGrid>
    <w:tr w:rsidR="00D40594" w:rsidTr="00F919E9">
      <w:tc>
        <w:tcPr>
          <w:tcW w:w="15276" w:type="dxa"/>
        </w:tcPr>
        <w:p w:rsidR="00D40594" w:rsidRDefault="00D40594" w:rsidP="00F919E9">
          <w:pPr>
            <w:pStyle w:val="a3"/>
            <w:jc w:val="center"/>
            <w:rPr>
              <w:sz w:val="24"/>
            </w:rPr>
          </w:pPr>
          <w:r>
            <w:rPr>
              <w:rStyle w:val="a5"/>
            </w:rPr>
            <w:fldChar w:fldCharType="begin"/>
          </w:r>
          <w:r>
            <w:rPr>
              <w:rStyle w:val="a5"/>
            </w:rPr>
            <w:instrText xml:space="preserve"> PAGE </w:instrText>
          </w:r>
          <w:r>
            <w:rPr>
              <w:rStyle w:val="a5"/>
            </w:rPr>
            <w:fldChar w:fldCharType="separate"/>
          </w:r>
          <w:r w:rsidR="004337EC">
            <w:rPr>
              <w:rStyle w:val="a5"/>
              <w:noProof/>
            </w:rPr>
            <w:t>18</w:t>
          </w:r>
          <w:r>
            <w:rPr>
              <w:rStyle w:val="a5"/>
            </w:rPr>
            <w:fldChar w:fldCharType="end"/>
          </w:r>
        </w:p>
      </w:tc>
      <w:tc>
        <w:tcPr>
          <w:tcW w:w="4677" w:type="dxa"/>
        </w:tcPr>
        <w:p w:rsidR="00D40594" w:rsidRDefault="00D40594">
          <w:pPr>
            <w:pStyle w:val="a3"/>
            <w:spacing w:before="120"/>
            <w:jc w:val="right"/>
            <w:rPr>
              <w:sz w:val="12"/>
            </w:rPr>
          </w:pPr>
        </w:p>
      </w:tc>
    </w:tr>
  </w:tbl>
  <w:p w:rsidR="00D40594" w:rsidRDefault="00D405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F6" w:rsidRDefault="007A00F6">
      <w:r>
        <w:separator/>
      </w:r>
    </w:p>
  </w:footnote>
  <w:footnote w:type="continuationSeparator" w:id="0">
    <w:p w:rsidR="007A00F6" w:rsidRDefault="007A0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0"/>
        </w:tabs>
        <w:ind w:left="720" w:hanging="360"/>
      </w:pPr>
      <w:rPr>
        <w:rFonts w:ascii="Times New Roman" w:hAnsi="Times New Roman" w:cs="Times New Roman" w:hint="default"/>
        <w:sz w:val="22"/>
        <w:szCs w:val="22"/>
        <w:lang w:val="ru-RU"/>
      </w:rPr>
    </w:lvl>
  </w:abstractNum>
  <w:abstractNum w:abstractNumId="1">
    <w:nsid w:val="1A822A5B"/>
    <w:multiLevelType w:val="hybridMultilevel"/>
    <w:tmpl w:val="B62C2BA2"/>
    <w:lvl w:ilvl="0" w:tplc="3C1ED5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CC27042"/>
    <w:multiLevelType w:val="hybridMultilevel"/>
    <w:tmpl w:val="99CCB05C"/>
    <w:lvl w:ilvl="0" w:tplc="FDBCA50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42334C3"/>
    <w:multiLevelType w:val="hybridMultilevel"/>
    <w:tmpl w:val="F092A152"/>
    <w:lvl w:ilvl="0" w:tplc="1ED0661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6C5D0D64"/>
    <w:multiLevelType w:val="hybridMultilevel"/>
    <w:tmpl w:val="5ED6C564"/>
    <w:lvl w:ilvl="0" w:tplc="8CE806CE">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B1"/>
    <w:rsid w:val="00004669"/>
    <w:rsid w:val="000068CF"/>
    <w:rsid w:val="0000773B"/>
    <w:rsid w:val="000079AC"/>
    <w:rsid w:val="0001384C"/>
    <w:rsid w:val="00017005"/>
    <w:rsid w:val="000312D1"/>
    <w:rsid w:val="000328E8"/>
    <w:rsid w:val="00035EDB"/>
    <w:rsid w:val="000408FD"/>
    <w:rsid w:val="00047DF7"/>
    <w:rsid w:val="00050C71"/>
    <w:rsid w:val="0005265B"/>
    <w:rsid w:val="00054E5C"/>
    <w:rsid w:val="000554AF"/>
    <w:rsid w:val="0006447B"/>
    <w:rsid w:val="00070076"/>
    <w:rsid w:val="00070981"/>
    <w:rsid w:val="00071EFB"/>
    <w:rsid w:val="00072D9E"/>
    <w:rsid w:val="00074576"/>
    <w:rsid w:val="00083346"/>
    <w:rsid w:val="000855BA"/>
    <w:rsid w:val="00090F7C"/>
    <w:rsid w:val="0009109D"/>
    <w:rsid w:val="00092015"/>
    <w:rsid w:val="000954B1"/>
    <w:rsid w:val="000A211A"/>
    <w:rsid w:val="000A502D"/>
    <w:rsid w:val="000A5D81"/>
    <w:rsid w:val="000B0F0C"/>
    <w:rsid w:val="000B3245"/>
    <w:rsid w:val="000B72C4"/>
    <w:rsid w:val="000C106A"/>
    <w:rsid w:val="000C1A26"/>
    <w:rsid w:val="000C1DE1"/>
    <w:rsid w:val="000C5A6B"/>
    <w:rsid w:val="000C5AA6"/>
    <w:rsid w:val="000D315C"/>
    <w:rsid w:val="000D5319"/>
    <w:rsid w:val="000E553B"/>
    <w:rsid w:val="000E7A45"/>
    <w:rsid w:val="001013A4"/>
    <w:rsid w:val="00104AD6"/>
    <w:rsid w:val="001071C8"/>
    <w:rsid w:val="00113A7D"/>
    <w:rsid w:val="00115AFC"/>
    <w:rsid w:val="001256D1"/>
    <w:rsid w:val="00125BFF"/>
    <w:rsid w:val="001262DD"/>
    <w:rsid w:val="001265BD"/>
    <w:rsid w:val="00126E1C"/>
    <w:rsid w:val="00140E05"/>
    <w:rsid w:val="001418D9"/>
    <w:rsid w:val="001418F5"/>
    <w:rsid w:val="00145DD7"/>
    <w:rsid w:val="00154110"/>
    <w:rsid w:val="00162165"/>
    <w:rsid w:val="001623B8"/>
    <w:rsid w:val="00162874"/>
    <w:rsid w:val="0016564A"/>
    <w:rsid w:val="00167F2A"/>
    <w:rsid w:val="00177234"/>
    <w:rsid w:val="0018056C"/>
    <w:rsid w:val="00182761"/>
    <w:rsid w:val="00190088"/>
    <w:rsid w:val="00190228"/>
    <w:rsid w:val="00190BD4"/>
    <w:rsid w:val="00191096"/>
    <w:rsid w:val="001953FF"/>
    <w:rsid w:val="001970ED"/>
    <w:rsid w:val="001A171E"/>
    <w:rsid w:val="001A2855"/>
    <w:rsid w:val="001A5B8A"/>
    <w:rsid w:val="001B04F8"/>
    <w:rsid w:val="001B1CED"/>
    <w:rsid w:val="001B2C9D"/>
    <w:rsid w:val="001B7FAD"/>
    <w:rsid w:val="001C2AD3"/>
    <w:rsid w:val="001C6831"/>
    <w:rsid w:val="001D4340"/>
    <w:rsid w:val="001D4C95"/>
    <w:rsid w:val="001D5A4D"/>
    <w:rsid w:val="001F4DB4"/>
    <w:rsid w:val="002006B4"/>
    <w:rsid w:val="0020111A"/>
    <w:rsid w:val="002040E4"/>
    <w:rsid w:val="00206ED4"/>
    <w:rsid w:val="00207588"/>
    <w:rsid w:val="00211EFE"/>
    <w:rsid w:val="00212140"/>
    <w:rsid w:val="002155F8"/>
    <w:rsid w:val="00226F1F"/>
    <w:rsid w:val="00251804"/>
    <w:rsid w:val="0025412E"/>
    <w:rsid w:val="0025583C"/>
    <w:rsid w:val="00255984"/>
    <w:rsid w:val="002651DC"/>
    <w:rsid w:val="00271F0B"/>
    <w:rsid w:val="002805D3"/>
    <w:rsid w:val="00283886"/>
    <w:rsid w:val="00283D91"/>
    <w:rsid w:val="00286091"/>
    <w:rsid w:val="0029213C"/>
    <w:rsid w:val="00295753"/>
    <w:rsid w:val="002A10C0"/>
    <w:rsid w:val="002A5133"/>
    <w:rsid w:val="002B6D5A"/>
    <w:rsid w:val="002C1550"/>
    <w:rsid w:val="002C4E57"/>
    <w:rsid w:val="002D0055"/>
    <w:rsid w:val="002D1F68"/>
    <w:rsid w:val="002D33EF"/>
    <w:rsid w:val="002D3F83"/>
    <w:rsid w:val="002D4195"/>
    <w:rsid w:val="002D7FED"/>
    <w:rsid w:val="002E1EA0"/>
    <w:rsid w:val="002E381B"/>
    <w:rsid w:val="002E3CA1"/>
    <w:rsid w:val="002E6252"/>
    <w:rsid w:val="002E7689"/>
    <w:rsid w:val="002F2036"/>
    <w:rsid w:val="002F4BB2"/>
    <w:rsid w:val="002F6898"/>
    <w:rsid w:val="002F7A30"/>
    <w:rsid w:val="003002E3"/>
    <w:rsid w:val="00300770"/>
    <w:rsid w:val="00306D76"/>
    <w:rsid w:val="003113AC"/>
    <w:rsid w:val="003128A9"/>
    <w:rsid w:val="00314857"/>
    <w:rsid w:val="003163B1"/>
    <w:rsid w:val="003177C2"/>
    <w:rsid w:val="00334C6C"/>
    <w:rsid w:val="00336E94"/>
    <w:rsid w:val="00340A73"/>
    <w:rsid w:val="00340C91"/>
    <w:rsid w:val="00345091"/>
    <w:rsid w:val="0034516B"/>
    <w:rsid w:val="00351500"/>
    <w:rsid w:val="0036406C"/>
    <w:rsid w:val="003660DD"/>
    <w:rsid w:val="003675F4"/>
    <w:rsid w:val="003758B6"/>
    <w:rsid w:val="00377CB0"/>
    <w:rsid w:val="003829EF"/>
    <w:rsid w:val="00386EDD"/>
    <w:rsid w:val="00387E04"/>
    <w:rsid w:val="00390A1A"/>
    <w:rsid w:val="003912B6"/>
    <w:rsid w:val="00396CFD"/>
    <w:rsid w:val="003A0318"/>
    <w:rsid w:val="003A097E"/>
    <w:rsid w:val="003A1DBC"/>
    <w:rsid w:val="003A2CE2"/>
    <w:rsid w:val="003A5A18"/>
    <w:rsid w:val="003A5BA5"/>
    <w:rsid w:val="003B0038"/>
    <w:rsid w:val="003B1437"/>
    <w:rsid w:val="003C2355"/>
    <w:rsid w:val="003D014C"/>
    <w:rsid w:val="003D1563"/>
    <w:rsid w:val="003D17CB"/>
    <w:rsid w:val="003D2205"/>
    <w:rsid w:val="003D2522"/>
    <w:rsid w:val="003D2F84"/>
    <w:rsid w:val="003D32DC"/>
    <w:rsid w:val="003D4F1F"/>
    <w:rsid w:val="003D52C9"/>
    <w:rsid w:val="003D6F6F"/>
    <w:rsid w:val="003E23CD"/>
    <w:rsid w:val="003E5A56"/>
    <w:rsid w:val="004100E4"/>
    <w:rsid w:val="0041554E"/>
    <w:rsid w:val="004163C7"/>
    <w:rsid w:val="0042498E"/>
    <w:rsid w:val="004279B4"/>
    <w:rsid w:val="00427E13"/>
    <w:rsid w:val="004337EC"/>
    <w:rsid w:val="00436296"/>
    <w:rsid w:val="00437DFB"/>
    <w:rsid w:val="00444FD4"/>
    <w:rsid w:val="0044704C"/>
    <w:rsid w:val="00454BE5"/>
    <w:rsid w:val="004554FB"/>
    <w:rsid w:val="004644E3"/>
    <w:rsid w:val="00470F91"/>
    <w:rsid w:val="00475C55"/>
    <w:rsid w:val="0047613E"/>
    <w:rsid w:val="00477A24"/>
    <w:rsid w:val="0048162B"/>
    <w:rsid w:val="004829EF"/>
    <w:rsid w:val="00487E68"/>
    <w:rsid w:val="00491064"/>
    <w:rsid w:val="00491621"/>
    <w:rsid w:val="00493AFA"/>
    <w:rsid w:val="004A5C25"/>
    <w:rsid w:val="004B72A1"/>
    <w:rsid w:val="004C03CE"/>
    <w:rsid w:val="004C35DB"/>
    <w:rsid w:val="004C3944"/>
    <w:rsid w:val="004C3964"/>
    <w:rsid w:val="004C4F5E"/>
    <w:rsid w:val="004C733B"/>
    <w:rsid w:val="004D6095"/>
    <w:rsid w:val="004E2035"/>
    <w:rsid w:val="004F05E3"/>
    <w:rsid w:val="004F33E5"/>
    <w:rsid w:val="004F6458"/>
    <w:rsid w:val="00500674"/>
    <w:rsid w:val="00500F85"/>
    <w:rsid w:val="0051317F"/>
    <w:rsid w:val="00515CCA"/>
    <w:rsid w:val="005221A7"/>
    <w:rsid w:val="005269BC"/>
    <w:rsid w:val="0053011A"/>
    <w:rsid w:val="00535F6C"/>
    <w:rsid w:val="00535F75"/>
    <w:rsid w:val="00543B6C"/>
    <w:rsid w:val="00546E1F"/>
    <w:rsid w:val="00550BDA"/>
    <w:rsid w:val="00554665"/>
    <w:rsid w:val="00555A7A"/>
    <w:rsid w:val="00560FAA"/>
    <w:rsid w:val="00563A39"/>
    <w:rsid w:val="00566C78"/>
    <w:rsid w:val="00571767"/>
    <w:rsid w:val="00574E17"/>
    <w:rsid w:val="005816BF"/>
    <w:rsid w:val="005833FD"/>
    <w:rsid w:val="0058357C"/>
    <w:rsid w:val="00585CC8"/>
    <w:rsid w:val="00591D41"/>
    <w:rsid w:val="00591D68"/>
    <w:rsid w:val="00597072"/>
    <w:rsid w:val="005A2AFD"/>
    <w:rsid w:val="005A5A9F"/>
    <w:rsid w:val="005B2787"/>
    <w:rsid w:val="005B7263"/>
    <w:rsid w:val="005C7315"/>
    <w:rsid w:val="005D7F5B"/>
    <w:rsid w:val="005E0BD6"/>
    <w:rsid w:val="005E57E3"/>
    <w:rsid w:val="005F284E"/>
    <w:rsid w:val="005F3604"/>
    <w:rsid w:val="005F3B43"/>
    <w:rsid w:val="005F4F44"/>
    <w:rsid w:val="005F7059"/>
    <w:rsid w:val="00601A78"/>
    <w:rsid w:val="00606E7D"/>
    <w:rsid w:val="00617065"/>
    <w:rsid w:val="006203AD"/>
    <w:rsid w:val="00627EEC"/>
    <w:rsid w:val="0063044E"/>
    <w:rsid w:val="00635F33"/>
    <w:rsid w:val="00640F2A"/>
    <w:rsid w:val="00642866"/>
    <w:rsid w:val="00643162"/>
    <w:rsid w:val="00646308"/>
    <w:rsid w:val="0064769E"/>
    <w:rsid w:val="00652607"/>
    <w:rsid w:val="0065622D"/>
    <w:rsid w:val="0066342B"/>
    <w:rsid w:val="00665628"/>
    <w:rsid w:val="00677CE2"/>
    <w:rsid w:val="006807A8"/>
    <w:rsid w:val="00695279"/>
    <w:rsid w:val="00695E66"/>
    <w:rsid w:val="006A1AF5"/>
    <w:rsid w:val="006A62A9"/>
    <w:rsid w:val="006A6846"/>
    <w:rsid w:val="006B140A"/>
    <w:rsid w:val="006B4334"/>
    <w:rsid w:val="006C1767"/>
    <w:rsid w:val="006C33E4"/>
    <w:rsid w:val="006C7F13"/>
    <w:rsid w:val="006D376B"/>
    <w:rsid w:val="006D7EAC"/>
    <w:rsid w:val="006E1F98"/>
    <w:rsid w:val="006E53DC"/>
    <w:rsid w:val="006E7CD2"/>
    <w:rsid w:val="006F083C"/>
    <w:rsid w:val="006F3858"/>
    <w:rsid w:val="006F6267"/>
    <w:rsid w:val="0070179C"/>
    <w:rsid w:val="00703A9D"/>
    <w:rsid w:val="007043C0"/>
    <w:rsid w:val="0070468D"/>
    <w:rsid w:val="00712EFD"/>
    <w:rsid w:val="00715729"/>
    <w:rsid w:val="0072068F"/>
    <w:rsid w:val="00720A2C"/>
    <w:rsid w:val="00722D6A"/>
    <w:rsid w:val="00724046"/>
    <w:rsid w:val="0073575B"/>
    <w:rsid w:val="00736C3C"/>
    <w:rsid w:val="0074160F"/>
    <w:rsid w:val="00742F8F"/>
    <w:rsid w:val="00747B17"/>
    <w:rsid w:val="0075579C"/>
    <w:rsid w:val="00757E6B"/>
    <w:rsid w:val="00760274"/>
    <w:rsid w:val="0076087B"/>
    <w:rsid w:val="00760BAE"/>
    <w:rsid w:val="00764A87"/>
    <w:rsid w:val="00766BDB"/>
    <w:rsid w:val="007763A2"/>
    <w:rsid w:val="00777903"/>
    <w:rsid w:val="007850EE"/>
    <w:rsid w:val="0078716E"/>
    <w:rsid w:val="007909C7"/>
    <w:rsid w:val="00791E00"/>
    <w:rsid w:val="00792E62"/>
    <w:rsid w:val="007955FA"/>
    <w:rsid w:val="00795BB8"/>
    <w:rsid w:val="00797149"/>
    <w:rsid w:val="007A00F6"/>
    <w:rsid w:val="007A1E30"/>
    <w:rsid w:val="007A45D0"/>
    <w:rsid w:val="007A7A7B"/>
    <w:rsid w:val="007A7FEE"/>
    <w:rsid w:val="007B2CE4"/>
    <w:rsid w:val="007B7BFA"/>
    <w:rsid w:val="007C5986"/>
    <w:rsid w:val="007C6F4C"/>
    <w:rsid w:val="007D2C43"/>
    <w:rsid w:val="007D2F35"/>
    <w:rsid w:val="007D3A39"/>
    <w:rsid w:val="007D41A4"/>
    <w:rsid w:val="007E41B3"/>
    <w:rsid w:val="007E555E"/>
    <w:rsid w:val="007E6C93"/>
    <w:rsid w:val="007F1449"/>
    <w:rsid w:val="007F188B"/>
    <w:rsid w:val="008009D5"/>
    <w:rsid w:val="00802846"/>
    <w:rsid w:val="00803828"/>
    <w:rsid w:val="00806509"/>
    <w:rsid w:val="00806E0B"/>
    <w:rsid w:val="00807973"/>
    <w:rsid w:val="008113EE"/>
    <w:rsid w:val="00816376"/>
    <w:rsid w:val="00822B7E"/>
    <w:rsid w:val="0083298C"/>
    <w:rsid w:val="0084164F"/>
    <w:rsid w:val="008419EF"/>
    <w:rsid w:val="008435FD"/>
    <w:rsid w:val="00846E25"/>
    <w:rsid w:val="008517AF"/>
    <w:rsid w:val="008527DD"/>
    <w:rsid w:val="00860A45"/>
    <w:rsid w:val="00861C49"/>
    <w:rsid w:val="008623BB"/>
    <w:rsid w:val="0086336C"/>
    <w:rsid w:val="00865C0D"/>
    <w:rsid w:val="00865E39"/>
    <w:rsid w:val="008667BA"/>
    <w:rsid w:val="008722C5"/>
    <w:rsid w:val="008727AF"/>
    <w:rsid w:val="00874601"/>
    <w:rsid w:val="00876170"/>
    <w:rsid w:val="00877F03"/>
    <w:rsid w:val="00880106"/>
    <w:rsid w:val="00880286"/>
    <w:rsid w:val="00881867"/>
    <w:rsid w:val="0088469E"/>
    <w:rsid w:val="00887832"/>
    <w:rsid w:val="00890E85"/>
    <w:rsid w:val="008938EE"/>
    <w:rsid w:val="008948C9"/>
    <w:rsid w:val="00895ADE"/>
    <w:rsid w:val="008A7D06"/>
    <w:rsid w:val="008B11AF"/>
    <w:rsid w:val="008B2397"/>
    <w:rsid w:val="008B36A0"/>
    <w:rsid w:val="008B3827"/>
    <w:rsid w:val="008B6642"/>
    <w:rsid w:val="008D10F3"/>
    <w:rsid w:val="008E1C0B"/>
    <w:rsid w:val="008E6FB3"/>
    <w:rsid w:val="008F05B4"/>
    <w:rsid w:val="008F4292"/>
    <w:rsid w:val="008F59F0"/>
    <w:rsid w:val="009012C8"/>
    <w:rsid w:val="00902199"/>
    <w:rsid w:val="00914F48"/>
    <w:rsid w:val="0091562A"/>
    <w:rsid w:val="00916166"/>
    <w:rsid w:val="00925EA0"/>
    <w:rsid w:val="00926ADD"/>
    <w:rsid w:val="00933B58"/>
    <w:rsid w:val="00936D7F"/>
    <w:rsid w:val="00943EBB"/>
    <w:rsid w:val="00945AB5"/>
    <w:rsid w:val="00945C42"/>
    <w:rsid w:val="00950D77"/>
    <w:rsid w:val="00951428"/>
    <w:rsid w:val="00953B52"/>
    <w:rsid w:val="0095482B"/>
    <w:rsid w:val="009628DE"/>
    <w:rsid w:val="0096309D"/>
    <w:rsid w:val="00967CAF"/>
    <w:rsid w:val="00971B16"/>
    <w:rsid w:val="009723F7"/>
    <w:rsid w:val="00975E80"/>
    <w:rsid w:val="00976D8C"/>
    <w:rsid w:val="00981636"/>
    <w:rsid w:val="00982316"/>
    <w:rsid w:val="009872EC"/>
    <w:rsid w:val="00987D2A"/>
    <w:rsid w:val="00997662"/>
    <w:rsid w:val="009A27D0"/>
    <w:rsid w:val="009A3621"/>
    <w:rsid w:val="009A4316"/>
    <w:rsid w:val="009B2CD4"/>
    <w:rsid w:val="009C3B11"/>
    <w:rsid w:val="009C50E7"/>
    <w:rsid w:val="009C51BD"/>
    <w:rsid w:val="009D4017"/>
    <w:rsid w:val="009E0AAB"/>
    <w:rsid w:val="009E3716"/>
    <w:rsid w:val="009F0229"/>
    <w:rsid w:val="009F5E53"/>
    <w:rsid w:val="00A142C8"/>
    <w:rsid w:val="00A15EA2"/>
    <w:rsid w:val="00A1738F"/>
    <w:rsid w:val="00A25398"/>
    <w:rsid w:val="00A26CCD"/>
    <w:rsid w:val="00A3428A"/>
    <w:rsid w:val="00A3735F"/>
    <w:rsid w:val="00A4115B"/>
    <w:rsid w:val="00A43D8E"/>
    <w:rsid w:val="00A455E8"/>
    <w:rsid w:val="00A45B01"/>
    <w:rsid w:val="00A5691E"/>
    <w:rsid w:val="00A661F9"/>
    <w:rsid w:val="00A66208"/>
    <w:rsid w:val="00A71D01"/>
    <w:rsid w:val="00A7636A"/>
    <w:rsid w:val="00A76F06"/>
    <w:rsid w:val="00A83503"/>
    <w:rsid w:val="00A84A2D"/>
    <w:rsid w:val="00A84CD9"/>
    <w:rsid w:val="00A85759"/>
    <w:rsid w:val="00A955FC"/>
    <w:rsid w:val="00A96EA8"/>
    <w:rsid w:val="00A975B6"/>
    <w:rsid w:val="00AA0B17"/>
    <w:rsid w:val="00AA56BE"/>
    <w:rsid w:val="00AB6DA7"/>
    <w:rsid w:val="00AC7B1A"/>
    <w:rsid w:val="00AD34E8"/>
    <w:rsid w:val="00AD6895"/>
    <w:rsid w:val="00AE6FE2"/>
    <w:rsid w:val="00AF0DA7"/>
    <w:rsid w:val="00B018AC"/>
    <w:rsid w:val="00B01AB6"/>
    <w:rsid w:val="00B109DA"/>
    <w:rsid w:val="00B1223A"/>
    <w:rsid w:val="00B31216"/>
    <w:rsid w:val="00B32D2B"/>
    <w:rsid w:val="00B33E14"/>
    <w:rsid w:val="00B37AB7"/>
    <w:rsid w:val="00B44C28"/>
    <w:rsid w:val="00B455BF"/>
    <w:rsid w:val="00B462F2"/>
    <w:rsid w:val="00B53DFA"/>
    <w:rsid w:val="00B6404B"/>
    <w:rsid w:val="00B656F9"/>
    <w:rsid w:val="00B6595E"/>
    <w:rsid w:val="00B7587E"/>
    <w:rsid w:val="00B75C58"/>
    <w:rsid w:val="00B77BEC"/>
    <w:rsid w:val="00B810EA"/>
    <w:rsid w:val="00B82C46"/>
    <w:rsid w:val="00B9297D"/>
    <w:rsid w:val="00B953BF"/>
    <w:rsid w:val="00BA1D78"/>
    <w:rsid w:val="00BA1E20"/>
    <w:rsid w:val="00BA1F00"/>
    <w:rsid w:val="00BA2470"/>
    <w:rsid w:val="00BA40EE"/>
    <w:rsid w:val="00BA7248"/>
    <w:rsid w:val="00BB6835"/>
    <w:rsid w:val="00BB76CE"/>
    <w:rsid w:val="00BC1347"/>
    <w:rsid w:val="00BC1C95"/>
    <w:rsid w:val="00BC78EE"/>
    <w:rsid w:val="00BD24A5"/>
    <w:rsid w:val="00BD2CA8"/>
    <w:rsid w:val="00BE14D1"/>
    <w:rsid w:val="00BE4397"/>
    <w:rsid w:val="00BE544E"/>
    <w:rsid w:val="00BE641C"/>
    <w:rsid w:val="00BF4DC8"/>
    <w:rsid w:val="00BF5792"/>
    <w:rsid w:val="00C07C00"/>
    <w:rsid w:val="00C12FD5"/>
    <w:rsid w:val="00C1316D"/>
    <w:rsid w:val="00C14142"/>
    <w:rsid w:val="00C15F93"/>
    <w:rsid w:val="00C319DA"/>
    <w:rsid w:val="00C4673D"/>
    <w:rsid w:val="00C46969"/>
    <w:rsid w:val="00C5141F"/>
    <w:rsid w:val="00C56C78"/>
    <w:rsid w:val="00C71532"/>
    <w:rsid w:val="00C8298D"/>
    <w:rsid w:val="00C862D2"/>
    <w:rsid w:val="00C90716"/>
    <w:rsid w:val="00CA0438"/>
    <w:rsid w:val="00CA6CA4"/>
    <w:rsid w:val="00CB17C0"/>
    <w:rsid w:val="00CC0C54"/>
    <w:rsid w:val="00CC6844"/>
    <w:rsid w:val="00CC7751"/>
    <w:rsid w:val="00CD3CF4"/>
    <w:rsid w:val="00CD5296"/>
    <w:rsid w:val="00CE45E4"/>
    <w:rsid w:val="00CE6949"/>
    <w:rsid w:val="00CE7360"/>
    <w:rsid w:val="00CE75AF"/>
    <w:rsid w:val="00CE7C00"/>
    <w:rsid w:val="00CF02C3"/>
    <w:rsid w:val="00CF052F"/>
    <w:rsid w:val="00CF10C1"/>
    <w:rsid w:val="00CF135A"/>
    <w:rsid w:val="00CF4730"/>
    <w:rsid w:val="00CF54C1"/>
    <w:rsid w:val="00CF65E0"/>
    <w:rsid w:val="00D00574"/>
    <w:rsid w:val="00D01717"/>
    <w:rsid w:val="00D14A21"/>
    <w:rsid w:val="00D14C79"/>
    <w:rsid w:val="00D21289"/>
    <w:rsid w:val="00D23F3F"/>
    <w:rsid w:val="00D2573F"/>
    <w:rsid w:val="00D36623"/>
    <w:rsid w:val="00D403E1"/>
    <w:rsid w:val="00D40594"/>
    <w:rsid w:val="00D45E90"/>
    <w:rsid w:val="00D50B70"/>
    <w:rsid w:val="00D52333"/>
    <w:rsid w:val="00D52962"/>
    <w:rsid w:val="00D52F0C"/>
    <w:rsid w:val="00D54E82"/>
    <w:rsid w:val="00D65A8A"/>
    <w:rsid w:val="00D72925"/>
    <w:rsid w:val="00D775D1"/>
    <w:rsid w:val="00D7796C"/>
    <w:rsid w:val="00D86916"/>
    <w:rsid w:val="00D9070E"/>
    <w:rsid w:val="00D92501"/>
    <w:rsid w:val="00D93EFD"/>
    <w:rsid w:val="00DB4566"/>
    <w:rsid w:val="00DB6104"/>
    <w:rsid w:val="00DB6EB7"/>
    <w:rsid w:val="00DC01CD"/>
    <w:rsid w:val="00DD027C"/>
    <w:rsid w:val="00DD2D0A"/>
    <w:rsid w:val="00DD6D86"/>
    <w:rsid w:val="00DE68C3"/>
    <w:rsid w:val="00DF5008"/>
    <w:rsid w:val="00DF6D35"/>
    <w:rsid w:val="00E016FA"/>
    <w:rsid w:val="00E057BD"/>
    <w:rsid w:val="00E0644A"/>
    <w:rsid w:val="00E23785"/>
    <w:rsid w:val="00E25B67"/>
    <w:rsid w:val="00E27308"/>
    <w:rsid w:val="00E30A50"/>
    <w:rsid w:val="00E33839"/>
    <w:rsid w:val="00E40FE8"/>
    <w:rsid w:val="00E47613"/>
    <w:rsid w:val="00E47B74"/>
    <w:rsid w:val="00E53601"/>
    <w:rsid w:val="00E568D3"/>
    <w:rsid w:val="00E637EA"/>
    <w:rsid w:val="00E74F6C"/>
    <w:rsid w:val="00E750E3"/>
    <w:rsid w:val="00E757FB"/>
    <w:rsid w:val="00E823BB"/>
    <w:rsid w:val="00E85C82"/>
    <w:rsid w:val="00E85F03"/>
    <w:rsid w:val="00E87A89"/>
    <w:rsid w:val="00E92733"/>
    <w:rsid w:val="00E92AA9"/>
    <w:rsid w:val="00E933A1"/>
    <w:rsid w:val="00E943A5"/>
    <w:rsid w:val="00E94C58"/>
    <w:rsid w:val="00E957C5"/>
    <w:rsid w:val="00E95A02"/>
    <w:rsid w:val="00EA1C8A"/>
    <w:rsid w:val="00EA6383"/>
    <w:rsid w:val="00EA6B5F"/>
    <w:rsid w:val="00EA71D6"/>
    <w:rsid w:val="00EB06C8"/>
    <w:rsid w:val="00EB09C5"/>
    <w:rsid w:val="00EB0C4D"/>
    <w:rsid w:val="00EB2EA5"/>
    <w:rsid w:val="00EB5EFA"/>
    <w:rsid w:val="00EC422E"/>
    <w:rsid w:val="00EC7F80"/>
    <w:rsid w:val="00ED2792"/>
    <w:rsid w:val="00ED735D"/>
    <w:rsid w:val="00EE2067"/>
    <w:rsid w:val="00EE3259"/>
    <w:rsid w:val="00EE6066"/>
    <w:rsid w:val="00EF3930"/>
    <w:rsid w:val="00F02264"/>
    <w:rsid w:val="00F02C3C"/>
    <w:rsid w:val="00F04413"/>
    <w:rsid w:val="00F06140"/>
    <w:rsid w:val="00F173FF"/>
    <w:rsid w:val="00F23859"/>
    <w:rsid w:val="00F23E8C"/>
    <w:rsid w:val="00F30E11"/>
    <w:rsid w:val="00F30F82"/>
    <w:rsid w:val="00F352A4"/>
    <w:rsid w:val="00F41A9A"/>
    <w:rsid w:val="00F42322"/>
    <w:rsid w:val="00F53752"/>
    <w:rsid w:val="00F55EF1"/>
    <w:rsid w:val="00F55F49"/>
    <w:rsid w:val="00F62E67"/>
    <w:rsid w:val="00F66314"/>
    <w:rsid w:val="00F675FC"/>
    <w:rsid w:val="00F71345"/>
    <w:rsid w:val="00F746B7"/>
    <w:rsid w:val="00F7725C"/>
    <w:rsid w:val="00F775FE"/>
    <w:rsid w:val="00F84621"/>
    <w:rsid w:val="00F85D52"/>
    <w:rsid w:val="00F869C2"/>
    <w:rsid w:val="00F86C66"/>
    <w:rsid w:val="00F919E9"/>
    <w:rsid w:val="00FA0CD3"/>
    <w:rsid w:val="00FA12B6"/>
    <w:rsid w:val="00FA358D"/>
    <w:rsid w:val="00FA4AE0"/>
    <w:rsid w:val="00FA6E5A"/>
    <w:rsid w:val="00FB24A2"/>
    <w:rsid w:val="00FB48C9"/>
    <w:rsid w:val="00FC7FCB"/>
    <w:rsid w:val="00FD354B"/>
    <w:rsid w:val="00FD7B86"/>
    <w:rsid w:val="00FE3AEE"/>
    <w:rsid w:val="00FF4C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F83"/>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63B1"/>
    <w:pPr>
      <w:tabs>
        <w:tab w:val="center" w:pos="4536"/>
        <w:tab w:val="right" w:pos="9072"/>
      </w:tabs>
    </w:pPr>
  </w:style>
  <w:style w:type="paragraph" w:styleId="a4">
    <w:name w:val="footer"/>
    <w:basedOn w:val="a"/>
    <w:rsid w:val="003163B1"/>
    <w:pPr>
      <w:tabs>
        <w:tab w:val="center" w:pos="4536"/>
        <w:tab w:val="right" w:pos="9072"/>
      </w:tabs>
    </w:pPr>
  </w:style>
  <w:style w:type="paragraph" w:customStyle="1" w:styleId="1">
    <w:name w:val="Знак1"/>
    <w:basedOn w:val="a"/>
    <w:rsid w:val="003163B1"/>
    <w:rPr>
      <w:rFonts w:ascii="Verdana" w:hAnsi="Verdana" w:cs="Verdana"/>
      <w:lang w:val="en-US" w:eastAsia="en-US"/>
    </w:rPr>
  </w:style>
  <w:style w:type="character" w:styleId="a5">
    <w:name w:val="page number"/>
    <w:basedOn w:val="a0"/>
    <w:rsid w:val="00E568D3"/>
  </w:style>
  <w:style w:type="paragraph" w:styleId="HTML">
    <w:name w:val="HTML Preformatted"/>
    <w:basedOn w:val="a"/>
    <w:link w:val="HTML0"/>
    <w:uiPriority w:val="99"/>
    <w:rsid w:val="0003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4">
    <w:name w:val="Основной текст (4)"/>
    <w:rsid w:val="00797149"/>
    <w:rPr>
      <w:rFonts w:ascii="Times New Roman" w:hAnsi="Times New Roman" w:cs="Times New Roman"/>
      <w:spacing w:val="0"/>
      <w:sz w:val="21"/>
      <w:szCs w:val="21"/>
    </w:rPr>
  </w:style>
  <w:style w:type="paragraph" w:customStyle="1" w:styleId="rvps2">
    <w:name w:val="rvps2"/>
    <w:basedOn w:val="a"/>
    <w:rsid w:val="00255984"/>
    <w:pPr>
      <w:spacing w:before="100" w:beforeAutospacing="1" w:after="100" w:afterAutospacing="1"/>
    </w:pPr>
    <w:rPr>
      <w:rFonts w:eastAsia="Calibri"/>
      <w:sz w:val="24"/>
      <w:szCs w:val="24"/>
      <w:lang w:val="ru-RU"/>
    </w:rPr>
  </w:style>
  <w:style w:type="character" w:customStyle="1" w:styleId="rvts9">
    <w:name w:val="rvts9"/>
    <w:rsid w:val="00255984"/>
    <w:rPr>
      <w:rFonts w:cs="Times New Roman"/>
    </w:rPr>
  </w:style>
  <w:style w:type="table" w:styleId="a6">
    <w:name w:val="Table Grid"/>
    <w:basedOn w:val="a1"/>
    <w:rsid w:val="00EF3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E637EA"/>
    <w:rPr>
      <w:rFonts w:ascii="Tahoma" w:hAnsi="Tahoma" w:cs="Tahoma"/>
      <w:sz w:val="16"/>
      <w:szCs w:val="16"/>
    </w:rPr>
  </w:style>
  <w:style w:type="character" w:styleId="a8">
    <w:name w:val="Hyperlink"/>
    <w:rsid w:val="002D3F83"/>
    <w:rPr>
      <w:color w:val="0000FF"/>
      <w:u w:val="single"/>
    </w:rPr>
  </w:style>
  <w:style w:type="character" w:customStyle="1" w:styleId="HTML0">
    <w:name w:val="Стандартный HTML Знак"/>
    <w:link w:val="HTML"/>
    <w:uiPriority w:val="99"/>
    <w:rsid w:val="00477A24"/>
    <w:rPr>
      <w:rFonts w:ascii="Courier New" w:hAnsi="Courier New" w:cs="Courier New"/>
    </w:rPr>
  </w:style>
  <w:style w:type="character" w:styleId="a9">
    <w:name w:val="Emphasis"/>
    <w:uiPriority w:val="20"/>
    <w:qFormat/>
    <w:rsid w:val="009C50E7"/>
    <w:rPr>
      <w:i/>
      <w:iCs/>
    </w:rPr>
  </w:style>
  <w:style w:type="character" w:customStyle="1" w:styleId="apple-converted-space">
    <w:name w:val="apple-converted-space"/>
    <w:rsid w:val="009C50E7"/>
  </w:style>
  <w:style w:type="character" w:customStyle="1" w:styleId="rvts11">
    <w:name w:val="rvts11"/>
    <w:rsid w:val="00CF135A"/>
  </w:style>
  <w:style w:type="paragraph" w:customStyle="1" w:styleId="aa">
    <w:name w:val="Нормальний текст"/>
    <w:basedOn w:val="a"/>
    <w:rsid w:val="00EB06C8"/>
    <w:pPr>
      <w:spacing w:before="120"/>
      <w:ind w:firstLine="567"/>
      <w:jc w:val="both"/>
    </w:pPr>
    <w:rPr>
      <w:rFonts w:ascii="Antiqua" w:hAnsi="Antiqu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F83"/>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63B1"/>
    <w:pPr>
      <w:tabs>
        <w:tab w:val="center" w:pos="4536"/>
        <w:tab w:val="right" w:pos="9072"/>
      </w:tabs>
    </w:pPr>
  </w:style>
  <w:style w:type="paragraph" w:styleId="a4">
    <w:name w:val="footer"/>
    <w:basedOn w:val="a"/>
    <w:rsid w:val="003163B1"/>
    <w:pPr>
      <w:tabs>
        <w:tab w:val="center" w:pos="4536"/>
        <w:tab w:val="right" w:pos="9072"/>
      </w:tabs>
    </w:pPr>
  </w:style>
  <w:style w:type="paragraph" w:customStyle="1" w:styleId="1">
    <w:name w:val="Знак1"/>
    <w:basedOn w:val="a"/>
    <w:rsid w:val="003163B1"/>
    <w:rPr>
      <w:rFonts w:ascii="Verdana" w:hAnsi="Verdana" w:cs="Verdana"/>
      <w:lang w:val="en-US" w:eastAsia="en-US"/>
    </w:rPr>
  </w:style>
  <w:style w:type="character" w:styleId="a5">
    <w:name w:val="page number"/>
    <w:basedOn w:val="a0"/>
    <w:rsid w:val="00E568D3"/>
  </w:style>
  <w:style w:type="paragraph" w:styleId="HTML">
    <w:name w:val="HTML Preformatted"/>
    <w:basedOn w:val="a"/>
    <w:link w:val="HTML0"/>
    <w:uiPriority w:val="99"/>
    <w:rsid w:val="0003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4">
    <w:name w:val="Основной текст (4)"/>
    <w:rsid w:val="00797149"/>
    <w:rPr>
      <w:rFonts w:ascii="Times New Roman" w:hAnsi="Times New Roman" w:cs="Times New Roman"/>
      <w:spacing w:val="0"/>
      <w:sz w:val="21"/>
      <w:szCs w:val="21"/>
    </w:rPr>
  </w:style>
  <w:style w:type="paragraph" w:customStyle="1" w:styleId="rvps2">
    <w:name w:val="rvps2"/>
    <w:basedOn w:val="a"/>
    <w:rsid w:val="00255984"/>
    <w:pPr>
      <w:spacing w:before="100" w:beforeAutospacing="1" w:after="100" w:afterAutospacing="1"/>
    </w:pPr>
    <w:rPr>
      <w:rFonts w:eastAsia="Calibri"/>
      <w:sz w:val="24"/>
      <w:szCs w:val="24"/>
      <w:lang w:val="ru-RU"/>
    </w:rPr>
  </w:style>
  <w:style w:type="character" w:customStyle="1" w:styleId="rvts9">
    <w:name w:val="rvts9"/>
    <w:rsid w:val="00255984"/>
    <w:rPr>
      <w:rFonts w:cs="Times New Roman"/>
    </w:rPr>
  </w:style>
  <w:style w:type="table" w:styleId="a6">
    <w:name w:val="Table Grid"/>
    <w:basedOn w:val="a1"/>
    <w:rsid w:val="00EF3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E637EA"/>
    <w:rPr>
      <w:rFonts w:ascii="Tahoma" w:hAnsi="Tahoma" w:cs="Tahoma"/>
      <w:sz w:val="16"/>
      <w:szCs w:val="16"/>
    </w:rPr>
  </w:style>
  <w:style w:type="character" w:styleId="a8">
    <w:name w:val="Hyperlink"/>
    <w:rsid w:val="002D3F83"/>
    <w:rPr>
      <w:color w:val="0000FF"/>
      <w:u w:val="single"/>
    </w:rPr>
  </w:style>
  <w:style w:type="character" w:customStyle="1" w:styleId="HTML0">
    <w:name w:val="Стандартный HTML Знак"/>
    <w:link w:val="HTML"/>
    <w:uiPriority w:val="99"/>
    <w:rsid w:val="00477A24"/>
    <w:rPr>
      <w:rFonts w:ascii="Courier New" w:hAnsi="Courier New" w:cs="Courier New"/>
    </w:rPr>
  </w:style>
  <w:style w:type="character" w:styleId="a9">
    <w:name w:val="Emphasis"/>
    <w:uiPriority w:val="20"/>
    <w:qFormat/>
    <w:rsid w:val="009C50E7"/>
    <w:rPr>
      <w:i/>
      <w:iCs/>
    </w:rPr>
  </w:style>
  <w:style w:type="character" w:customStyle="1" w:styleId="apple-converted-space">
    <w:name w:val="apple-converted-space"/>
    <w:rsid w:val="009C50E7"/>
  </w:style>
  <w:style w:type="character" w:customStyle="1" w:styleId="rvts11">
    <w:name w:val="rvts11"/>
    <w:rsid w:val="00CF135A"/>
  </w:style>
  <w:style w:type="paragraph" w:customStyle="1" w:styleId="aa">
    <w:name w:val="Нормальний текст"/>
    <w:basedOn w:val="a"/>
    <w:rsid w:val="00EB06C8"/>
    <w:pPr>
      <w:spacing w:before="120"/>
      <w:ind w:firstLine="567"/>
      <w:jc w:val="both"/>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621">
      <w:bodyDiv w:val="1"/>
      <w:marLeft w:val="0"/>
      <w:marRight w:val="0"/>
      <w:marTop w:val="0"/>
      <w:marBottom w:val="0"/>
      <w:divBdr>
        <w:top w:val="none" w:sz="0" w:space="0" w:color="auto"/>
        <w:left w:val="none" w:sz="0" w:space="0" w:color="auto"/>
        <w:bottom w:val="none" w:sz="0" w:space="0" w:color="auto"/>
        <w:right w:val="none" w:sz="0" w:space="0" w:color="auto"/>
      </w:divBdr>
    </w:div>
    <w:div w:id="108285986">
      <w:bodyDiv w:val="1"/>
      <w:marLeft w:val="0"/>
      <w:marRight w:val="0"/>
      <w:marTop w:val="0"/>
      <w:marBottom w:val="0"/>
      <w:divBdr>
        <w:top w:val="none" w:sz="0" w:space="0" w:color="auto"/>
        <w:left w:val="none" w:sz="0" w:space="0" w:color="auto"/>
        <w:bottom w:val="none" w:sz="0" w:space="0" w:color="auto"/>
        <w:right w:val="none" w:sz="0" w:space="0" w:color="auto"/>
      </w:divBdr>
    </w:div>
    <w:div w:id="112483417">
      <w:bodyDiv w:val="1"/>
      <w:marLeft w:val="0"/>
      <w:marRight w:val="0"/>
      <w:marTop w:val="0"/>
      <w:marBottom w:val="0"/>
      <w:divBdr>
        <w:top w:val="none" w:sz="0" w:space="0" w:color="auto"/>
        <w:left w:val="none" w:sz="0" w:space="0" w:color="auto"/>
        <w:bottom w:val="none" w:sz="0" w:space="0" w:color="auto"/>
        <w:right w:val="none" w:sz="0" w:space="0" w:color="auto"/>
      </w:divBdr>
    </w:div>
    <w:div w:id="154613476">
      <w:bodyDiv w:val="1"/>
      <w:marLeft w:val="0"/>
      <w:marRight w:val="0"/>
      <w:marTop w:val="0"/>
      <w:marBottom w:val="0"/>
      <w:divBdr>
        <w:top w:val="none" w:sz="0" w:space="0" w:color="auto"/>
        <w:left w:val="none" w:sz="0" w:space="0" w:color="auto"/>
        <w:bottom w:val="none" w:sz="0" w:space="0" w:color="auto"/>
        <w:right w:val="none" w:sz="0" w:space="0" w:color="auto"/>
      </w:divBdr>
    </w:div>
    <w:div w:id="295335591">
      <w:bodyDiv w:val="1"/>
      <w:marLeft w:val="0"/>
      <w:marRight w:val="0"/>
      <w:marTop w:val="0"/>
      <w:marBottom w:val="0"/>
      <w:divBdr>
        <w:top w:val="none" w:sz="0" w:space="0" w:color="auto"/>
        <w:left w:val="none" w:sz="0" w:space="0" w:color="auto"/>
        <w:bottom w:val="none" w:sz="0" w:space="0" w:color="auto"/>
        <w:right w:val="none" w:sz="0" w:space="0" w:color="auto"/>
      </w:divBdr>
    </w:div>
    <w:div w:id="728845693">
      <w:bodyDiv w:val="1"/>
      <w:marLeft w:val="0"/>
      <w:marRight w:val="0"/>
      <w:marTop w:val="0"/>
      <w:marBottom w:val="0"/>
      <w:divBdr>
        <w:top w:val="none" w:sz="0" w:space="0" w:color="auto"/>
        <w:left w:val="none" w:sz="0" w:space="0" w:color="auto"/>
        <w:bottom w:val="none" w:sz="0" w:space="0" w:color="auto"/>
        <w:right w:val="none" w:sz="0" w:space="0" w:color="auto"/>
      </w:divBdr>
    </w:div>
    <w:div w:id="1002514369">
      <w:bodyDiv w:val="1"/>
      <w:marLeft w:val="0"/>
      <w:marRight w:val="0"/>
      <w:marTop w:val="0"/>
      <w:marBottom w:val="0"/>
      <w:divBdr>
        <w:top w:val="none" w:sz="0" w:space="0" w:color="auto"/>
        <w:left w:val="none" w:sz="0" w:space="0" w:color="auto"/>
        <w:bottom w:val="none" w:sz="0" w:space="0" w:color="auto"/>
        <w:right w:val="none" w:sz="0" w:space="0" w:color="auto"/>
      </w:divBdr>
      <w:divsChild>
        <w:div w:id="530458685">
          <w:marLeft w:val="0"/>
          <w:marRight w:val="0"/>
          <w:marTop w:val="100"/>
          <w:marBottom w:val="100"/>
          <w:divBdr>
            <w:top w:val="none" w:sz="0" w:space="0" w:color="auto"/>
            <w:left w:val="none" w:sz="0" w:space="0" w:color="auto"/>
            <w:bottom w:val="none" w:sz="0" w:space="0" w:color="auto"/>
            <w:right w:val="none" w:sz="0" w:space="0" w:color="auto"/>
          </w:divBdr>
          <w:divsChild>
            <w:div w:id="1432700547">
              <w:marLeft w:val="0"/>
              <w:marRight w:val="0"/>
              <w:marTop w:val="0"/>
              <w:marBottom w:val="0"/>
              <w:divBdr>
                <w:top w:val="single" w:sz="6" w:space="4" w:color="DCDCDC"/>
                <w:left w:val="single" w:sz="6" w:space="4" w:color="DCDCDC"/>
                <w:bottom w:val="single" w:sz="6" w:space="0" w:color="DCDCDC"/>
                <w:right w:val="single" w:sz="6" w:space="4" w:color="DCDCDC"/>
              </w:divBdr>
              <w:divsChild>
                <w:div w:id="1704211455">
                  <w:marLeft w:val="0"/>
                  <w:marRight w:val="0"/>
                  <w:marTop w:val="0"/>
                  <w:marBottom w:val="0"/>
                  <w:divBdr>
                    <w:top w:val="none" w:sz="0" w:space="0" w:color="auto"/>
                    <w:left w:val="none" w:sz="0" w:space="0" w:color="auto"/>
                    <w:bottom w:val="none" w:sz="0" w:space="0" w:color="auto"/>
                    <w:right w:val="none" w:sz="0" w:space="0" w:color="auto"/>
                  </w:divBdr>
                  <w:divsChild>
                    <w:div w:id="1398434783">
                      <w:marLeft w:val="0"/>
                      <w:marRight w:val="0"/>
                      <w:marTop w:val="0"/>
                      <w:marBottom w:val="0"/>
                      <w:divBdr>
                        <w:top w:val="none" w:sz="0" w:space="0" w:color="auto"/>
                        <w:left w:val="none" w:sz="0" w:space="0" w:color="auto"/>
                        <w:bottom w:val="none" w:sz="0" w:space="0" w:color="auto"/>
                        <w:right w:val="none" w:sz="0" w:space="0" w:color="auto"/>
                      </w:divBdr>
                      <w:divsChild>
                        <w:div w:id="20472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12601">
      <w:bodyDiv w:val="1"/>
      <w:marLeft w:val="0"/>
      <w:marRight w:val="0"/>
      <w:marTop w:val="0"/>
      <w:marBottom w:val="0"/>
      <w:divBdr>
        <w:top w:val="none" w:sz="0" w:space="0" w:color="auto"/>
        <w:left w:val="none" w:sz="0" w:space="0" w:color="auto"/>
        <w:bottom w:val="none" w:sz="0" w:space="0" w:color="auto"/>
        <w:right w:val="none" w:sz="0" w:space="0" w:color="auto"/>
      </w:divBdr>
    </w:div>
    <w:div w:id="1095131772">
      <w:bodyDiv w:val="1"/>
      <w:marLeft w:val="0"/>
      <w:marRight w:val="0"/>
      <w:marTop w:val="0"/>
      <w:marBottom w:val="0"/>
      <w:divBdr>
        <w:top w:val="none" w:sz="0" w:space="0" w:color="auto"/>
        <w:left w:val="none" w:sz="0" w:space="0" w:color="auto"/>
        <w:bottom w:val="none" w:sz="0" w:space="0" w:color="auto"/>
        <w:right w:val="none" w:sz="0" w:space="0" w:color="auto"/>
      </w:divBdr>
    </w:div>
    <w:div w:id="1179194847">
      <w:bodyDiv w:val="1"/>
      <w:marLeft w:val="0"/>
      <w:marRight w:val="0"/>
      <w:marTop w:val="0"/>
      <w:marBottom w:val="0"/>
      <w:divBdr>
        <w:top w:val="none" w:sz="0" w:space="0" w:color="auto"/>
        <w:left w:val="none" w:sz="0" w:space="0" w:color="auto"/>
        <w:bottom w:val="none" w:sz="0" w:space="0" w:color="auto"/>
        <w:right w:val="none" w:sz="0" w:space="0" w:color="auto"/>
      </w:divBdr>
    </w:div>
    <w:div w:id="1609775707">
      <w:bodyDiv w:val="1"/>
      <w:marLeft w:val="0"/>
      <w:marRight w:val="0"/>
      <w:marTop w:val="0"/>
      <w:marBottom w:val="0"/>
      <w:divBdr>
        <w:top w:val="none" w:sz="0" w:space="0" w:color="auto"/>
        <w:left w:val="none" w:sz="0" w:space="0" w:color="auto"/>
        <w:bottom w:val="none" w:sz="0" w:space="0" w:color="auto"/>
        <w:right w:val="none" w:sz="0" w:space="0" w:color="auto"/>
      </w:divBdr>
    </w:div>
    <w:div w:id="1691489248">
      <w:bodyDiv w:val="1"/>
      <w:marLeft w:val="0"/>
      <w:marRight w:val="0"/>
      <w:marTop w:val="0"/>
      <w:marBottom w:val="0"/>
      <w:divBdr>
        <w:top w:val="none" w:sz="0" w:space="0" w:color="auto"/>
        <w:left w:val="none" w:sz="0" w:space="0" w:color="auto"/>
        <w:bottom w:val="none" w:sz="0" w:space="0" w:color="auto"/>
        <w:right w:val="none" w:sz="0" w:space="0" w:color="auto"/>
      </w:divBdr>
    </w:div>
    <w:div w:id="1766729266">
      <w:bodyDiv w:val="1"/>
      <w:marLeft w:val="0"/>
      <w:marRight w:val="0"/>
      <w:marTop w:val="0"/>
      <w:marBottom w:val="0"/>
      <w:divBdr>
        <w:top w:val="none" w:sz="0" w:space="0" w:color="auto"/>
        <w:left w:val="none" w:sz="0" w:space="0" w:color="auto"/>
        <w:bottom w:val="none" w:sz="0" w:space="0" w:color="auto"/>
        <w:right w:val="none" w:sz="0" w:space="0" w:color="auto"/>
      </w:divBdr>
    </w:div>
    <w:div w:id="1959556675">
      <w:bodyDiv w:val="1"/>
      <w:marLeft w:val="0"/>
      <w:marRight w:val="0"/>
      <w:marTop w:val="0"/>
      <w:marBottom w:val="0"/>
      <w:divBdr>
        <w:top w:val="none" w:sz="0" w:space="0" w:color="auto"/>
        <w:left w:val="none" w:sz="0" w:space="0" w:color="auto"/>
        <w:bottom w:val="none" w:sz="0" w:space="0" w:color="auto"/>
        <w:right w:val="none" w:sz="0" w:space="0" w:color="auto"/>
      </w:divBdr>
    </w:div>
    <w:div w:id="1978728847">
      <w:bodyDiv w:val="1"/>
      <w:marLeft w:val="0"/>
      <w:marRight w:val="0"/>
      <w:marTop w:val="0"/>
      <w:marBottom w:val="0"/>
      <w:divBdr>
        <w:top w:val="none" w:sz="0" w:space="0" w:color="auto"/>
        <w:left w:val="none" w:sz="0" w:space="0" w:color="auto"/>
        <w:bottom w:val="none" w:sz="0" w:space="0" w:color="auto"/>
        <w:right w:val="none" w:sz="0" w:space="0" w:color="auto"/>
      </w:divBdr>
    </w:div>
    <w:div w:id="20269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z0339-13/paran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z0236-13/paran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z2043-13/paran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z0339-13/paran15" TargetMode="External"/><Relationship Id="rId4" Type="http://schemas.microsoft.com/office/2007/relationships/stylesWithEffects" Target="stylesWithEffects.xml"/><Relationship Id="rId9" Type="http://schemas.openxmlformats.org/officeDocument/2006/relationships/hyperlink" Target="http://zakon5.rada.gov.ua/laws/show/z0236-13/paran1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FF14-242E-4C5B-961B-3EE2F526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28363</Words>
  <Characters>16168</Characters>
  <Application>Microsoft Office Word</Application>
  <DocSecurity>0</DocSecurity>
  <Lines>134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44443</CharactersWithSpaces>
  <SharedDoc>false</SharedDoc>
  <HLinks>
    <vt:vector size="30" baseType="variant">
      <vt:variant>
        <vt:i4>6619184</vt:i4>
      </vt:variant>
      <vt:variant>
        <vt:i4>12</vt:i4>
      </vt:variant>
      <vt:variant>
        <vt:i4>0</vt:i4>
      </vt:variant>
      <vt:variant>
        <vt:i4>5</vt:i4>
      </vt:variant>
      <vt:variant>
        <vt:lpwstr>http://zakon5.rada.gov.ua/laws/show/z0339-13/paran15</vt:lpwstr>
      </vt:variant>
      <vt:variant>
        <vt:lpwstr>n15</vt:lpwstr>
      </vt:variant>
      <vt:variant>
        <vt:i4>6422590</vt:i4>
      </vt:variant>
      <vt:variant>
        <vt:i4>9</vt:i4>
      </vt:variant>
      <vt:variant>
        <vt:i4>0</vt:i4>
      </vt:variant>
      <vt:variant>
        <vt:i4>5</vt:i4>
      </vt:variant>
      <vt:variant>
        <vt:lpwstr>http://zakon5.rada.gov.ua/laws/show/z0236-13/paran12</vt:lpwstr>
      </vt:variant>
      <vt:variant>
        <vt:lpwstr>n12</vt:lpwstr>
      </vt:variant>
      <vt:variant>
        <vt:i4>6750265</vt:i4>
      </vt:variant>
      <vt:variant>
        <vt:i4>6</vt:i4>
      </vt:variant>
      <vt:variant>
        <vt:i4>0</vt:i4>
      </vt:variant>
      <vt:variant>
        <vt:i4>5</vt:i4>
      </vt:variant>
      <vt:variant>
        <vt:lpwstr>http://zakon5.rada.gov.ua/laws/show/z2043-13/paran12</vt:lpwstr>
      </vt:variant>
      <vt:variant>
        <vt:lpwstr>n12</vt:lpwstr>
      </vt:variant>
      <vt:variant>
        <vt:i4>6619184</vt:i4>
      </vt:variant>
      <vt:variant>
        <vt:i4>3</vt:i4>
      </vt:variant>
      <vt:variant>
        <vt:i4>0</vt:i4>
      </vt:variant>
      <vt:variant>
        <vt:i4>5</vt:i4>
      </vt:variant>
      <vt:variant>
        <vt:lpwstr>http://zakon5.rada.gov.ua/laws/show/z0339-13/paran15</vt:lpwstr>
      </vt:variant>
      <vt:variant>
        <vt:lpwstr>n15</vt:lpwstr>
      </vt:variant>
      <vt:variant>
        <vt:i4>6422590</vt:i4>
      </vt:variant>
      <vt:variant>
        <vt:i4>0</vt:i4>
      </vt:variant>
      <vt:variant>
        <vt:i4>0</vt:i4>
      </vt:variant>
      <vt:variant>
        <vt:i4>5</vt:i4>
      </vt:variant>
      <vt:variant>
        <vt:lpwstr>http://zakon5.rada.gov.ua/laws/show/z0236-13/paran12</vt:lpwstr>
      </vt:variant>
      <vt:variant>
        <vt:lpwstr>n12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15</cp:revision>
  <cp:lastPrinted>2016-03-10T09:39:00Z</cp:lastPrinted>
  <dcterms:created xsi:type="dcterms:W3CDTF">2016-03-22T05:53:00Z</dcterms:created>
  <dcterms:modified xsi:type="dcterms:W3CDTF">2016-03-22T08:08:00Z</dcterms:modified>
</cp:coreProperties>
</file>