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A8" w:rsidRPr="00C04408" w:rsidRDefault="003B44A8" w:rsidP="0037013D">
      <w:pPr>
        <w:pStyle w:val="4"/>
        <w:spacing w:after="120"/>
        <w:ind w:left="4962"/>
        <w:rPr>
          <w:b w:val="0"/>
          <w:bCs/>
          <w:szCs w:val="28"/>
        </w:rPr>
      </w:pPr>
      <w:bookmarkStart w:id="0" w:name="n3"/>
      <w:bookmarkEnd w:id="0"/>
      <w:r w:rsidRPr="00C04408">
        <w:rPr>
          <w:b w:val="0"/>
          <w:bCs/>
          <w:szCs w:val="28"/>
        </w:rPr>
        <w:t>Проект</w:t>
      </w:r>
    </w:p>
    <w:p w:rsidR="003B44A8" w:rsidRPr="00C04408" w:rsidRDefault="00975444" w:rsidP="006F697E">
      <w:pPr>
        <w:spacing w:after="720"/>
        <w:ind w:left="4961"/>
        <w:rPr>
          <w:bCs/>
        </w:rPr>
      </w:pPr>
      <w:r w:rsidRPr="00C04408">
        <w:rPr>
          <w:bCs/>
        </w:rPr>
        <w:t>поданий</w:t>
      </w:r>
      <w:r w:rsidR="003B44A8" w:rsidRPr="00C04408">
        <w:rPr>
          <w:bCs/>
        </w:rPr>
        <w:t xml:space="preserve"> народними депутатами України - членами Комітету з питань бюджету</w:t>
      </w:r>
      <w:r w:rsidR="004D6D7B" w:rsidRPr="00C04408">
        <w:rPr>
          <w:bCs/>
        </w:rPr>
        <w:t xml:space="preserve"> </w:t>
      </w:r>
      <w:proofErr w:type="spellStart"/>
      <w:r w:rsidR="004D6D7B" w:rsidRPr="00C04408">
        <w:rPr>
          <w:bCs/>
        </w:rPr>
        <w:t>Павелком</w:t>
      </w:r>
      <w:proofErr w:type="spellEnd"/>
      <w:r w:rsidR="00C34805" w:rsidRPr="00C04408">
        <w:rPr>
          <w:bCs/>
          <w:lang w:val="en-US"/>
        </w:rPr>
        <w:t> </w:t>
      </w:r>
      <w:r w:rsidR="004D6D7B" w:rsidRPr="00C04408">
        <w:rPr>
          <w:bCs/>
        </w:rPr>
        <w:t>А.В. та іншими</w:t>
      </w:r>
      <w:r w:rsidR="003B44A8" w:rsidRPr="00C04408">
        <w:rPr>
          <w:bCs/>
        </w:rPr>
        <w:t xml:space="preserve"> </w:t>
      </w:r>
    </w:p>
    <w:p w:rsidR="003B44A8" w:rsidRPr="00C04408" w:rsidRDefault="003B44A8" w:rsidP="004C1AB9">
      <w:pPr>
        <w:spacing w:before="1800" w:after="360"/>
        <w:ind w:left="482" w:right="482"/>
        <w:jc w:val="center"/>
        <w:rPr>
          <w:bCs/>
          <w:smallCaps/>
          <w:spacing w:val="20"/>
        </w:rPr>
      </w:pPr>
      <w:r w:rsidRPr="00C04408">
        <w:rPr>
          <w:bCs/>
          <w:iCs/>
          <w:smallCaps/>
          <w:spacing w:val="20"/>
        </w:rPr>
        <w:t>ПОСТАНОВА</w:t>
      </w:r>
      <w:r w:rsidRPr="00C04408">
        <w:rPr>
          <w:smallCaps/>
          <w:spacing w:val="20"/>
        </w:rPr>
        <w:t xml:space="preserve"> </w:t>
      </w:r>
      <w:r w:rsidRPr="00C04408">
        <w:rPr>
          <w:smallCaps/>
          <w:spacing w:val="20"/>
        </w:rPr>
        <w:br/>
      </w:r>
      <w:r w:rsidRPr="00C04408">
        <w:rPr>
          <w:bCs/>
          <w:iCs/>
          <w:caps/>
          <w:spacing w:val="20"/>
        </w:rPr>
        <w:t>Верховної Ради України</w:t>
      </w:r>
    </w:p>
    <w:p w:rsidR="00340799" w:rsidRPr="00C04408" w:rsidRDefault="00340799" w:rsidP="00107345">
      <w:pPr>
        <w:spacing w:after="480"/>
        <w:ind w:left="482" w:right="482"/>
        <w:jc w:val="center"/>
        <w:rPr>
          <w:bCs/>
        </w:rPr>
      </w:pPr>
      <w:r w:rsidRPr="00C04408">
        <w:rPr>
          <w:bCs/>
        </w:rPr>
        <w:t xml:space="preserve">Про звіт про виконання Закону України </w:t>
      </w:r>
      <w:r w:rsidR="003B44A8" w:rsidRPr="00C04408">
        <w:rPr>
          <w:bCs/>
        </w:rPr>
        <w:br/>
      </w:r>
      <w:r w:rsidR="005C676E" w:rsidRPr="00C04408">
        <w:rPr>
          <w:bCs/>
        </w:rPr>
        <w:t>«</w:t>
      </w:r>
      <w:r w:rsidRPr="00C04408">
        <w:rPr>
          <w:bCs/>
        </w:rPr>
        <w:t xml:space="preserve">Про </w:t>
      </w:r>
      <w:r w:rsidR="00EC19E2" w:rsidRPr="00C04408">
        <w:rPr>
          <w:bCs/>
        </w:rPr>
        <w:t xml:space="preserve">Державний бюджет України на </w:t>
      </w:r>
      <w:r w:rsidR="008773BF" w:rsidRPr="00C04408">
        <w:rPr>
          <w:bCs/>
        </w:rPr>
        <w:t>201</w:t>
      </w:r>
      <w:r w:rsidR="00183895" w:rsidRPr="00C04408">
        <w:rPr>
          <w:bCs/>
        </w:rPr>
        <w:t>5</w:t>
      </w:r>
      <w:r w:rsidR="00502DF0" w:rsidRPr="00C04408">
        <w:rPr>
          <w:bCs/>
        </w:rPr>
        <w:t> </w:t>
      </w:r>
      <w:r w:rsidRPr="00C04408">
        <w:rPr>
          <w:bCs/>
        </w:rPr>
        <w:t>рік</w:t>
      </w:r>
      <w:r w:rsidR="005C676E" w:rsidRPr="00C04408">
        <w:rPr>
          <w:bCs/>
        </w:rPr>
        <w:t>»</w:t>
      </w:r>
    </w:p>
    <w:p w:rsidR="00340799" w:rsidRPr="00C04408" w:rsidRDefault="00340799" w:rsidP="0037013D">
      <w:pPr>
        <w:spacing w:before="120"/>
        <w:ind w:firstLine="709"/>
        <w:jc w:val="both"/>
      </w:pPr>
      <w:bookmarkStart w:id="1" w:name="n4"/>
      <w:bookmarkEnd w:id="1"/>
      <w:r w:rsidRPr="00C04408">
        <w:t xml:space="preserve">Розглянувши звіт Кабінету Міністрів України про виконання </w:t>
      </w:r>
      <w:hyperlink r:id="rId8" w:tgtFrame="_blank" w:history="1">
        <w:r w:rsidRPr="00C04408">
          <w:t xml:space="preserve">Закону України </w:t>
        </w:r>
        <w:r w:rsidR="005C676E" w:rsidRPr="00C04408">
          <w:t>«</w:t>
        </w:r>
        <w:r w:rsidRPr="00C04408">
          <w:t xml:space="preserve">Про Державний бюджет України на </w:t>
        </w:r>
        <w:r w:rsidR="008773BF" w:rsidRPr="00C04408">
          <w:t>201</w:t>
        </w:r>
        <w:r w:rsidR="00183895" w:rsidRPr="00C04408">
          <w:t>5</w:t>
        </w:r>
        <w:r w:rsidR="005C676E" w:rsidRPr="00C04408">
          <w:t> </w:t>
        </w:r>
        <w:r w:rsidRPr="00C04408">
          <w:t>рік</w:t>
        </w:r>
        <w:r w:rsidR="005C676E" w:rsidRPr="00C04408">
          <w:t>»</w:t>
        </w:r>
      </w:hyperlink>
      <w:r w:rsidRPr="00C04408">
        <w:t xml:space="preserve"> </w:t>
      </w:r>
      <w:r w:rsidR="007B396C" w:rsidRPr="00C04408">
        <w:t xml:space="preserve">(далі – Закон) </w:t>
      </w:r>
      <w:r w:rsidRPr="00C04408">
        <w:t xml:space="preserve">та висновки Рахункової палати щодо виконання </w:t>
      </w:r>
      <w:r w:rsidR="00A87755" w:rsidRPr="00C04408">
        <w:t xml:space="preserve">закону про </w:t>
      </w:r>
      <w:r w:rsidRPr="00C04408">
        <w:t>Державн</w:t>
      </w:r>
      <w:r w:rsidR="00A87755" w:rsidRPr="00C04408">
        <w:t>ий</w:t>
      </w:r>
      <w:r w:rsidRPr="00C04408">
        <w:t xml:space="preserve"> бюджет України </w:t>
      </w:r>
      <w:r w:rsidR="00A87755" w:rsidRPr="00C04408">
        <w:t>н</w:t>
      </w:r>
      <w:r w:rsidRPr="00C04408">
        <w:t xml:space="preserve">а </w:t>
      </w:r>
      <w:r w:rsidR="008773BF" w:rsidRPr="00C04408">
        <w:t>201</w:t>
      </w:r>
      <w:r w:rsidR="00A87755" w:rsidRPr="00C04408">
        <w:t>5</w:t>
      </w:r>
      <w:r w:rsidR="005C676E" w:rsidRPr="00C04408">
        <w:t> </w:t>
      </w:r>
      <w:r w:rsidRPr="00C04408">
        <w:t>рік, Верховна Рада України зазначає таке.</w:t>
      </w:r>
    </w:p>
    <w:p w:rsidR="006B2EF5" w:rsidRPr="00C04408" w:rsidRDefault="00D06146" w:rsidP="00107345">
      <w:pPr>
        <w:spacing w:before="100"/>
        <w:ind w:firstLine="709"/>
        <w:jc w:val="both"/>
      </w:pPr>
      <w:bookmarkStart w:id="2" w:name="n5"/>
      <w:bookmarkEnd w:id="2"/>
      <w:r w:rsidRPr="00C04408">
        <w:t>У 201</w:t>
      </w:r>
      <w:r w:rsidR="007F26E2" w:rsidRPr="00C04408">
        <w:t>5</w:t>
      </w:r>
      <w:r w:rsidRPr="00C04408">
        <w:t> році</w:t>
      </w:r>
      <w:r w:rsidR="004B3091" w:rsidRPr="00C04408">
        <w:t xml:space="preserve">, як і в попередніх </w:t>
      </w:r>
      <w:r w:rsidR="001E00D8" w:rsidRPr="00C04408">
        <w:t xml:space="preserve">трьох </w:t>
      </w:r>
      <w:r w:rsidR="004B3091" w:rsidRPr="00C04408">
        <w:t xml:space="preserve">роках, </w:t>
      </w:r>
      <w:r w:rsidR="00EE2A57" w:rsidRPr="00C04408">
        <w:t>не вдалося досягнути врахованих п</w:t>
      </w:r>
      <w:r w:rsidR="001E00D8" w:rsidRPr="00C04408">
        <w:t>ід час</w:t>
      </w:r>
      <w:r w:rsidR="00EE2A57" w:rsidRPr="00C04408">
        <w:t xml:space="preserve"> </w:t>
      </w:r>
      <w:r w:rsidR="001E00D8" w:rsidRPr="00C04408">
        <w:t>прийняття</w:t>
      </w:r>
      <w:r w:rsidR="00EE2A57" w:rsidRPr="00C04408">
        <w:t xml:space="preserve"> </w:t>
      </w:r>
      <w:hyperlink r:id="rId9" w:tgtFrame="_blank" w:history="1">
        <w:r w:rsidR="00EE2A57" w:rsidRPr="00C04408">
          <w:t xml:space="preserve">Закону </w:t>
        </w:r>
      </w:hyperlink>
      <w:r w:rsidR="00544B39" w:rsidRPr="00C04408">
        <w:t xml:space="preserve">прогнозних </w:t>
      </w:r>
      <w:proofErr w:type="spellStart"/>
      <w:r w:rsidR="00544B39" w:rsidRPr="00C04408">
        <w:t>макропоказників</w:t>
      </w:r>
      <w:proofErr w:type="spellEnd"/>
      <w:r w:rsidR="00544B39" w:rsidRPr="00C04408">
        <w:t xml:space="preserve"> економічного і соціального розвитку</w:t>
      </w:r>
      <w:r w:rsidR="006B2EF5" w:rsidRPr="00C04408">
        <w:t xml:space="preserve"> України</w:t>
      </w:r>
      <w:r w:rsidR="001E00D8" w:rsidRPr="00C04408">
        <w:t xml:space="preserve">, що свідчить про </w:t>
      </w:r>
      <w:r w:rsidR="00E57748" w:rsidRPr="00C04408">
        <w:t>необхідність забезпечення реалістичності макроекономічного прогнозування. Разом з тим, погіршення</w:t>
      </w:r>
      <w:r w:rsidR="00544B39" w:rsidRPr="00C04408">
        <w:t xml:space="preserve"> </w:t>
      </w:r>
      <w:r w:rsidR="00E57748" w:rsidRPr="00C04408">
        <w:t xml:space="preserve">економічної ситуації в Україні у минулому році обумовлено </w:t>
      </w:r>
      <w:r w:rsidR="00544B39" w:rsidRPr="00C04408">
        <w:t>вплив</w:t>
      </w:r>
      <w:r w:rsidR="00E57748" w:rsidRPr="00C04408">
        <w:t>ом</w:t>
      </w:r>
      <w:r w:rsidR="00544B39" w:rsidRPr="00C04408">
        <w:t xml:space="preserve"> низки негативних факторів (</w:t>
      </w:r>
      <w:r w:rsidR="00D924B8" w:rsidRPr="00C04408">
        <w:t>зокрема</w:t>
      </w:r>
      <w:r w:rsidR="00544B39" w:rsidRPr="00C04408">
        <w:t xml:space="preserve"> </w:t>
      </w:r>
      <w:r w:rsidR="00D924B8" w:rsidRPr="00C04408">
        <w:t xml:space="preserve">втрата виробничих </w:t>
      </w:r>
      <w:proofErr w:type="spellStart"/>
      <w:r w:rsidR="00D924B8" w:rsidRPr="00C04408">
        <w:t>потужностей</w:t>
      </w:r>
      <w:proofErr w:type="spellEnd"/>
      <w:r w:rsidR="00D924B8" w:rsidRPr="00C04408">
        <w:t xml:space="preserve">, інфраструктури та руйнування господарських </w:t>
      </w:r>
      <w:proofErr w:type="spellStart"/>
      <w:r w:rsidR="00D924B8" w:rsidRPr="00C04408">
        <w:t>зв’язків</w:t>
      </w:r>
      <w:proofErr w:type="spellEnd"/>
      <w:r w:rsidR="00D924B8" w:rsidRPr="00C04408">
        <w:t xml:space="preserve"> через військовий конфлікт на сході України, </w:t>
      </w:r>
      <w:r w:rsidR="00544B39" w:rsidRPr="00C04408">
        <w:t xml:space="preserve">несприятлива цінова кон’юнктура на світових товарних ринках, </w:t>
      </w:r>
      <w:r w:rsidR="00D924B8" w:rsidRPr="00C04408">
        <w:t>погіршення торговельних відносин з</w:t>
      </w:r>
      <w:r w:rsidR="00544B39" w:rsidRPr="00C04408">
        <w:t xml:space="preserve"> Російсько</w:t>
      </w:r>
      <w:r w:rsidR="00D924B8" w:rsidRPr="00C04408">
        <w:t>ю</w:t>
      </w:r>
      <w:r w:rsidR="00544B39" w:rsidRPr="00C04408">
        <w:t xml:space="preserve"> Федераці</w:t>
      </w:r>
      <w:r w:rsidR="00D924B8" w:rsidRPr="00C04408">
        <w:t>єю</w:t>
      </w:r>
      <w:r w:rsidR="00544B39" w:rsidRPr="00C04408">
        <w:t xml:space="preserve">, суттєве звуження внутрішнього споживчого й інвестиційного попиту). </w:t>
      </w:r>
      <w:r w:rsidR="000F6210" w:rsidRPr="00C04408">
        <w:t>З</w:t>
      </w:r>
      <w:r w:rsidR="006B2EF5" w:rsidRPr="00C04408">
        <w:t>а попередніми даними, номінальний валовий внутрішній продукт за звітний рік становив 1</w:t>
      </w:r>
      <w:r w:rsidR="004B3091" w:rsidRPr="00C04408">
        <w:t>979</w:t>
      </w:r>
      <w:r w:rsidR="006B2EF5" w:rsidRPr="00C04408">
        <w:t>,</w:t>
      </w:r>
      <w:r w:rsidR="004B3091" w:rsidRPr="00C04408">
        <w:t>5</w:t>
      </w:r>
      <w:r w:rsidR="00276AE9" w:rsidRPr="00C04408">
        <w:t> млрд гривень при прогнозі 1</w:t>
      </w:r>
      <w:r w:rsidR="004B3091" w:rsidRPr="00C04408">
        <w:t>850</w:t>
      </w:r>
      <w:r w:rsidR="00276AE9" w:rsidRPr="00C04408">
        <w:t>,</w:t>
      </w:r>
      <w:r w:rsidR="001E18AF" w:rsidRPr="00C04408">
        <w:t>2</w:t>
      </w:r>
      <w:r w:rsidR="006B2EF5" w:rsidRPr="00C04408">
        <w:t xml:space="preserve"> млрд гривень, а його реальне </w:t>
      </w:r>
      <w:r w:rsidR="006714B3" w:rsidRPr="00C04408">
        <w:t>значення</w:t>
      </w:r>
      <w:r w:rsidR="006B2EF5" w:rsidRPr="00C04408">
        <w:t xml:space="preserve"> </w:t>
      </w:r>
      <w:r w:rsidR="006714B3" w:rsidRPr="00C04408">
        <w:t>знизилос</w:t>
      </w:r>
      <w:r w:rsidR="00975444" w:rsidRPr="00C04408">
        <w:t>я</w:t>
      </w:r>
      <w:r w:rsidR="006714B3" w:rsidRPr="00C04408">
        <w:t xml:space="preserve"> на </w:t>
      </w:r>
      <w:r w:rsidR="004B3091" w:rsidRPr="00C04408">
        <w:t>9,9</w:t>
      </w:r>
      <w:r w:rsidR="00157CF9" w:rsidRPr="00C04408">
        <w:t> </w:t>
      </w:r>
      <w:r w:rsidR="006714B3" w:rsidRPr="00C04408">
        <w:t xml:space="preserve">відсотка </w:t>
      </w:r>
      <w:r w:rsidR="006B2EF5" w:rsidRPr="00C04408">
        <w:t>при прогноз</w:t>
      </w:r>
      <w:r w:rsidR="00B64B5F" w:rsidRPr="00C04408">
        <w:t>ованому зниженні на</w:t>
      </w:r>
      <w:r w:rsidR="006B2EF5" w:rsidRPr="00C04408">
        <w:t xml:space="preserve"> </w:t>
      </w:r>
      <w:r w:rsidR="004B3091" w:rsidRPr="00C04408">
        <w:t>5,5</w:t>
      </w:r>
      <w:r w:rsidR="006B2EF5" w:rsidRPr="00C04408">
        <w:t xml:space="preserve"> відсотка. При цьому реальна заробітна плата в Україні </w:t>
      </w:r>
      <w:r w:rsidR="00267B76" w:rsidRPr="00C04408">
        <w:t>зменшилас</w:t>
      </w:r>
      <w:r w:rsidR="00B85BD4" w:rsidRPr="00C04408">
        <w:t>я</w:t>
      </w:r>
      <w:r w:rsidR="006B2EF5" w:rsidRPr="00C04408">
        <w:t xml:space="preserve"> в середньому на </w:t>
      </w:r>
      <w:r w:rsidR="00380DEB" w:rsidRPr="00C04408">
        <w:t>20,2</w:t>
      </w:r>
      <w:r w:rsidR="006B2EF5" w:rsidRPr="00C04408">
        <w:t xml:space="preserve"> відсотка при прогнозованому її </w:t>
      </w:r>
      <w:r w:rsidR="00267B76" w:rsidRPr="00C04408">
        <w:t>зменшенні</w:t>
      </w:r>
      <w:r w:rsidR="006B2EF5" w:rsidRPr="00C04408">
        <w:t xml:space="preserve"> на </w:t>
      </w:r>
      <w:r w:rsidR="00380DEB" w:rsidRPr="00C04408">
        <w:t>14</w:t>
      </w:r>
      <w:r w:rsidR="006B2EF5" w:rsidRPr="00C04408">
        <w:t> відсотк</w:t>
      </w:r>
      <w:r w:rsidR="00380DEB" w:rsidRPr="00C04408">
        <w:t>ів</w:t>
      </w:r>
      <w:r w:rsidR="006B2EF5" w:rsidRPr="00C04408">
        <w:t>, що</w:t>
      </w:r>
      <w:r w:rsidR="008B72B0" w:rsidRPr="00C04408">
        <w:t xml:space="preserve"> </w:t>
      </w:r>
      <w:r w:rsidR="0034733D" w:rsidRPr="00C04408">
        <w:t xml:space="preserve">насамперед </w:t>
      </w:r>
      <w:r w:rsidR="008B72B0" w:rsidRPr="00C04408">
        <w:t>пов’язано</w:t>
      </w:r>
      <w:r w:rsidR="0034733D" w:rsidRPr="00C04408">
        <w:t xml:space="preserve"> </w:t>
      </w:r>
      <w:r w:rsidR="006819E3" w:rsidRPr="00C04408">
        <w:t xml:space="preserve">з підвищенням </w:t>
      </w:r>
      <w:r w:rsidR="006B2EF5" w:rsidRPr="00C04408">
        <w:t>індекс</w:t>
      </w:r>
      <w:r w:rsidR="00697FA4" w:rsidRPr="00C04408">
        <w:t>у</w:t>
      </w:r>
      <w:r w:rsidR="006B2EF5" w:rsidRPr="00C04408">
        <w:t xml:space="preserve"> споживчих цін</w:t>
      </w:r>
      <w:r w:rsidR="00697FA4" w:rsidRPr="00C04408">
        <w:t xml:space="preserve">, який </w:t>
      </w:r>
      <w:r w:rsidR="006B2EF5" w:rsidRPr="00C04408">
        <w:t xml:space="preserve">при прогнозованому рівні </w:t>
      </w:r>
      <w:r w:rsidR="006819E3" w:rsidRPr="00C04408">
        <w:t>1</w:t>
      </w:r>
      <w:r w:rsidR="008B72B0" w:rsidRPr="00C04408">
        <w:t>26,7</w:t>
      </w:r>
      <w:r w:rsidR="006B2EF5" w:rsidRPr="00C04408">
        <w:t> відсотк</w:t>
      </w:r>
      <w:r w:rsidR="008B72B0" w:rsidRPr="00C04408">
        <w:t>а</w:t>
      </w:r>
      <w:r w:rsidR="006B2EF5" w:rsidRPr="00C04408">
        <w:t xml:space="preserve"> становив </w:t>
      </w:r>
      <w:r w:rsidR="006819E3" w:rsidRPr="00C04408">
        <w:t>1</w:t>
      </w:r>
      <w:r w:rsidR="008B72B0" w:rsidRPr="00C04408">
        <w:t>43</w:t>
      </w:r>
      <w:r w:rsidR="006819E3" w:rsidRPr="00C04408">
        <w:t>,</w:t>
      </w:r>
      <w:r w:rsidR="008B72B0" w:rsidRPr="00C04408">
        <w:t>3</w:t>
      </w:r>
      <w:r w:rsidR="006B2EF5" w:rsidRPr="00C04408">
        <w:t> відсотка</w:t>
      </w:r>
      <w:r w:rsidR="00EF27DE" w:rsidRPr="00C04408">
        <w:t xml:space="preserve"> </w:t>
      </w:r>
      <w:r w:rsidR="00697FA4" w:rsidRPr="00C04408">
        <w:t>(грудень 2015 року до грудня 2014 року).</w:t>
      </w:r>
    </w:p>
    <w:p w:rsidR="00A50F3D" w:rsidRPr="00C04408" w:rsidRDefault="00453BA2" w:rsidP="00107345">
      <w:pPr>
        <w:spacing w:before="100"/>
        <w:ind w:firstLine="709"/>
        <w:jc w:val="both"/>
      </w:pPr>
      <w:r w:rsidRPr="00C04408">
        <w:t>П</w:t>
      </w:r>
      <w:r w:rsidR="00E200CA" w:rsidRPr="00C04408">
        <w:t xml:space="preserve">ротягом </w:t>
      </w:r>
      <w:r w:rsidR="00EB469C" w:rsidRPr="00C04408">
        <w:t xml:space="preserve">звітного періоду </w:t>
      </w:r>
      <w:r w:rsidR="005C0EB8" w:rsidRPr="00C04408">
        <w:t>прийнято 1</w:t>
      </w:r>
      <w:r w:rsidR="00242F3E" w:rsidRPr="00C04408">
        <w:t>0</w:t>
      </w:r>
      <w:r w:rsidR="005C0EB8" w:rsidRPr="00C04408">
        <w:t> законів</w:t>
      </w:r>
      <w:r w:rsidRPr="00C04408">
        <w:t xml:space="preserve"> про внесення змін до Закону, в</w:t>
      </w:r>
      <w:r w:rsidR="005C0EB8" w:rsidRPr="00C04408">
        <w:t xml:space="preserve">наслідок </w:t>
      </w:r>
      <w:r w:rsidRPr="00C04408">
        <w:t>яких</w:t>
      </w:r>
      <w:r w:rsidR="005C0EB8" w:rsidRPr="00C04408">
        <w:t xml:space="preserve"> </w:t>
      </w:r>
      <w:r w:rsidR="007B2F37" w:rsidRPr="00C04408">
        <w:t>збільшено</w:t>
      </w:r>
      <w:r w:rsidR="006819E3" w:rsidRPr="00C04408">
        <w:t xml:space="preserve"> </w:t>
      </w:r>
      <w:r w:rsidR="00EB469C" w:rsidRPr="00C04408">
        <w:t xml:space="preserve">планові показники державного бюджету: </w:t>
      </w:r>
      <w:r w:rsidR="004B5B2E" w:rsidRPr="00C04408">
        <w:t>загалом</w:t>
      </w:r>
      <w:r w:rsidR="00EB469C" w:rsidRPr="00C04408">
        <w:t xml:space="preserve"> доходи </w:t>
      </w:r>
      <w:r w:rsidR="004D1C76" w:rsidRPr="00C04408">
        <w:t>–</w:t>
      </w:r>
      <w:r w:rsidR="007B396C" w:rsidRPr="00C04408">
        <w:t xml:space="preserve"> </w:t>
      </w:r>
      <w:r w:rsidR="00EB469C" w:rsidRPr="00C04408">
        <w:t xml:space="preserve">на </w:t>
      </w:r>
      <w:r w:rsidR="007B2F37" w:rsidRPr="00C04408">
        <w:t>41,04</w:t>
      </w:r>
      <w:r w:rsidR="005C676E" w:rsidRPr="00C04408">
        <w:t> </w:t>
      </w:r>
      <w:r w:rsidR="00EB469C" w:rsidRPr="00C04408">
        <w:t xml:space="preserve">млрд гривень, видатки </w:t>
      </w:r>
      <w:r w:rsidR="004D1C76" w:rsidRPr="00C04408">
        <w:t>–</w:t>
      </w:r>
      <w:r w:rsidR="007B396C" w:rsidRPr="00C04408">
        <w:t xml:space="preserve"> </w:t>
      </w:r>
      <w:r w:rsidR="00EB469C" w:rsidRPr="00C04408">
        <w:t xml:space="preserve">на </w:t>
      </w:r>
      <w:r w:rsidR="007B2F37" w:rsidRPr="00C04408">
        <w:t>53,87</w:t>
      </w:r>
      <w:r w:rsidR="005C676E" w:rsidRPr="00C04408">
        <w:t> </w:t>
      </w:r>
      <w:r w:rsidR="00EB469C" w:rsidRPr="00C04408">
        <w:t>млрд гривень</w:t>
      </w:r>
      <w:r w:rsidR="006714B3" w:rsidRPr="00C04408">
        <w:t>,</w:t>
      </w:r>
      <w:r w:rsidR="00EB469C" w:rsidRPr="00C04408">
        <w:t xml:space="preserve"> </w:t>
      </w:r>
      <w:r w:rsidR="006714B3" w:rsidRPr="00C04408">
        <w:lastRenderedPageBreak/>
        <w:t xml:space="preserve">повернення кредитів </w:t>
      </w:r>
      <w:r w:rsidR="004D1C76" w:rsidRPr="00C04408">
        <w:t>–</w:t>
      </w:r>
      <w:r w:rsidR="007B396C" w:rsidRPr="00C04408">
        <w:t xml:space="preserve"> </w:t>
      </w:r>
      <w:r w:rsidR="006714B3" w:rsidRPr="00C04408">
        <w:t>на 0,</w:t>
      </w:r>
      <w:r w:rsidR="007B2F37" w:rsidRPr="00C04408">
        <w:t>8</w:t>
      </w:r>
      <w:r w:rsidR="006714B3" w:rsidRPr="00C04408">
        <w:t> млрд гривень</w:t>
      </w:r>
      <w:r w:rsidR="007B396C" w:rsidRPr="00C04408">
        <w:t>,</w:t>
      </w:r>
      <w:r w:rsidR="006714B3" w:rsidRPr="00C04408">
        <w:t xml:space="preserve"> надання кредитів </w:t>
      </w:r>
      <w:r w:rsidR="004D1C76" w:rsidRPr="00C04408">
        <w:t>–</w:t>
      </w:r>
      <w:r w:rsidR="007B396C" w:rsidRPr="00C04408">
        <w:t xml:space="preserve"> </w:t>
      </w:r>
      <w:r w:rsidR="006714B3" w:rsidRPr="00C04408">
        <w:t>на 0,</w:t>
      </w:r>
      <w:r w:rsidR="007B2F37" w:rsidRPr="00C04408">
        <w:t>26</w:t>
      </w:r>
      <w:r w:rsidR="006714B3" w:rsidRPr="00C04408">
        <w:t> млрд гривень,</w:t>
      </w:r>
      <w:r w:rsidR="006714B3" w:rsidRPr="00C04408">
        <w:rPr>
          <w:color w:val="0000FF"/>
        </w:rPr>
        <w:t xml:space="preserve"> </w:t>
      </w:r>
      <w:r w:rsidR="00267B76" w:rsidRPr="00C04408">
        <w:t xml:space="preserve">граничний обсяг </w:t>
      </w:r>
      <w:r w:rsidR="006714B3" w:rsidRPr="00C04408">
        <w:t>дефіцит</w:t>
      </w:r>
      <w:r w:rsidR="00267B76" w:rsidRPr="00C04408">
        <w:t>у</w:t>
      </w:r>
      <w:r w:rsidR="006714B3" w:rsidRPr="00C04408">
        <w:t xml:space="preserve"> </w:t>
      </w:r>
      <w:r w:rsidR="004D1C76" w:rsidRPr="00C04408">
        <w:t>–</w:t>
      </w:r>
      <w:r w:rsidR="007B396C" w:rsidRPr="00C04408">
        <w:t xml:space="preserve"> </w:t>
      </w:r>
      <w:r w:rsidR="006714B3" w:rsidRPr="00C04408">
        <w:t>на</w:t>
      </w:r>
      <w:r w:rsidR="006714B3" w:rsidRPr="00C04408">
        <w:rPr>
          <w:color w:val="0000FF"/>
        </w:rPr>
        <w:t xml:space="preserve"> </w:t>
      </w:r>
      <w:r w:rsidR="007B2F37" w:rsidRPr="00C04408">
        <w:t>12,</w:t>
      </w:r>
      <w:r w:rsidR="00161C64" w:rsidRPr="00C04408">
        <w:t>29</w:t>
      </w:r>
      <w:r w:rsidR="006714B3" w:rsidRPr="00C04408">
        <w:t> млрд гривень</w:t>
      </w:r>
      <w:r w:rsidR="00EB469C" w:rsidRPr="00C04408">
        <w:t>.</w:t>
      </w:r>
      <w:r w:rsidR="00053F71" w:rsidRPr="00C04408">
        <w:t xml:space="preserve"> </w:t>
      </w:r>
    </w:p>
    <w:p w:rsidR="00340799" w:rsidRPr="00C04408" w:rsidRDefault="00340799" w:rsidP="00107345">
      <w:pPr>
        <w:spacing w:before="100"/>
        <w:ind w:firstLine="709"/>
        <w:jc w:val="both"/>
      </w:pPr>
      <w:bookmarkStart w:id="3" w:name="n6"/>
      <w:bookmarkStart w:id="4" w:name="n7"/>
      <w:bookmarkStart w:id="5" w:name="n8"/>
      <w:bookmarkEnd w:id="3"/>
      <w:bookmarkEnd w:id="4"/>
      <w:bookmarkEnd w:id="5"/>
      <w:r w:rsidRPr="00C04408">
        <w:t xml:space="preserve">Загалом через зведений бюджет України у </w:t>
      </w:r>
      <w:r w:rsidR="008773BF" w:rsidRPr="00C04408">
        <w:t>201</w:t>
      </w:r>
      <w:r w:rsidR="00A94AB3" w:rsidRPr="00C04408">
        <w:t>5</w:t>
      </w:r>
      <w:r w:rsidR="005C676E" w:rsidRPr="00C04408">
        <w:t> </w:t>
      </w:r>
      <w:r w:rsidRPr="00C04408">
        <w:t>році</w:t>
      </w:r>
      <w:r w:rsidR="000F40CD" w:rsidRPr="00C04408">
        <w:t>,</w:t>
      </w:r>
      <w:r w:rsidRPr="00C04408">
        <w:t xml:space="preserve"> за </w:t>
      </w:r>
      <w:r w:rsidR="00355FAF" w:rsidRPr="00C04408">
        <w:t>попередніми</w:t>
      </w:r>
      <w:r w:rsidRPr="00C04408">
        <w:t xml:space="preserve"> даними</w:t>
      </w:r>
      <w:r w:rsidR="000F40CD" w:rsidRPr="00C04408">
        <w:t>,</w:t>
      </w:r>
      <w:r w:rsidRPr="00C04408">
        <w:t xml:space="preserve"> перерозподілено </w:t>
      </w:r>
      <w:r w:rsidR="00A94AB3" w:rsidRPr="00C04408">
        <w:t>32,9</w:t>
      </w:r>
      <w:r w:rsidR="005C676E" w:rsidRPr="00C04408">
        <w:t> </w:t>
      </w:r>
      <w:r w:rsidRPr="00C04408">
        <w:t xml:space="preserve">відсотка валового </w:t>
      </w:r>
      <w:r w:rsidR="00B44756" w:rsidRPr="00C04408">
        <w:t xml:space="preserve">внутрішнього продукту </w:t>
      </w:r>
      <w:r w:rsidR="0025376E" w:rsidRPr="00C04408">
        <w:t>(</w:t>
      </w:r>
      <w:r w:rsidR="00A94AB3" w:rsidRPr="00C04408">
        <w:t>у</w:t>
      </w:r>
      <w:r w:rsidR="0025376E" w:rsidRPr="00C04408">
        <w:t xml:space="preserve"> </w:t>
      </w:r>
      <w:r w:rsidR="00016AF9" w:rsidRPr="00C04408">
        <w:t>201</w:t>
      </w:r>
      <w:r w:rsidR="00A94AB3" w:rsidRPr="00C04408">
        <w:t>4</w:t>
      </w:r>
      <w:r w:rsidR="005C676E" w:rsidRPr="00C04408">
        <w:t> </w:t>
      </w:r>
      <w:r w:rsidRPr="00C04408">
        <w:t>ро</w:t>
      </w:r>
      <w:r w:rsidR="00A94AB3" w:rsidRPr="00C04408">
        <w:t>ці – 28,7 відсотка</w:t>
      </w:r>
      <w:r w:rsidR="0025376E" w:rsidRPr="00C04408">
        <w:t>)</w:t>
      </w:r>
      <w:r w:rsidRPr="00C04408">
        <w:t>.</w:t>
      </w:r>
    </w:p>
    <w:p w:rsidR="00532FF2" w:rsidRPr="00C04408" w:rsidRDefault="00340799" w:rsidP="00107345">
      <w:pPr>
        <w:spacing w:before="100"/>
        <w:ind w:firstLine="709"/>
        <w:jc w:val="both"/>
      </w:pPr>
      <w:bookmarkStart w:id="6" w:name="n9"/>
      <w:bookmarkEnd w:id="6"/>
      <w:r w:rsidRPr="00C04408">
        <w:t xml:space="preserve">Доходи </w:t>
      </w:r>
      <w:hyperlink r:id="rId10" w:tgtFrame="_blank" w:history="1">
        <w:r w:rsidRPr="00C04408">
          <w:t xml:space="preserve">Державного бюджету України за </w:t>
        </w:r>
        <w:r w:rsidR="008773BF" w:rsidRPr="00C04408">
          <w:t>201</w:t>
        </w:r>
        <w:r w:rsidR="00A94AB3" w:rsidRPr="00C04408">
          <w:t>5</w:t>
        </w:r>
        <w:r w:rsidR="009E5825" w:rsidRPr="00C04408">
          <w:t> </w:t>
        </w:r>
        <w:r w:rsidRPr="00C04408">
          <w:t>рік</w:t>
        </w:r>
      </w:hyperlink>
      <w:r w:rsidR="00EE12A6" w:rsidRPr="00C04408">
        <w:t xml:space="preserve"> становили </w:t>
      </w:r>
      <w:r w:rsidR="00D54126" w:rsidRPr="00C04408">
        <w:t>534,7</w:t>
      </w:r>
      <w:r w:rsidR="009E5825" w:rsidRPr="00C04408">
        <w:t> </w:t>
      </w:r>
      <w:r w:rsidRPr="00C04408">
        <w:t xml:space="preserve">млрд гривень, або </w:t>
      </w:r>
      <w:r w:rsidR="00D54126" w:rsidRPr="00C04408">
        <w:t>103,4</w:t>
      </w:r>
      <w:r w:rsidR="009E5825" w:rsidRPr="00C04408">
        <w:t> </w:t>
      </w:r>
      <w:r w:rsidRPr="00C04408">
        <w:t>відсотка затверджених із змінами показників</w:t>
      </w:r>
      <w:r w:rsidR="003E7E16" w:rsidRPr="00C04408">
        <w:t xml:space="preserve">, та </w:t>
      </w:r>
      <w:r w:rsidR="00366654" w:rsidRPr="00C04408">
        <w:t>збільшилися</w:t>
      </w:r>
      <w:r w:rsidR="003E7E16" w:rsidRPr="00C04408">
        <w:t xml:space="preserve"> порівняно з 201</w:t>
      </w:r>
      <w:r w:rsidR="00AC04FA" w:rsidRPr="00C04408">
        <w:t>4</w:t>
      </w:r>
      <w:r w:rsidR="003E7E16" w:rsidRPr="00C04408">
        <w:t xml:space="preserve"> роком на </w:t>
      </w:r>
      <w:r w:rsidR="001F116D" w:rsidRPr="00C04408">
        <w:t>17</w:t>
      </w:r>
      <w:r w:rsidR="001B0E61" w:rsidRPr="00C04408">
        <w:t>7,</w:t>
      </w:r>
      <w:r w:rsidR="001F116D" w:rsidRPr="00C04408">
        <w:t>6</w:t>
      </w:r>
      <w:r w:rsidR="003E7E16" w:rsidRPr="00C04408">
        <w:t> млрд гривень</w:t>
      </w:r>
      <w:r w:rsidR="00F612FA" w:rsidRPr="00C04408">
        <w:t xml:space="preserve"> (або на 49,7 відсотка)</w:t>
      </w:r>
      <w:r w:rsidRPr="00C04408">
        <w:t xml:space="preserve">. </w:t>
      </w:r>
      <w:r w:rsidR="00251D20" w:rsidRPr="00C04408">
        <w:t>За висновком Рахункової палати</w:t>
      </w:r>
      <w:r w:rsidR="000F40CD" w:rsidRPr="00C04408">
        <w:t xml:space="preserve">, </w:t>
      </w:r>
      <w:r w:rsidR="003E41A0" w:rsidRPr="00C04408">
        <w:t xml:space="preserve">в умовах економічного спаду </w:t>
      </w:r>
      <w:r w:rsidR="000F40CD" w:rsidRPr="00C04408">
        <w:t xml:space="preserve">перевищення планових показників доходів державного бюджету </w:t>
      </w:r>
      <w:r w:rsidR="002D1DEE" w:rsidRPr="00C04408">
        <w:t xml:space="preserve">забезпечено насамперед </w:t>
      </w:r>
      <w:r w:rsidR="000F40CD" w:rsidRPr="00C04408">
        <w:t>за рахунок інфляційного чинника і незапланованих надходжень</w:t>
      </w:r>
      <w:r w:rsidR="009C6506" w:rsidRPr="00C04408">
        <w:t xml:space="preserve">, а </w:t>
      </w:r>
      <w:r w:rsidR="00491AAB" w:rsidRPr="00C04408">
        <w:t>істотний</w:t>
      </w:r>
      <w:r w:rsidR="009C6506" w:rsidRPr="00C04408">
        <w:t xml:space="preserve"> приріст доходів проти попереднього року обумовлений </w:t>
      </w:r>
      <w:r w:rsidR="001E0178" w:rsidRPr="00C04408">
        <w:t xml:space="preserve">значною девальвацією гривні, зростанням цін, </w:t>
      </w:r>
      <w:r w:rsidR="009C6506" w:rsidRPr="00C04408">
        <w:t>змінами податкового і бюджетного законодавства</w:t>
      </w:r>
      <w:r w:rsidR="001E0178" w:rsidRPr="00C04408">
        <w:t xml:space="preserve"> щодо запровадження нових платежів, підвищення ставок і збільшення нормативів зарахування до державного бюджету за окремими податками</w:t>
      </w:r>
      <w:r w:rsidR="003E41A0" w:rsidRPr="00C04408">
        <w:t>.</w:t>
      </w:r>
      <w:r w:rsidR="00251D20" w:rsidRPr="00C04408">
        <w:t xml:space="preserve"> </w:t>
      </w:r>
    </w:p>
    <w:p w:rsidR="00A25DE7" w:rsidRPr="00C04408" w:rsidRDefault="00090BE5" w:rsidP="00107345">
      <w:pPr>
        <w:spacing w:before="100"/>
        <w:ind w:firstLine="709"/>
        <w:jc w:val="both"/>
      </w:pPr>
      <w:r w:rsidRPr="00C04408">
        <w:t>При цьому д</w:t>
      </w:r>
      <w:r w:rsidR="00F612FA" w:rsidRPr="00C04408">
        <w:t>оходи загального фонду державного бюджету надійшли в обсязі 503,8 млрд гривень, що становило 102,4 відсотка затверджених із змінами показників, або більше на 12 млрд гривень</w:t>
      </w:r>
      <w:r w:rsidRPr="00C04408">
        <w:t>, при тому що відповідні планові показники були збільшені на 39,9 млрд гривень</w:t>
      </w:r>
      <w:r w:rsidR="00F612FA" w:rsidRPr="00C04408">
        <w:t>.</w:t>
      </w:r>
      <w:r w:rsidR="00DF3E50" w:rsidRPr="00C04408">
        <w:t xml:space="preserve"> </w:t>
      </w:r>
    </w:p>
    <w:p w:rsidR="00DF3E50" w:rsidRPr="00C04408" w:rsidRDefault="00DF3E50" w:rsidP="00107345">
      <w:pPr>
        <w:spacing w:before="100"/>
        <w:ind w:firstLine="709"/>
        <w:jc w:val="both"/>
      </w:pPr>
      <w:r w:rsidRPr="00C04408">
        <w:t>Загалом, на перевиконання затверджених із змінами показників на 2015 рік вплинуло значне понадпланове надходження окремих доходів</w:t>
      </w:r>
      <w:r w:rsidR="007C0F6E" w:rsidRPr="00C04408">
        <w:t xml:space="preserve"> загального фонду державного бюджету</w:t>
      </w:r>
      <w:r w:rsidRPr="00C04408">
        <w:t>, зокрема:</w:t>
      </w:r>
      <w:r w:rsidR="009A2334" w:rsidRPr="00C04408">
        <w:t xml:space="preserve"> </w:t>
      </w:r>
      <w:r w:rsidRPr="00C04408">
        <w:t>плати за видачу, переоформлення, продовження терміну дії ліцензій на користування радіочастотним ресурсом України та видачу дублікатів таких ліцензій (</w:t>
      </w:r>
      <w:r w:rsidR="00410FA3" w:rsidRPr="00C04408">
        <w:t xml:space="preserve">перевиконано на </w:t>
      </w:r>
      <w:r w:rsidRPr="00C04408">
        <w:t>8</w:t>
      </w:r>
      <w:r w:rsidR="009A2334" w:rsidRPr="00C04408">
        <w:t>,9</w:t>
      </w:r>
      <w:r w:rsidRPr="00C04408">
        <w:t> мл</w:t>
      </w:r>
      <w:r w:rsidR="009A2334" w:rsidRPr="00C04408">
        <w:t>рд</w:t>
      </w:r>
      <w:r w:rsidRPr="00C04408">
        <w:t xml:space="preserve"> гр</w:t>
      </w:r>
      <w:r w:rsidR="009A2334" w:rsidRPr="00C04408">
        <w:t xml:space="preserve">ивень); </w:t>
      </w:r>
      <w:r w:rsidRPr="00C04408">
        <w:t>частини чистого прибутку державних унітарних підприємств та їх об'єднань, що вилучається до бюджету, та дивідендів, нарахованих на акції (частки, паї) господарських товариств, у статутних капіталах яких є державна власність (</w:t>
      </w:r>
      <w:r w:rsidR="00410FA3" w:rsidRPr="00C04408">
        <w:t xml:space="preserve">перевиконано на </w:t>
      </w:r>
      <w:r w:rsidRPr="00C04408">
        <w:t>2</w:t>
      </w:r>
      <w:r w:rsidR="009A2334" w:rsidRPr="00C04408">
        <w:t>,5</w:t>
      </w:r>
      <w:r w:rsidRPr="00C04408">
        <w:t> мл</w:t>
      </w:r>
      <w:r w:rsidR="009A2334" w:rsidRPr="00C04408">
        <w:t>рд</w:t>
      </w:r>
      <w:r w:rsidRPr="00C04408">
        <w:t xml:space="preserve"> гр</w:t>
      </w:r>
      <w:r w:rsidR="009A2334" w:rsidRPr="00C04408">
        <w:t>ивень</w:t>
      </w:r>
      <w:r w:rsidRPr="00C04408">
        <w:t>);</w:t>
      </w:r>
      <w:r w:rsidR="009A2334" w:rsidRPr="00C04408">
        <w:t xml:space="preserve"> </w:t>
      </w:r>
      <w:r w:rsidRPr="00C04408">
        <w:t xml:space="preserve">податку та збору на доходи фізичних осіб </w:t>
      </w:r>
      <w:r w:rsidR="009A2334" w:rsidRPr="00C04408">
        <w:t>(</w:t>
      </w:r>
      <w:r w:rsidR="00410FA3" w:rsidRPr="00C04408">
        <w:t xml:space="preserve">перевиконано </w:t>
      </w:r>
      <w:r w:rsidR="00697FA4" w:rsidRPr="00C04408">
        <w:t xml:space="preserve">майже </w:t>
      </w:r>
      <w:r w:rsidR="00410FA3" w:rsidRPr="00C04408">
        <w:t xml:space="preserve">на </w:t>
      </w:r>
      <w:r w:rsidR="009A2334" w:rsidRPr="00C04408">
        <w:t>2,5 млрд гривень)</w:t>
      </w:r>
      <w:r w:rsidRPr="00C04408">
        <w:t>;</w:t>
      </w:r>
      <w:r w:rsidR="009A2334" w:rsidRPr="00C04408">
        <w:t xml:space="preserve"> </w:t>
      </w:r>
      <w:r w:rsidRPr="00C04408">
        <w:t xml:space="preserve">ввізного мита </w:t>
      </w:r>
      <w:r w:rsidR="009A2334" w:rsidRPr="00C04408">
        <w:t>(</w:t>
      </w:r>
      <w:r w:rsidR="00410FA3" w:rsidRPr="00C04408">
        <w:t xml:space="preserve">перевиконано </w:t>
      </w:r>
      <w:r w:rsidR="00697FA4" w:rsidRPr="00C04408">
        <w:t xml:space="preserve">майже </w:t>
      </w:r>
      <w:r w:rsidR="00410FA3" w:rsidRPr="00C04408">
        <w:t xml:space="preserve">на </w:t>
      </w:r>
      <w:r w:rsidR="009A2334" w:rsidRPr="00C04408">
        <w:t>2,5 млрд гривень)</w:t>
      </w:r>
      <w:r w:rsidRPr="00C04408">
        <w:t>;</w:t>
      </w:r>
      <w:r w:rsidR="009A2334" w:rsidRPr="00C04408">
        <w:t xml:space="preserve"> </w:t>
      </w:r>
      <w:r w:rsidRPr="00C04408">
        <w:t>акцизного податку з вироблених в Україні підакцизних товарів (продукції) (</w:t>
      </w:r>
      <w:r w:rsidR="00410FA3" w:rsidRPr="00C04408">
        <w:t xml:space="preserve">перевиконано </w:t>
      </w:r>
      <w:r w:rsidR="001E4CBC" w:rsidRPr="00C04408">
        <w:t xml:space="preserve">майже </w:t>
      </w:r>
      <w:r w:rsidR="00410FA3" w:rsidRPr="00C04408">
        <w:t xml:space="preserve">на </w:t>
      </w:r>
      <w:r w:rsidRPr="00C04408">
        <w:t>2</w:t>
      </w:r>
      <w:r w:rsidR="009A2334" w:rsidRPr="00C04408">
        <w:t>,3 </w:t>
      </w:r>
      <w:r w:rsidRPr="00C04408">
        <w:t>мл</w:t>
      </w:r>
      <w:r w:rsidR="009A2334" w:rsidRPr="00C04408">
        <w:t>рд</w:t>
      </w:r>
      <w:r w:rsidRPr="00C04408">
        <w:t xml:space="preserve"> гр</w:t>
      </w:r>
      <w:r w:rsidR="009A2334" w:rsidRPr="00C04408">
        <w:t>ивень</w:t>
      </w:r>
      <w:r w:rsidRPr="00C04408">
        <w:t>);</w:t>
      </w:r>
      <w:r w:rsidR="009A2334" w:rsidRPr="00C04408">
        <w:t xml:space="preserve"> податку на додану вартість </w:t>
      </w:r>
      <w:r w:rsidRPr="00C04408">
        <w:t>з вироблених в Україні товарів</w:t>
      </w:r>
      <w:r w:rsidR="00B64B5F" w:rsidRPr="00C04408">
        <w:t xml:space="preserve"> (робіт, послуг)</w:t>
      </w:r>
      <w:r w:rsidRPr="00C04408">
        <w:t xml:space="preserve"> (</w:t>
      </w:r>
      <w:r w:rsidR="00410FA3" w:rsidRPr="00C04408">
        <w:t xml:space="preserve">перевиконано на </w:t>
      </w:r>
      <w:r w:rsidRPr="00C04408">
        <w:t>2 мл</w:t>
      </w:r>
      <w:r w:rsidR="009A2334" w:rsidRPr="00C04408">
        <w:t>рд гривень</w:t>
      </w:r>
      <w:r w:rsidRPr="00C04408">
        <w:t>);</w:t>
      </w:r>
      <w:r w:rsidR="009A2334" w:rsidRPr="00C04408">
        <w:t xml:space="preserve"> </w:t>
      </w:r>
      <w:r w:rsidRPr="00C04408">
        <w:t xml:space="preserve">коштів, що перераховуються Національним банком України відповідно до Закону України </w:t>
      </w:r>
      <w:r w:rsidR="009A2334" w:rsidRPr="00C04408">
        <w:t>«</w:t>
      </w:r>
      <w:r w:rsidRPr="00C04408">
        <w:t>Про Національний банк України</w:t>
      </w:r>
      <w:r w:rsidR="009A2334" w:rsidRPr="00C04408">
        <w:t>»</w:t>
      </w:r>
      <w:r w:rsidRPr="00C04408">
        <w:t xml:space="preserve"> (</w:t>
      </w:r>
      <w:r w:rsidR="00410FA3" w:rsidRPr="00C04408">
        <w:t xml:space="preserve">перевиконано на </w:t>
      </w:r>
      <w:r w:rsidRPr="00C04408">
        <w:t>1</w:t>
      </w:r>
      <w:r w:rsidR="009A2334" w:rsidRPr="00C04408">
        <w:t>,3</w:t>
      </w:r>
      <w:r w:rsidRPr="00C04408">
        <w:t> мл</w:t>
      </w:r>
      <w:r w:rsidR="009A2334" w:rsidRPr="00C04408">
        <w:t>рд</w:t>
      </w:r>
      <w:r w:rsidRPr="00C04408">
        <w:t xml:space="preserve"> гр</w:t>
      </w:r>
      <w:r w:rsidR="009A2334" w:rsidRPr="00C04408">
        <w:t>ивень</w:t>
      </w:r>
      <w:r w:rsidR="00697FA4" w:rsidRPr="00C04408">
        <w:t>).</w:t>
      </w:r>
    </w:p>
    <w:p w:rsidR="00DF3E50" w:rsidRPr="00C04408" w:rsidRDefault="00DF3E50" w:rsidP="00107345">
      <w:pPr>
        <w:spacing w:before="100"/>
        <w:ind w:firstLine="709"/>
        <w:jc w:val="both"/>
      </w:pPr>
      <w:r w:rsidRPr="00C04408">
        <w:t xml:space="preserve">Разом з тим, відбулося невиконання затверджених із змінами показників окремих доходів </w:t>
      </w:r>
      <w:r w:rsidR="007C0F6E" w:rsidRPr="00C04408">
        <w:t>загального фонду державного бюджету</w:t>
      </w:r>
      <w:r w:rsidRPr="00C04408">
        <w:t>, зокрема: рентної плати за користування надрами для видобування нафти (</w:t>
      </w:r>
      <w:r w:rsidR="007348DB" w:rsidRPr="00C04408">
        <w:t xml:space="preserve">недоотримано </w:t>
      </w:r>
      <w:r w:rsidRPr="00C04408">
        <w:t>3</w:t>
      </w:r>
      <w:r w:rsidR="007348DB" w:rsidRPr="00C04408">
        <w:t>,3</w:t>
      </w:r>
      <w:r w:rsidRPr="00C04408">
        <w:t> мл</w:t>
      </w:r>
      <w:r w:rsidR="007348DB" w:rsidRPr="00C04408">
        <w:t xml:space="preserve">рд </w:t>
      </w:r>
      <w:r w:rsidRPr="00C04408">
        <w:t>гр</w:t>
      </w:r>
      <w:r w:rsidR="007348DB" w:rsidRPr="00C04408">
        <w:t>ивень</w:t>
      </w:r>
      <w:r w:rsidRPr="00C04408">
        <w:t>); надходжень в рамках програм допомоги Європейського Союзу (</w:t>
      </w:r>
      <w:r w:rsidR="007348DB" w:rsidRPr="00C04408">
        <w:t>недоотримано 2,8</w:t>
      </w:r>
      <w:r w:rsidRPr="00C04408">
        <w:t> мл</w:t>
      </w:r>
      <w:r w:rsidR="007348DB" w:rsidRPr="00C04408">
        <w:t xml:space="preserve">рд </w:t>
      </w:r>
      <w:r w:rsidRPr="00C04408">
        <w:t>гр</w:t>
      </w:r>
      <w:r w:rsidR="007348DB" w:rsidRPr="00C04408">
        <w:t>ивень</w:t>
      </w:r>
      <w:r w:rsidRPr="00C04408">
        <w:t>); податку на прибуток підприємств (</w:t>
      </w:r>
      <w:r w:rsidR="007348DB" w:rsidRPr="00C04408">
        <w:t>недоотримано 2,</w:t>
      </w:r>
      <w:r w:rsidRPr="00C04408">
        <w:t>1</w:t>
      </w:r>
      <w:r w:rsidR="007348DB" w:rsidRPr="00C04408">
        <w:t> </w:t>
      </w:r>
      <w:r w:rsidRPr="00C04408">
        <w:t>мл</w:t>
      </w:r>
      <w:r w:rsidR="007348DB" w:rsidRPr="00C04408">
        <w:t>рд</w:t>
      </w:r>
      <w:r w:rsidRPr="00C04408">
        <w:t> гр</w:t>
      </w:r>
      <w:r w:rsidR="007348DB" w:rsidRPr="00C04408">
        <w:t>ивень</w:t>
      </w:r>
      <w:r w:rsidRPr="00C04408">
        <w:t xml:space="preserve">); рентної плати за </w:t>
      </w:r>
      <w:r w:rsidRPr="00C04408">
        <w:lastRenderedPageBreak/>
        <w:t>користування надрами для видобування природного газу (</w:t>
      </w:r>
      <w:r w:rsidR="007348DB" w:rsidRPr="00C04408">
        <w:t xml:space="preserve">недоотримано </w:t>
      </w:r>
      <w:r w:rsidRPr="00C04408">
        <w:t>1</w:t>
      </w:r>
      <w:r w:rsidR="007348DB" w:rsidRPr="00C04408">
        <w:t>,5</w:t>
      </w:r>
      <w:r w:rsidRPr="00C04408">
        <w:t> мл</w:t>
      </w:r>
      <w:r w:rsidR="007348DB" w:rsidRPr="00C04408">
        <w:t>рд</w:t>
      </w:r>
      <w:r w:rsidRPr="00C04408">
        <w:t> гр</w:t>
      </w:r>
      <w:r w:rsidR="007348DB" w:rsidRPr="00C04408">
        <w:t>ивень</w:t>
      </w:r>
      <w:r w:rsidRPr="00C04408">
        <w:t>).</w:t>
      </w:r>
    </w:p>
    <w:p w:rsidR="00155FE4" w:rsidRPr="00C04408" w:rsidRDefault="00340799" w:rsidP="00107345">
      <w:pPr>
        <w:spacing w:before="100"/>
        <w:ind w:firstLine="709"/>
        <w:jc w:val="both"/>
      </w:pPr>
      <w:bookmarkStart w:id="7" w:name="n10"/>
      <w:bookmarkEnd w:id="7"/>
      <w:r w:rsidRPr="00C04408">
        <w:t xml:space="preserve">Встановлений </w:t>
      </w:r>
      <w:hyperlink r:id="rId11" w:tgtFrame="_blank" w:history="1">
        <w:r w:rsidRPr="00C04408">
          <w:t>Законом</w:t>
        </w:r>
      </w:hyperlink>
      <w:r w:rsidRPr="00C04408">
        <w:t xml:space="preserve"> обсяг доходів спеціального фонду державного бюджету на </w:t>
      </w:r>
      <w:r w:rsidR="008773BF" w:rsidRPr="00C04408">
        <w:t>201</w:t>
      </w:r>
      <w:r w:rsidR="004F3CA2" w:rsidRPr="00C04408">
        <w:t>5</w:t>
      </w:r>
      <w:r w:rsidR="00524AB4" w:rsidRPr="00C04408">
        <w:t> </w:t>
      </w:r>
      <w:r w:rsidRPr="00C04408">
        <w:t xml:space="preserve">рік </w:t>
      </w:r>
      <w:r w:rsidR="004F3CA2" w:rsidRPr="00C04408">
        <w:t>перевиконано</w:t>
      </w:r>
      <w:r w:rsidRPr="00C04408">
        <w:t xml:space="preserve"> на </w:t>
      </w:r>
      <w:r w:rsidR="004F3CA2" w:rsidRPr="00C04408">
        <w:t>5,7</w:t>
      </w:r>
      <w:r w:rsidR="00A22DFE" w:rsidRPr="00C04408">
        <w:t> млрд гривень</w:t>
      </w:r>
      <w:r w:rsidRPr="00C04408">
        <w:t xml:space="preserve">, або на </w:t>
      </w:r>
      <w:r w:rsidR="004F3CA2" w:rsidRPr="00C04408">
        <w:t>22,7</w:t>
      </w:r>
      <w:r w:rsidR="00A22DFE" w:rsidRPr="00C04408">
        <w:t> відсотка</w:t>
      </w:r>
      <w:r w:rsidRPr="00C04408">
        <w:t xml:space="preserve"> </w:t>
      </w:r>
      <w:r w:rsidR="00A93B52" w:rsidRPr="00C04408">
        <w:t xml:space="preserve">переважно </w:t>
      </w:r>
      <w:r w:rsidRPr="00C04408">
        <w:t>за рахунок</w:t>
      </w:r>
      <w:r w:rsidR="00337D27" w:rsidRPr="00C04408">
        <w:t xml:space="preserve"> </w:t>
      </w:r>
      <w:r w:rsidR="00155FE4" w:rsidRPr="00C04408">
        <w:t>інших джерел власних надходжень бюджетних установ (</w:t>
      </w:r>
      <w:r w:rsidR="00615C9D" w:rsidRPr="00C04408">
        <w:t>перевиконано на</w:t>
      </w:r>
      <w:r w:rsidR="00155FE4" w:rsidRPr="00C04408">
        <w:t xml:space="preserve"> 7,7 млрд гр</w:t>
      </w:r>
      <w:r w:rsidR="00410FA3" w:rsidRPr="00C04408">
        <w:t>ивень</w:t>
      </w:r>
      <w:r w:rsidR="00155FE4" w:rsidRPr="00C04408">
        <w:t xml:space="preserve"> або майже у 68,2 </w:t>
      </w:r>
      <w:proofErr w:type="spellStart"/>
      <w:r w:rsidR="00155FE4" w:rsidRPr="00C04408">
        <w:t>раз</w:t>
      </w:r>
      <w:r w:rsidR="00B64B5F" w:rsidRPr="00C04408">
        <w:t>а</w:t>
      </w:r>
      <w:proofErr w:type="spellEnd"/>
      <w:r w:rsidR="00155FE4" w:rsidRPr="00C04408">
        <w:t>) та судового збору (</w:t>
      </w:r>
      <w:r w:rsidR="00615C9D" w:rsidRPr="00C04408">
        <w:t xml:space="preserve">перевиконано на </w:t>
      </w:r>
      <w:r w:rsidR="00155FE4" w:rsidRPr="00C04408">
        <w:t>0,7 млрд гривень або на 76,6</w:t>
      </w:r>
      <w:r w:rsidR="00615C9D" w:rsidRPr="00C04408">
        <w:t> відсотка</w:t>
      </w:r>
      <w:r w:rsidR="00155FE4" w:rsidRPr="00C04408">
        <w:t>)</w:t>
      </w:r>
      <w:r w:rsidR="00615C9D" w:rsidRPr="00C04408">
        <w:t>.</w:t>
      </w:r>
    </w:p>
    <w:p w:rsidR="003751A5" w:rsidRPr="00C04408" w:rsidRDefault="00237D1F" w:rsidP="00107345">
      <w:pPr>
        <w:spacing w:before="100"/>
        <w:ind w:firstLine="709"/>
        <w:jc w:val="both"/>
      </w:pPr>
      <w:r w:rsidRPr="00C04408">
        <w:t>На стан відшкодування з державного бюджету податку на додану вартість у 2015 році вплинуло запровадженням системи електронного адміністрування цього податку: загалом в</w:t>
      </w:r>
      <w:r w:rsidR="00524AB4" w:rsidRPr="00C04408">
        <w:t xml:space="preserve">ідшкодовано </w:t>
      </w:r>
      <w:r w:rsidR="00350B5C" w:rsidRPr="00C04408">
        <w:t>68,4</w:t>
      </w:r>
      <w:r w:rsidR="00884EEA" w:rsidRPr="00C04408">
        <w:t> </w:t>
      </w:r>
      <w:r w:rsidR="00524AB4" w:rsidRPr="00C04408">
        <w:t>млрд гривень</w:t>
      </w:r>
      <w:r w:rsidRPr="00C04408">
        <w:t xml:space="preserve">, що </w:t>
      </w:r>
      <w:r w:rsidR="00350B5C" w:rsidRPr="00C04408">
        <w:t xml:space="preserve">більше </w:t>
      </w:r>
      <w:r w:rsidR="00062AD8" w:rsidRPr="00C04408">
        <w:t>затверджено</w:t>
      </w:r>
      <w:r w:rsidR="003751A5" w:rsidRPr="00C04408">
        <w:t>го</w:t>
      </w:r>
      <w:r w:rsidR="00062AD8" w:rsidRPr="00C04408">
        <w:t xml:space="preserve"> показник</w:t>
      </w:r>
      <w:r w:rsidR="003751A5" w:rsidRPr="00C04408">
        <w:t xml:space="preserve">а </w:t>
      </w:r>
      <w:r w:rsidR="003C22EF" w:rsidRPr="00C04408">
        <w:t xml:space="preserve">на </w:t>
      </w:r>
      <w:r w:rsidR="00350B5C" w:rsidRPr="00C04408">
        <w:t>3,3</w:t>
      </w:r>
      <w:r w:rsidR="00062AD8" w:rsidRPr="00C04408">
        <w:t> млрд гривень</w:t>
      </w:r>
      <w:r w:rsidRPr="00C04408">
        <w:t xml:space="preserve"> та </w:t>
      </w:r>
      <w:r w:rsidR="00EB4662" w:rsidRPr="00C04408">
        <w:t xml:space="preserve">фактичного </w:t>
      </w:r>
      <w:r w:rsidR="00A148F9" w:rsidRPr="00C04408">
        <w:t>показника 201</w:t>
      </w:r>
      <w:r w:rsidR="00350B5C" w:rsidRPr="00C04408">
        <w:t>4</w:t>
      </w:r>
      <w:r w:rsidR="00A148F9" w:rsidRPr="00C04408">
        <w:t xml:space="preserve"> року на </w:t>
      </w:r>
      <w:r w:rsidR="00350B5C" w:rsidRPr="00C04408">
        <w:t>18</w:t>
      </w:r>
      <w:r w:rsidR="00A148F9" w:rsidRPr="00C04408">
        <w:t>,2 млрд гривень</w:t>
      </w:r>
      <w:r w:rsidRPr="00C04408">
        <w:t>.</w:t>
      </w:r>
      <w:r w:rsidR="00350B5C" w:rsidRPr="00C04408">
        <w:t xml:space="preserve"> Незважаючи на це, о</w:t>
      </w:r>
      <w:r w:rsidR="008E3666" w:rsidRPr="00C04408">
        <w:t xml:space="preserve">бсяг невідшкодованих сум податку на додану вартість </w:t>
      </w:r>
      <w:r w:rsidR="007E7E57" w:rsidRPr="00C04408">
        <w:t>істотно</w:t>
      </w:r>
      <w:r w:rsidR="00350B5C" w:rsidRPr="00C04408">
        <w:t xml:space="preserve"> не змінився та </w:t>
      </w:r>
      <w:r w:rsidR="008E3666" w:rsidRPr="00C04408">
        <w:t>на 1 січня 201</w:t>
      </w:r>
      <w:r w:rsidR="00350B5C" w:rsidRPr="00C04408">
        <w:t>6</w:t>
      </w:r>
      <w:r w:rsidR="008E3666" w:rsidRPr="00C04408">
        <w:t xml:space="preserve"> року </w:t>
      </w:r>
      <w:r w:rsidR="00E54202" w:rsidRPr="00C04408">
        <w:t xml:space="preserve">становив </w:t>
      </w:r>
      <w:r w:rsidR="00350B5C" w:rsidRPr="00C04408">
        <w:t>12,9</w:t>
      </w:r>
      <w:r w:rsidR="00E54202" w:rsidRPr="00C04408">
        <w:t xml:space="preserve"> млрд гривень. </w:t>
      </w:r>
    </w:p>
    <w:p w:rsidR="00380CDB" w:rsidRPr="00C04408" w:rsidRDefault="00C409FF" w:rsidP="00107345">
      <w:pPr>
        <w:spacing w:before="100"/>
        <w:ind w:firstLine="709"/>
        <w:jc w:val="both"/>
        <w:rPr>
          <w:color w:val="000000"/>
        </w:rPr>
      </w:pPr>
      <w:r w:rsidRPr="00C04408">
        <w:t xml:space="preserve">У 2015 році стан платіжної дисципліни платників податків </w:t>
      </w:r>
      <w:r w:rsidR="007E7E57" w:rsidRPr="00C04408">
        <w:t xml:space="preserve">продовжував </w:t>
      </w:r>
      <w:r w:rsidRPr="00C04408">
        <w:t>погірш</w:t>
      </w:r>
      <w:r w:rsidR="007E7E57" w:rsidRPr="00C04408">
        <w:t>уватися</w:t>
      </w:r>
      <w:r w:rsidRPr="00C04408">
        <w:t xml:space="preserve">. </w:t>
      </w:r>
      <w:r w:rsidR="00F01F22" w:rsidRPr="00C04408">
        <w:t>С</w:t>
      </w:r>
      <w:r w:rsidR="00D5088F" w:rsidRPr="00C04408">
        <w:t>таном на 1</w:t>
      </w:r>
      <w:r w:rsidR="009A305A" w:rsidRPr="00C04408">
        <w:t> </w:t>
      </w:r>
      <w:r w:rsidR="00062AD8" w:rsidRPr="00C04408">
        <w:t>січня 201</w:t>
      </w:r>
      <w:r w:rsidR="003564D7" w:rsidRPr="00C04408">
        <w:t>6</w:t>
      </w:r>
      <w:r w:rsidR="00524AB4" w:rsidRPr="00C04408">
        <w:t> року</w:t>
      </w:r>
      <w:r w:rsidR="00D5088F" w:rsidRPr="00C04408">
        <w:t xml:space="preserve"> податковий борг за податковими зобов’язаннями </w:t>
      </w:r>
      <w:r w:rsidR="00444294" w:rsidRPr="00C04408">
        <w:t>перед</w:t>
      </w:r>
      <w:r w:rsidR="00D5088F" w:rsidRPr="00C04408">
        <w:t xml:space="preserve"> державн</w:t>
      </w:r>
      <w:r w:rsidR="00444294" w:rsidRPr="00C04408">
        <w:t>им</w:t>
      </w:r>
      <w:r w:rsidR="00D5088F" w:rsidRPr="00C04408">
        <w:t xml:space="preserve"> бюджет</w:t>
      </w:r>
      <w:r w:rsidR="00444294" w:rsidRPr="00C04408">
        <w:t>ом</w:t>
      </w:r>
      <w:r w:rsidR="00D5088F" w:rsidRPr="00C04408">
        <w:t xml:space="preserve"> </w:t>
      </w:r>
      <w:r w:rsidR="001145E1" w:rsidRPr="00C04408">
        <w:t xml:space="preserve">становив </w:t>
      </w:r>
      <w:r w:rsidR="00EB4662" w:rsidRPr="00C04408">
        <w:t xml:space="preserve">майже </w:t>
      </w:r>
      <w:r w:rsidR="00722FE9" w:rsidRPr="00C04408">
        <w:t>36,4</w:t>
      </w:r>
      <w:r w:rsidR="00524AB4" w:rsidRPr="00C04408">
        <w:t> </w:t>
      </w:r>
      <w:r w:rsidR="001145E1" w:rsidRPr="00C04408">
        <w:t xml:space="preserve">млрд гривень, що </w:t>
      </w:r>
      <w:r w:rsidR="00551F34" w:rsidRPr="00C04408">
        <w:t xml:space="preserve">у </w:t>
      </w:r>
      <w:r w:rsidR="00722FE9" w:rsidRPr="00C04408">
        <w:t>1,7</w:t>
      </w:r>
      <w:r w:rsidR="00551F34" w:rsidRPr="00C04408">
        <w:t> </w:t>
      </w:r>
      <w:proofErr w:type="spellStart"/>
      <w:r w:rsidR="00551F34" w:rsidRPr="00C04408">
        <w:t>раз</w:t>
      </w:r>
      <w:r w:rsidR="00722FE9" w:rsidRPr="00C04408">
        <w:t>а</w:t>
      </w:r>
      <w:proofErr w:type="spellEnd"/>
      <w:r w:rsidR="00D5088F" w:rsidRPr="00C04408">
        <w:t xml:space="preserve"> більше, ніж на початок </w:t>
      </w:r>
      <w:r w:rsidR="008773BF" w:rsidRPr="00C04408">
        <w:t>201</w:t>
      </w:r>
      <w:r w:rsidR="00722FE9" w:rsidRPr="00C04408">
        <w:t>5</w:t>
      </w:r>
      <w:r w:rsidR="00CC14BF" w:rsidRPr="00C04408">
        <w:t> </w:t>
      </w:r>
      <w:r w:rsidR="00D5088F" w:rsidRPr="00C04408">
        <w:t>року. При цьому відповідно до законодавс</w:t>
      </w:r>
      <w:r w:rsidR="00C97D00" w:rsidRPr="00C04408">
        <w:t xml:space="preserve">тва списано </w:t>
      </w:r>
      <w:r w:rsidR="008D4D67" w:rsidRPr="00C04408">
        <w:t>4,9</w:t>
      </w:r>
      <w:r w:rsidR="00524AB4" w:rsidRPr="00C04408">
        <w:t> </w:t>
      </w:r>
      <w:r w:rsidR="00D5088F" w:rsidRPr="00C04408">
        <w:t xml:space="preserve">млрд гривень податкового боргу </w:t>
      </w:r>
      <w:r w:rsidR="00444294" w:rsidRPr="00C04408">
        <w:t>перед</w:t>
      </w:r>
      <w:r w:rsidR="00D5088F" w:rsidRPr="00C04408">
        <w:t xml:space="preserve"> державн</w:t>
      </w:r>
      <w:r w:rsidR="00444294" w:rsidRPr="00C04408">
        <w:t>им</w:t>
      </w:r>
      <w:r w:rsidR="00D5088F" w:rsidRPr="00C04408">
        <w:t xml:space="preserve"> бюджет</w:t>
      </w:r>
      <w:r w:rsidR="00444294" w:rsidRPr="00C04408">
        <w:t>ом</w:t>
      </w:r>
      <w:r w:rsidR="00D5088F" w:rsidRPr="00C04408">
        <w:t xml:space="preserve">. </w:t>
      </w:r>
      <w:r w:rsidR="007E7E57" w:rsidRPr="00C04408">
        <w:t xml:space="preserve">Відповідно до пункту 35.4 статті 35 Податкового кодексу України </w:t>
      </w:r>
      <w:r w:rsidR="00380CDB" w:rsidRPr="00C04408">
        <w:t xml:space="preserve">з 2015 року запроваджена вимога щодо щомісячного оприлюднення на офіційному сайті Державної фіскальної служби України </w:t>
      </w:r>
      <w:bookmarkStart w:id="8" w:name="n10516"/>
      <w:bookmarkEnd w:id="8"/>
      <w:r w:rsidR="00380CDB" w:rsidRPr="00C04408">
        <w:t>інформації щодо суб’єктів</w:t>
      </w:r>
      <w:r w:rsidR="00380CDB" w:rsidRPr="00C04408">
        <w:rPr>
          <w:color w:val="000000"/>
        </w:rPr>
        <w:t xml:space="preserve"> господарювання, які мають податковий борг</w:t>
      </w:r>
      <w:r w:rsidR="00406145" w:rsidRPr="00C04408">
        <w:rPr>
          <w:color w:val="000000"/>
        </w:rPr>
        <w:t>, однак за звітний період такої інформації немає.</w:t>
      </w:r>
    </w:p>
    <w:p w:rsidR="00D5088F" w:rsidRPr="00C04408" w:rsidRDefault="00B64B5F" w:rsidP="00107345">
      <w:pPr>
        <w:spacing w:before="100"/>
        <w:ind w:firstLine="709"/>
        <w:jc w:val="both"/>
      </w:pPr>
      <w:r w:rsidRPr="00C04408">
        <w:t>З</w:t>
      </w:r>
      <w:r w:rsidR="00D5088F" w:rsidRPr="00C04408">
        <w:t>агальний обсяг переплат податків і зборів (обов’язкових платежів) до дер</w:t>
      </w:r>
      <w:r w:rsidR="001145E1" w:rsidRPr="00C04408">
        <w:t xml:space="preserve">жавного бюджету збільшився на </w:t>
      </w:r>
      <w:r w:rsidR="008D4D67" w:rsidRPr="00C04408">
        <w:t>0,9</w:t>
      </w:r>
      <w:r w:rsidR="00524AB4" w:rsidRPr="00C04408">
        <w:t> </w:t>
      </w:r>
      <w:r w:rsidR="00D5088F" w:rsidRPr="00C04408">
        <w:t>млрд гривень і на 1</w:t>
      </w:r>
      <w:r w:rsidR="00524AB4" w:rsidRPr="00C04408">
        <w:t> </w:t>
      </w:r>
      <w:r w:rsidR="005B7CAC" w:rsidRPr="00C04408">
        <w:t>січня 201</w:t>
      </w:r>
      <w:r w:rsidR="008D4D67" w:rsidRPr="00C04408">
        <w:t>6</w:t>
      </w:r>
      <w:r w:rsidR="00524AB4" w:rsidRPr="00C04408">
        <w:t> </w:t>
      </w:r>
      <w:r w:rsidR="00D5088F" w:rsidRPr="00C04408">
        <w:t>рок</w:t>
      </w:r>
      <w:r w:rsidR="001145E1" w:rsidRPr="00C04408">
        <w:t xml:space="preserve">у </w:t>
      </w:r>
      <w:r w:rsidR="00D54F4E" w:rsidRPr="00C04408">
        <w:t xml:space="preserve">становив </w:t>
      </w:r>
      <w:r w:rsidR="00551F34" w:rsidRPr="00C04408">
        <w:t>3</w:t>
      </w:r>
      <w:r w:rsidR="008D4D67" w:rsidRPr="00C04408">
        <w:t>6</w:t>
      </w:r>
      <w:r w:rsidR="00551F34" w:rsidRPr="00C04408">
        <w:t>,4</w:t>
      </w:r>
      <w:r w:rsidR="00524AB4" w:rsidRPr="00C04408">
        <w:t> </w:t>
      </w:r>
      <w:r w:rsidR="00D5088F" w:rsidRPr="00C04408">
        <w:t>млрд гривень.</w:t>
      </w:r>
      <w:r w:rsidR="00F553AB" w:rsidRPr="00C04408">
        <w:t xml:space="preserve"> </w:t>
      </w:r>
    </w:p>
    <w:p w:rsidR="00A81BF5" w:rsidRPr="00C04408" w:rsidRDefault="00340799" w:rsidP="00107345">
      <w:pPr>
        <w:shd w:val="clear" w:color="auto" w:fill="FFFFFF"/>
        <w:spacing w:before="100"/>
        <w:ind w:firstLine="709"/>
        <w:jc w:val="both"/>
      </w:pPr>
      <w:bookmarkStart w:id="9" w:name="n15"/>
      <w:bookmarkEnd w:id="9"/>
      <w:r w:rsidRPr="00C04408">
        <w:t xml:space="preserve">За підсумками виконання </w:t>
      </w:r>
      <w:r w:rsidR="002D163A" w:rsidRPr="00C04408">
        <w:t>Д</w:t>
      </w:r>
      <w:r w:rsidRPr="00C04408">
        <w:t xml:space="preserve">ержавного бюджету </w:t>
      </w:r>
      <w:r w:rsidR="002D163A" w:rsidRPr="00C04408">
        <w:t>України з</w:t>
      </w:r>
      <w:r w:rsidRPr="00C04408">
        <w:t xml:space="preserve">а </w:t>
      </w:r>
      <w:r w:rsidR="008773BF" w:rsidRPr="00C04408">
        <w:t>201</w:t>
      </w:r>
      <w:r w:rsidR="002D163A" w:rsidRPr="00C04408">
        <w:t>5</w:t>
      </w:r>
      <w:r w:rsidR="00524AB4" w:rsidRPr="00C04408">
        <w:t> </w:t>
      </w:r>
      <w:r w:rsidRPr="00C04408">
        <w:t xml:space="preserve">рік дефіцит </w:t>
      </w:r>
      <w:r w:rsidR="002D163A" w:rsidRPr="00C04408">
        <w:t xml:space="preserve">бюджету </w:t>
      </w:r>
      <w:r w:rsidRPr="00C04408">
        <w:t>с</w:t>
      </w:r>
      <w:r w:rsidR="005B7CAC" w:rsidRPr="00C04408">
        <w:t xml:space="preserve">тановив </w:t>
      </w:r>
      <w:r w:rsidR="00B142D1" w:rsidRPr="00C04408">
        <w:t>45</w:t>
      </w:r>
      <w:r w:rsidR="00C03136" w:rsidRPr="00C04408">
        <w:t>,</w:t>
      </w:r>
      <w:r w:rsidR="00B142D1" w:rsidRPr="00C04408">
        <w:t>2</w:t>
      </w:r>
      <w:r w:rsidR="00DD0D56" w:rsidRPr="00C04408">
        <w:t> </w:t>
      </w:r>
      <w:r w:rsidRPr="00C04408">
        <w:t>млрд гривен</w:t>
      </w:r>
      <w:r w:rsidR="001D151C" w:rsidRPr="00C04408">
        <w:t>ь, або</w:t>
      </w:r>
      <w:r w:rsidR="00B142D1" w:rsidRPr="00C04408">
        <w:t>,</w:t>
      </w:r>
      <w:r w:rsidR="001D151C" w:rsidRPr="00C04408">
        <w:t xml:space="preserve"> за </w:t>
      </w:r>
      <w:r w:rsidR="006878DE" w:rsidRPr="00C04408">
        <w:t>попередніми</w:t>
      </w:r>
      <w:r w:rsidR="001D151C" w:rsidRPr="00C04408">
        <w:t xml:space="preserve"> даними</w:t>
      </w:r>
      <w:r w:rsidR="00B142D1" w:rsidRPr="00C04408">
        <w:t>,</w:t>
      </w:r>
      <w:r w:rsidR="001D151C" w:rsidRPr="00C04408">
        <w:t xml:space="preserve"> </w:t>
      </w:r>
      <w:r w:rsidR="00B142D1" w:rsidRPr="00C04408">
        <w:t>2,3</w:t>
      </w:r>
      <w:r w:rsidR="00250B44" w:rsidRPr="00C04408">
        <w:t> </w:t>
      </w:r>
      <w:r w:rsidRPr="00C04408">
        <w:t>відсотк</w:t>
      </w:r>
      <w:r w:rsidR="007827DD" w:rsidRPr="00C04408">
        <w:t>а</w:t>
      </w:r>
      <w:r w:rsidRPr="00C04408">
        <w:t xml:space="preserve"> валового внутрішнього продукту</w:t>
      </w:r>
      <w:r w:rsidR="00CA3F94" w:rsidRPr="00C04408">
        <w:t>.</w:t>
      </w:r>
      <w:r w:rsidR="00DC6EBE" w:rsidRPr="00C04408">
        <w:t xml:space="preserve"> </w:t>
      </w:r>
      <w:r w:rsidR="00CA3F94" w:rsidRPr="00C04408">
        <w:t>При цьому з</w:t>
      </w:r>
      <w:r w:rsidR="00CA3F94" w:rsidRPr="00C04408">
        <w:rPr>
          <w:bCs/>
        </w:rPr>
        <w:t>а загальним фондом державного бюджету дефіцит</w:t>
      </w:r>
      <w:r w:rsidR="00B142D1" w:rsidRPr="00C04408">
        <w:rPr>
          <w:bCs/>
        </w:rPr>
        <w:t xml:space="preserve"> </w:t>
      </w:r>
      <w:r w:rsidR="00CA3F94" w:rsidRPr="00C04408">
        <w:t xml:space="preserve">становив </w:t>
      </w:r>
      <w:r w:rsidR="00B142D1" w:rsidRPr="00C04408">
        <w:t>38,9</w:t>
      </w:r>
      <w:r w:rsidR="00CA3F94" w:rsidRPr="00C04408">
        <w:t xml:space="preserve"> млрд гривень </w:t>
      </w:r>
      <w:r w:rsidR="00B142D1" w:rsidRPr="00C04408">
        <w:t>або 62,8 відсотка затвердженого граничного показника</w:t>
      </w:r>
      <w:r w:rsidR="00CA3F94" w:rsidRPr="00C04408">
        <w:t xml:space="preserve">. </w:t>
      </w:r>
      <w:r w:rsidR="00B142D1" w:rsidRPr="00C04408">
        <w:t xml:space="preserve">Таке </w:t>
      </w:r>
      <w:r w:rsidR="00B64B5F" w:rsidRPr="00C04408">
        <w:t xml:space="preserve">низьке </w:t>
      </w:r>
      <w:r w:rsidR="00B142D1" w:rsidRPr="00C04408">
        <w:t xml:space="preserve">значення дефіциту державного бюджету порівняно з його плановим показником </w:t>
      </w:r>
      <w:r w:rsidR="00B64B5F" w:rsidRPr="00C04408">
        <w:t xml:space="preserve">обумовлено невиконанням </w:t>
      </w:r>
      <w:r w:rsidR="00B142D1" w:rsidRPr="00C04408">
        <w:t>план</w:t>
      </w:r>
      <w:r w:rsidR="00B64B5F" w:rsidRPr="00C04408">
        <w:t>у</w:t>
      </w:r>
      <w:r w:rsidR="00B142D1" w:rsidRPr="00C04408">
        <w:t xml:space="preserve"> надходжень від приватизації державного майна та </w:t>
      </w:r>
      <w:proofErr w:type="spellStart"/>
      <w:r w:rsidR="00B142D1" w:rsidRPr="00C04408">
        <w:t>не</w:t>
      </w:r>
      <w:r w:rsidR="00B64B5F" w:rsidRPr="00C04408">
        <w:t>проведенням</w:t>
      </w:r>
      <w:proofErr w:type="spellEnd"/>
      <w:r w:rsidR="00B64B5F" w:rsidRPr="00C04408">
        <w:t xml:space="preserve"> </w:t>
      </w:r>
      <w:r w:rsidR="00245603" w:rsidRPr="00C04408">
        <w:t xml:space="preserve">розпорядниками коштів державного бюджету </w:t>
      </w:r>
      <w:r w:rsidR="00B142D1" w:rsidRPr="00C04408">
        <w:t>видатк</w:t>
      </w:r>
      <w:r w:rsidR="00B64B5F" w:rsidRPr="00C04408">
        <w:t>ів</w:t>
      </w:r>
      <w:r w:rsidR="00B142D1" w:rsidRPr="00C04408">
        <w:t xml:space="preserve"> загального фонду державного бюджету у повному обсязі при перевиконанні плану за доходами державного бюджету.</w:t>
      </w:r>
    </w:p>
    <w:p w:rsidR="00340799" w:rsidRPr="00C04408" w:rsidRDefault="001D151C" w:rsidP="00107345">
      <w:pPr>
        <w:spacing w:before="100"/>
        <w:ind w:firstLine="709"/>
        <w:jc w:val="both"/>
      </w:pPr>
      <w:bookmarkStart w:id="10" w:name="n16"/>
      <w:bookmarkEnd w:id="10"/>
      <w:r w:rsidRPr="00C04408">
        <w:t>В</w:t>
      </w:r>
      <w:r w:rsidR="00340799" w:rsidRPr="00C04408">
        <w:t>і</w:t>
      </w:r>
      <w:r w:rsidR="008B2035" w:rsidRPr="00C04408">
        <w:t>д приватизації державного майна</w:t>
      </w:r>
      <w:r w:rsidR="00340799" w:rsidRPr="00C04408">
        <w:t xml:space="preserve"> до </w:t>
      </w:r>
      <w:r w:rsidR="008B2035" w:rsidRPr="00C04408">
        <w:t>державного бюдже</w:t>
      </w:r>
      <w:r w:rsidR="00CF7271" w:rsidRPr="00C04408">
        <w:t xml:space="preserve">ту надійшло </w:t>
      </w:r>
      <w:r w:rsidR="004A3CA6" w:rsidRPr="00C04408">
        <w:t xml:space="preserve">лише </w:t>
      </w:r>
      <w:r w:rsidR="00281540" w:rsidRPr="00C04408">
        <w:t>0,</w:t>
      </w:r>
      <w:r w:rsidR="00B142D1" w:rsidRPr="00C04408">
        <w:t>1</w:t>
      </w:r>
      <w:r w:rsidR="00CA3F94" w:rsidRPr="00C04408">
        <w:t>5</w:t>
      </w:r>
      <w:r w:rsidR="00814B3D" w:rsidRPr="00C04408">
        <w:t> </w:t>
      </w:r>
      <w:r w:rsidR="00340799" w:rsidRPr="00C04408">
        <w:t>млрд гривень</w:t>
      </w:r>
      <w:r w:rsidR="00814B3D" w:rsidRPr="00C04408">
        <w:t xml:space="preserve">, </w:t>
      </w:r>
      <w:r w:rsidR="00C50766" w:rsidRPr="00C04408">
        <w:t xml:space="preserve">або </w:t>
      </w:r>
      <w:r w:rsidR="00B142D1" w:rsidRPr="00C04408">
        <w:t>0,9</w:t>
      </w:r>
      <w:r w:rsidR="00C50766" w:rsidRPr="00C04408">
        <w:t xml:space="preserve"> відсотка </w:t>
      </w:r>
      <w:r w:rsidR="00CF7271" w:rsidRPr="00C04408">
        <w:t>затвердженого показника</w:t>
      </w:r>
      <w:r w:rsidR="00B068DC" w:rsidRPr="00C04408">
        <w:t xml:space="preserve">, що є найнижчим показником за останні </w:t>
      </w:r>
      <w:r w:rsidR="00012469" w:rsidRPr="00C04408">
        <w:t xml:space="preserve">п’ятнадцять </w:t>
      </w:r>
      <w:r w:rsidR="00B068DC" w:rsidRPr="00C04408">
        <w:t>років</w:t>
      </w:r>
      <w:r w:rsidR="009C5E61" w:rsidRPr="00C04408">
        <w:t>.</w:t>
      </w:r>
    </w:p>
    <w:p w:rsidR="00D30A48" w:rsidRPr="00C04408" w:rsidRDefault="00D30A48" w:rsidP="00107345">
      <w:pPr>
        <w:spacing w:before="100"/>
        <w:ind w:firstLine="709"/>
        <w:jc w:val="both"/>
      </w:pPr>
      <w:bookmarkStart w:id="11" w:name="n17"/>
      <w:bookmarkEnd w:id="11"/>
      <w:r w:rsidRPr="00C04408">
        <w:t xml:space="preserve">Особливістю </w:t>
      </w:r>
      <w:r w:rsidR="00012469" w:rsidRPr="00C04408">
        <w:t xml:space="preserve">реалізації </w:t>
      </w:r>
      <w:r w:rsidRPr="00C04408">
        <w:t>боргової політики 2015 року стали заходи щодо реструктуризації державного та гарантованого державою боргу</w:t>
      </w:r>
      <w:r w:rsidR="001D144C" w:rsidRPr="00C04408">
        <w:t xml:space="preserve">. Такі заходи здійснювалися відповідно до </w:t>
      </w:r>
      <w:r w:rsidR="00CE00A9" w:rsidRPr="00C04408">
        <w:t xml:space="preserve">пункту 14 Прикінцевих положень </w:t>
      </w:r>
      <w:r w:rsidR="00CE00A9" w:rsidRPr="00C04408">
        <w:lastRenderedPageBreak/>
        <w:t>Закону, Закону України від 19.05.2015 р. № 436-VIII «Про особливості здійснення правочинів з державним, гарантованим державою боргом та місцевим боргом» та змін до Бюджетного кодексу України, внесених згідно із законами України від 19.05.2015 № 437-VIII і від 17.09.2015 № 700-VIII</w:t>
      </w:r>
      <w:r w:rsidRPr="00C04408">
        <w:t>.</w:t>
      </w:r>
    </w:p>
    <w:p w:rsidR="007A55CA" w:rsidRPr="00C04408" w:rsidRDefault="00340799" w:rsidP="00107345">
      <w:pPr>
        <w:spacing w:before="100"/>
        <w:ind w:firstLine="709"/>
        <w:jc w:val="both"/>
      </w:pPr>
      <w:r w:rsidRPr="00C04408">
        <w:t xml:space="preserve">Державні запозичення у </w:t>
      </w:r>
      <w:r w:rsidR="008773BF" w:rsidRPr="00C04408">
        <w:t>201</w:t>
      </w:r>
      <w:r w:rsidR="00BB1DC7" w:rsidRPr="00C04408">
        <w:t>5</w:t>
      </w:r>
      <w:r w:rsidR="00F97E5C" w:rsidRPr="00C04408">
        <w:t> </w:t>
      </w:r>
      <w:r w:rsidRPr="00C04408">
        <w:t>році здійсне</w:t>
      </w:r>
      <w:r w:rsidR="008B2035" w:rsidRPr="00C04408">
        <w:t xml:space="preserve">ні </w:t>
      </w:r>
      <w:r w:rsidR="00BB1DC7" w:rsidRPr="00C04408">
        <w:t>в</w:t>
      </w:r>
      <w:r w:rsidR="008B2035" w:rsidRPr="00C04408">
        <w:t xml:space="preserve"> сумі </w:t>
      </w:r>
      <w:r w:rsidR="00BB1DC7" w:rsidRPr="00C04408">
        <w:t>514,1</w:t>
      </w:r>
      <w:r w:rsidR="00F97E5C" w:rsidRPr="00C04408">
        <w:t> </w:t>
      </w:r>
      <w:r w:rsidRPr="00C04408">
        <w:t>млрд гривень (</w:t>
      </w:r>
      <w:r w:rsidR="009C5E61" w:rsidRPr="00C04408">
        <w:t>1</w:t>
      </w:r>
      <w:r w:rsidR="00BB1DC7" w:rsidRPr="00C04408">
        <w:t>29</w:t>
      </w:r>
      <w:r w:rsidR="006C7ABA" w:rsidRPr="00C04408">
        <w:t>,</w:t>
      </w:r>
      <w:r w:rsidR="00BB1DC7" w:rsidRPr="00C04408">
        <w:t>5</w:t>
      </w:r>
      <w:r w:rsidR="00F97E5C" w:rsidRPr="00C04408">
        <w:t> </w:t>
      </w:r>
      <w:r w:rsidRPr="00C04408">
        <w:t xml:space="preserve">відсотка затвердженого </w:t>
      </w:r>
      <w:r w:rsidR="00CA3135" w:rsidRPr="00C04408">
        <w:t xml:space="preserve">із змінами </w:t>
      </w:r>
      <w:r w:rsidR="00DF63DE" w:rsidRPr="00C04408">
        <w:t>показника</w:t>
      </w:r>
      <w:r w:rsidRPr="00C04408">
        <w:t xml:space="preserve">), </w:t>
      </w:r>
      <w:r w:rsidR="00F97E5C" w:rsidRPr="00C04408">
        <w:t xml:space="preserve">у тому числі </w:t>
      </w:r>
      <w:r w:rsidRPr="00C04408">
        <w:t xml:space="preserve">внутрішні запозичення </w:t>
      </w:r>
      <w:r w:rsidR="008B2035" w:rsidRPr="00C04408">
        <w:t>–</w:t>
      </w:r>
      <w:r w:rsidRPr="00C04408">
        <w:t xml:space="preserve"> </w:t>
      </w:r>
      <w:r w:rsidR="00D30A48" w:rsidRPr="00C04408">
        <w:t>99</w:t>
      </w:r>
      <w:r w:rsidR="00F97E5C" w:rsidRPr="00C04408">
        <w:t> </w:t>
      </w:r>
      <w:r w:rsidRPr="00C04408">
        <w:t xml:space="preserve">млрд гривень </w:t>
      </w:r>
      <w:r w:rsidR="00C34B97" w:rsidRPr="00C04408">
        <w:t xml:space="preserve">та зовнішні запозичення – </w:t>
      </w:r>
      <w:r w:rsidR="00D30A48" w:rsidRPr="00C04408">
        <w:t>415,1</w:t>
      </w:r>
      <w:r w:rsidR="00FA05A9" w:rsidRPr="00C04408">
        <w:t> млрд гривень</w:t>
      </w:r>
      <w:r w:rsidR="00D30A48" w:rsidRPr="00C04408">
        <w:t xml:space="preserve"> (з яких 280,2 млрд гривень </w:t>
      </w:r>
      <w:r w:rsidR="00E84083" w:rsidRPr="00C04408">
        <w:t>–</w:t>
      </w:r>
      <w:r w:rsidR="00D30A48" w:rsidRPr="00C04408">
        <w:t xml:space="preserve"> </w:t>
      </w:r>
      <w:r w:rsidR="00CC2BE8" w:rsidRPr="00C04408">
        <w:t>відображен</w:t>
      </w:r>
      <w:r w:rsidR="0098014D" w:rsidRPr="00C04408">
        <w:t>ня</w:t>
      </w:r>
      <w:r w:rsidR="00CC2BE8" w:rsidRPr="00C04408">
        <w:t xml:space="preserve"> правочин</w:t>
      </w:r>
      <w:r w:rsidR="0098014D" w:rsidRPr="00C04408">
        <w:t>ів</w:t>
      </w:r>
      <w:r w:rsidR="00CC2BE8" w:rsidRPr="00C04408">
        <w:t xml:space="preserve"> з державним та гарантованим державою боргом)</w:t>
      </w:r>
      <w:r w:rsidR="00F97E5C" w:rsidRPr="00C04408">
        <w:t>.</w:t>
      </w:r>
      <w:r w:rsidR="00EB44FF" w:rsidRPr="00C04408">
        <w:t xml:space="preserve"> </w:t>
      </w:r>
    </w:p>
    <w:p w:rsidR="00CE1F9D" w:rsidRPr="00C04408" w:rsidRDefault="00D068EA" w:rsidP="00107345">
      <w:pPr>
        <w:spacing w:before="100"/>
        <w:ind w:firstLine="709"/>
        <w:jc w:val="both"/>
      </w:pPr>
      <w:r w:rsidRPr="00C04408">
        <w:t>В</w:t>
      </w:r>
      <w:r w:rsidR="007B2202" w:rsidRPr="00C04408">
        <w:t xml:space="preserve">ідповідно до статей 16, </w:t>
      </w:r>
      <w:r w:rsidRPr="00C04408">
        <w:t>17 та</w:t>
      </w:r>
      <w:r w:rsidR="007B2202" w:rsidRPr="00C04408">
        <w:t xml:space="preserve"> </w:t>
      </w:r>
      <w:r w:rsidRPr="00C04408">
        <w:t>19</w:t>
      </w:r>
      <w:r w:rsidR="007B2202" w:rsidRPr="00C04408">
        <w:t xml:space="preserve"> Закону </w:t>
      </w:r>
      <w:r w:rsidR="003D0C63" w:rsidRPr="00C04408">
        <w:t>Кабінетом Міністрів України у 201</w:t>
      </w:r>
      <w:r w:rsidRPr="00C04408">
        <w:t>5</w:t>
      </w:r>
      <w:r w:rsidR="003D0C63" w:rsidRPr="00C04408">
        <w:t xml:space="preserve"> році здійснено випуск облігацій внутрішньої державної позики </w:t>
      </w:r>
      <w:r w:rsidR="007B2202" w:rsidRPr="00C04408">
        <w:t xml:space="preserve">загалом у сумі </w:t>
      </w:r>
      <w:r w:rsidRPr="00C04408">
        <w:t>75</w:t>
      </w:r>
      <w:r w:rsidR="007B2202" w:rsidRPr="00C04408">
        <w:t xml:space="preserve"> млрд гривень з </w:t>
      </w:r>
      <w:r w:rsidR="00177FEC" w:rsidRPr="00C04408">
        <w:t>метою</w:t>
      </w:r>
      <w:r w:rsidR="007B2202" w:rsidRPr="00C04408">
        <w:t xml:space="preserve">: придбання у державну власність акцій додаткової емісії </w:t>
      </w:r>
      <w:r w:rsidR="00D30249" w:rsidRPr="00C04408">
        <w:t>публічного акціонерного товариства «</w:t>
      </w:r>
      <w:r w:rsidR="00CE1F9D" w:rsidRPr="00C04408">
        <w:t>Національн</w:t>
      </w:r>
      <w:r w:rsidR="00D30249" w:rsidRPr="00C04408">
        <w:t>а</w:t>
      </w:r>
      <w:r w:rsidR="00CE1F9D" w:rsidRPr="00C04408">
        <w:t xml:space="preserve"> акціонерн</w:t>
      </w:r>
      <w:r w:rsidR="00D30249" w:rsidRPr="00C04408">
        <w:t>а</w:t>
      </w:r>
      <w:r w:rsidR="00CE1F9D" w:rsidRPr="00C04408">
        <w:t xml:space="preserve"> компані</w:t>
      </w:r>
      <w:r w:rsidR="00D30249" w:rsidRPr="00C04408">
        <w:t>я</w:t>
      </w:r>
      <w:r w:rsidR="00CE1F9D" w:rsidRPr="00C04408">
        <w:t xml:space="preserve"> «Нафтогаз України» (</w:t>
      </w:r>
      <w:r w:rsidRPr="00C04408">
        <w:t>29,7</w:t>
      </w:r>
      <w:r w:rsidR="00CE1F9D" w:rsidRPr="00C04408">
        <w:t xml:space="preserve"> млрд гривень), </w:t>
      </w:r>
      <w:r w:rsidRPr="00C04408">
        <w:rPr>
          <w:rStyle w:val="rvts0"/>
        </w:rPr>
        <w:t>публічного акціонерного товариства акціонерний банк «</w:t>
      </w:r>
      <w:proofErr w:type="spellStart"/>
      <w:r w:rsidRPr="00C04408">
        <w:rPr>
          <w:rStyle w:val="rvts0"/>
        </w:rPr>
        <w:t>Укргазбанк</w:t>
      </w:r>
      <w:proofErr w:type="spellEnd"/>
      <w:r w:rsidRPr="00C04408">
        <w:rPr>
          <w:rStyle w:val="rvts0"/>
        </w:rPr>
        <w:t>»</w:t>
      </w:r>
      <w:r w:rsidR="009D13DF" w:rsidRPr="00C04408">
        <w:t xml:space="preserve"> (</w:t>
      </w:r>
      <w:r w:rsidRPr="00C04408">
        <w:t>3,8</w:t>
      </w:r>
      <w:r w:rsidR="009D13DF" w:rsidRPr="00C04408">
        <w:t> млрд гривень)</w:t>
      </w:r>
      <w:r w:rsidR="00D30249" w:rsidRPr="00C04408">
        <w:t>;</w:t>
      </w:r>
      <w:r w:rsidR="00634E32" w:rsidRPr="00C04408">
        <w:t xml:space="preserve"> </w:t>
      </w:r>
      <w:r w:rsidR="00CA3135" w:rsidRPr="00C04408">
        <w:t xml:space="preserve">отримання векселів </w:t>
      </w:r>
      <w:r w:rsidR="00634E32" w:rsidRPr="00C04408">
        <w:t>Фонду гарантування вкладів фізичних осіб (</w:t>
      </w:r>
      <w:r w:rsidR="00F04D7B" w:rsidRPr="00C04408">
        <w:t>41,5</w:t>
      </w:r>
      <w:r w:rsidR="00634E32" w:rsidRPr="00C04408">
        <w:t> млрд гривень)</w:t>
      </w:r>
      <w:r w:rsidR="00CE1F9D" w:rsidRPr="00C04408">
        <w:t>.</w:t>
      </w:r>
      <w:r w:rsidR="00FB1294" w:rsidRPr="00C04408">
        <w:t xml:space="preserve"> Рахункова палата за результатами аудит</w:t>
      </w:r>
      <w:r w:rsidR="00BD3753" w:rsidRPr="00C04408">
        <w:t>у</w:t>
      </w:r>
      <w:r w:rsidR="00FB1294" w:rsidRPr="00C04408">
        <w:t xml:space="preserve"> звертає увагу, що </w:t>
      </w:r>
      <w:r w:rsidR="00BD3753" w:rsidRPr="00C04408">
        <w:t xml:space="preserve">кінцевими отримувачами облігацій внутрішньої державної позики, що мають визначене цільове спрямування, не забезпечується у повних обсягах </w:t>
      </w:r>
      <w:r w:rsidR="00FB1294" w:rsidRPr="00C04408">
        <w:t xml:space="preserve">інформування </w:t>
      </w:r>
      <w:r w:rsidR="00BD3753" w:rsidRPr="00C04408">
        <w:t xml:space="preserve">щодо використання </w:t>
      </w:r>
      <w:r w:rsidR="000F305E" w:rsidRPr="00C04408">
        <w:t>коштів</w:t>
      </w:r>
      <w:r w:rsidR="00FB1294" w:rsidRPr="00C04408">
        <w:t xml:space="preserve">, </w:t>
      </w:r>
      <w:r w:rsidR="00372275" w:rsidRPr="00C04408">
        <w:t>отриманих від розміщення таких облігацій, у</w:t>
      </w:r>
      <w:r w:rsidR="00FB1294" w:rsidRPr="00C04408">
        <w:t xml:space="preserve"> тому числі через нормативну невизначеність відповідного звітування.</w:t>
      </w:r>
    </w:p>
    <w:p w:rsidR="00AC0A87" w:rsidRPr="00C04408" w:rsidRDefault="0019291C" w:rsidP="00107345">
      <w:pPr>
        <w:spacing w:before="100"/>
        <w:ind w:firstLine="709"/>
        <w:jc w:val="both"/>
      </w:pPr>
      <w:r w:rsidRPr="00C04408">
        <w:t xml:space="preserve">Витрати на погашення державного боргу </w:t>
      </w:r>
      <w:r w:rsidR="004A0E5A" w:rsidRPr="00C04408">
        <w:t xml:space="preserve">становили </w:t>
      </w:r>
      <w:r w:rsidR="005A0D5E" w:rsidRPr="00C04408">
        <w:t>416,6</w:t>
      </w:r>
      <w:r w:rsidR="004A0E5A" w:rsidRPr="00C04408">
        <w:t xml:space="preserve"> млрд гривень </w:t>
      </w:r>
      <w:r w:rsidR="005A0D5E" w:rsidRPr="00C04408">
        <w:t>або 165,6</w:t>
      </w:r>
      <w:r w:rsidRPr="00C04408">
        <w:t> ві</w:t>
      </w:r>
      <w:r w:rsidR="00E34C00" w:rsidRPr="00C04408">
        <w:t xml:space="preserve">дсотка затвердженого </w:t>
      </w:r>
      <w:r w:rsidR="00CA3135" w:rsidRPr="00C04408">
        <w:t xml:space="preserve">із змінами </w:t>
      </w:r>
      <w:r w:rsidR="00E34C00" w:rsidRPr="00C04408">
        <w:t>показника</w:t>
      </w:r>
      <w:r w:rsidR="005A0D5E" w:rsidRPr="00C04408">
        <w:t xml:space="preserve"> (з яких 300,2 млрд гривень – </w:t>
      </w:r>
      <w:r w:rsidR="00E845EF" w:rsidRPr="00C04408">
        <w:t>відображен</w:t>
      </w:r>
      <w:r w:rsidR="00E30DEC" w:rsidRPr="00C04408">
        <w:t>ня</w:t>
      </w:r>
      <w:r w:rsidR="00E845EF" w:rsidRPr="00C04408">
        <w:t xml:space="preserve"> </w:t>
      </w:r>
      <w:r w:rsidR="00E30DEC" w:rsidRPr="00C04408">
        <w:t>правочинів з державним та гарантованим державою боргом</w:t>
      </w:r>
      <w:r w:rsidR="00E34C00" w:rsidRPr="00C04408">
        <w:t xml:space="preserve">), видатки на його обслуговування </w:t>
      </w:r>
      <w:r w:rsidR="00CA3135" w:rsidRPr="00C04408">
        <w:t>–</w:t>
      </w:r>
      <w:r w:rsidR="00CD5165" w:rsidRPr="00C04408">
        <w:t xml:space="preserve"> 84,5</w:t>
      </w:r>
      <w:r w:rsidR="00E34C00" w:rsidRPr="00C04408">
        <w:t> млрд гривень</w:t>
      </w:r>
      <w:r w:rsidR="0006024A" w:rsidRPr="00C04408">
        <w:t xml:space="preserve"> </w:t>
      </w:r>
      <w:bookmarkStart w:id="12" w:name="n18"/>
      <w:bookmarkStart w:id="13" w:name="n19"/>
      <w:bookmarkStart w:id="14" w:name="n20"/>
      <w:bookmarkEnd w:id="12"/>
      <w:bookmarkEnd w:id="13"/>
      <w:bookmarkEnd w:id="14"/>
      <w:r w:rsidR="00684860" w:rsidRPr="00C04408">
        <w:t>(</w:t>
      </w:r>
      <w:r w:rsidR="00CD5165" w:rsidRPr="00C04408">
        <w:t>98,6</w:t>
      </w:r>
      <w:r w:rsidR="00684860" w:rsidRPr="00C04408">
        <w:t xml:space="preserve"> відсотка </w:t>
      </w:r>
      <w:r w:rsidR="002227B1" w:rsidRPr="00C04408">
        <w:t>бюджетних призначень</w:t>
      </w:r>
      <w:r w:rsidR="00684860" w:rsidRPr="00C04408">
        <w:t>)</w:t>
      </w:r>
      <w:r w:rsidR="007D381A" w:rsidRPr="00C04408">
        <w:t>.</w:t>
      </w:r>
    </w:p>
    <w:p w:rsidR="00FD105C" w:rsidRPr="00C04408" w:rsidRDefault="00E7489D" w:rsidP="00107345">
      <w:pPr>
        <w:spacing w:before="100"/>
        <w:ind w:firstLine="709"/>
        <w:jc w:val="both"/>
      </w:pPr>
      <w:r w:rsidRPr="00C04408">
        <w:t>Н</w:t>
      </w:r>
      <w:r w:rsidR="00340799" w:rsidRPr="00C04408">
        <w:t xml:space="preserve">а кінець звітного періоду </w:t>
      </w:r>
      <w:r w:rsidR="009B2247" w:rsidRPr="00C04408">
        <w:t xml:space="preserve">загальний обсяг </w:t>
      </w:r>
      <w:r w:rsidRPr="00C04408">
        <w:t>державн</w:t>
      </w:r>
      <w:r w:rsidR="009B2247" w:rsidRPr="00C04408">
        <w:t>ого</w:t>
      </w:r>
      <w:r w:rsidRPr="00C04408">
        <w:t xml:space="preserve"> </w:t>
      </w:r>
      <w:r w:rsidR="009B2247" w:rsidRPr="00C04408">
        <w:t xml:space="preserve">боргу </w:t>
      </w:r>
      <w:r w:rsidR="00FD105C" w:rsidRPr="00C04408">
        <w:t>та гарантован</w:t>
      </w:r>
      <w:r w:rsidR="009B2247" w:rsidRPr="00C04408">
        <w:t>ого</w:t>
      </w:r>
      <w:r w:rsidR="00FD105C" w:rsidRPr="00C04408">
        <w:t xml:space="preserve"> державою </w:t>
      </w:r>
      <w:r w:rsidRPr="00C04408">
        <w:t>борг</w:t>
      </w:r>
      <w:r w:rsidR="009B2247" w:rsidRPr="00C04408">
        <w:t>у</w:t>
      </w:r>
      <w:r w:rsidRPr="00C04408">
        <w:t xml:space="preserve"> </w:t>
      </w:r>
      <w:r w:rsidR="00340799" w:rsidRPr="00C04408">
        <w:t>станови</w:t>
      </w:r>
      <w:r w:rsidR="00B6254A" w:rsidRPr="00C04408">
        <w:t xml:space="preserve">в </w:t>
      </w:r>
      <w:r w:rsidR="00FD105C" w:rsidRPr="00C04408">
        <w:t>1571,8</w:t>
      </w:r>
      <w:r w:rsidR="0006024A" w:rsidRPr="00C04408">
        <w:t> </w:t>
      </w:r>
      <w:r w:rsidR="00340799" w:rsidRPr="00C04408">
        <w:t>млрд гривень, або</w:t>
      </w:r>
      <w:r w:rsidR="00FD105C" w:rsidRPr="00C04408">
        <w:t>,</w:t>
      </w:r>
      <w:r w:rsidR="00340799" w:rsidRPr="00C04408">
        <w:t xml:space="preserve"> за </w:t>
      </w:r>
      <w:r w:rsidR="006878DE" w:rsidRPr="00C04408">
        <w:t xml:space="preserve">попередніми </w:t>
      </w:r>
      <w:r w:rsidR="00340799" w:rsidRPr="00C04408">
        <w:t>даними</w:t>
      </w:r>
      <w:r w:rsidR="00FD105C" w:rsidRPr="00C04408">
        <w:t>,</w:t>
      </w:r>
      <w:r w:rsidR="00340799" w:rsidRPr="00C04408">
        <w:t xml:space="preserve"> </w:t>
      </w:r>
      <w:r w:rsidR="00FD105C" w:rsidRPr="00C04408">
        <w:t>79,4</w:t>
      </w:r>
      <w:r w:rsidR="0006024A" w:rsidRPr="00C04408">
        <w:t> </w:t>
      </w:r>
      <w:r w:rsidR="00340799" w:rsidRPr="00C04408">
        <w:t>відсотка валового внутрішнього продукту</w:t>
      </w:r>
      <w:r w:rsidR="00FD105C" w:rsidRPr="00C04408">
        <w:t xml:space="preserve"> та перевищив граничну величину</w:t>
      </w:r>
      <w:r w:rsidR="002227B1" w:rsidRPr="00C04408">
        <w:t>,</w:t>
      </w:r>
      <w:r w:rsidR="00FD105C" w:rsidRPr="00C04408">
        <w:t xml:space="preserve"> визначену частиною другою статті 18 Бюджетного кодексу України</w:t>
      </w:r>
      <w:r w:rsidR="002227B1" w:rsidRPr="00C04408">
        <w:t xml:space="preserve"> (60 </w:t>
      </w:r>
      <w:proofErr w:type="spellStart"/>
      <w:r w:rsidR="002227B1" w:rsidRPr="00C04408">
        <w:rPr>
          <w:lang w:val="ru-RU"/>
        </w:rPr>
        <w:t>відсотків</w:t>
      </w:r>
      <w:proofErr w:type="spellEnd"/>
      <w:r w:rsidR="002227B1" w:rsidRPr="00C04408">
        <w:rPr>
          <w:lang w:val="ru-RU"/>
        </w:rPr>
        <w:t>)</w:t>
      </w:r>
      <w:r w:rsidR="00FD105C" w:rsidRPr="00C04408">
        <w:t xml:space="preserve">. Однак Кабінетом Міністрів України не виконано вимог Бюджетного кодексу України та пункту 3 Постанови Верховної Ради України від 17.09.2015 р. № 703-VIII «Про забезпечення фінансової стабілізації в Україні в рамках виконання програми Міжнародного валютного фонду "Механізм розширеного фінансування"» щодо надання Верховній Раді України плану заходів з приведення загального обсягу державного боргу та гарантованого державою боргу до вимог, установлених </w:t>
      </w:r>
      <w:r w:rsidR="00824CEC" w:rsidRPr="00C04408">
        <w:t>цим К</w:t>
      </w:r>
      <w:r w:rsidR="00FD105C" w:rsidRPr="00C04408">
        <w:t>одексом.</w:t>
      </w:r>
      <w:r w:rsidR="00A66FF8" w:rsidRPr="00C04408">
        <w:t xml:space="preserve"> При цьому, як і в попередньому році, Кабінет Міністрів України не затвердив у 2015 році стратегію управління державним боргом, на що також звертає увагу Рахункова палата.</w:t>
      </w:r>
    </w:p>
    <w:p w:rsidR="004F1DDE" w:rsidRPr="00C04408" w:rsidRDefault="006600DC" w:rsidP="00107345">
      <w:pPr>
        <w:spacing w:before="100"/>
        <w:ind w:firstLine="709"/>
        <w:jc w:val="both"/>
      </w:pPr>
      <w:r w:rsidRPr="00C04408">
        <w:t>Обсяг державного боргу збільшився за рік на 386,8 млрд гривень (або на 40,8 відсотка) і на 31 грудня 201</w:t>
      </w:r>
      <w:r w:rsidR="00325971" w:rsidRPr="00C04408">
        <w:rPr>
          <w:lang w:val="ru-RU"/>
        </w:rPr>
        <w:t>5</w:t>
      </w:r>
      <w:r w:rsidRPr="00C04408">
        <w:t xml:space="preserve"> року становив 1333,9 млрд гривень та </w:t>
      </w:r>
      <w:r w:rsidRPr="00C04408">
        <w:lastRenderedPageBreak/>
        <w:t xml:space="preserve">завдяки внесеним змінам до Закону утримався </w:t>
      </w:r>
      <w:r w:rsidR="00B573BB" w:rsidRPr="00C04408">
        <w:t xml:space="preserve">в межах граничного обсягу </w:t>
      </w:r>
      <w:r w:rsidR="00340799" w:rsidRPr="00C04408">
        <w:t>(</w:t>
      </w:r>
      <w:r w:rsidRPr="00C04408">
        <w:t>1394</w:t>
      </w:r>
      <w:r w:rsidR="00D1119E" w:rsidRPr="00C04408">
        <w:t> </w:t>
      </w:r>
      <w:r w:rsidR="00340799" w:rsidRPr="00C04408">
        <w:t>млрд гривень)</w:t>
      </w:r>
      <w:r w:rsidR="00114C9B" w:rsidRPr="00C04408">
        <w:t>.</w:t>
      </w:r>
      <w:r w:rsidR="00496306" w:rsidRPr="00C04408">
        <w:t xml:space="preserve"> </w:t>
      </w:r>
      <w:bookmarkStart w:id="15" w:name="n21"/>
      <w:bookmarkEnd w:id="15"/>
    </w:p>
    <w:p w:rsidR="00340799" w:rsidRPr="00C04408" w:rsidRDefault="00340799" w:rsidP="00107345">
      <w:pPr>
        <w:spacing w:before="100"/>
        <w:ind w:firstLine="709"/>
        <w:jc w:val="both"/>
      </w:pPr>
      <w:r w:rsidRPr="00C04408">
        <w:t xml:space="preserve">У </w:t>
      </w:r>
      <w:r w:rsidR="008773BF" w:rsidRPr="00C04408">
        <w:t>201</w:t>
      </w:r>
      <w:r w:rsidR="004F4982" w:rsidRPr="00C04408">
        <w:t>5</w:t>
      </w:r>
      <w:r w:rsidR="00931E81" w:rsidRPr="00C04408">
        <w:t> </w:t>
      </w:r>
      <w:r w:rsidRPr="00C04408">
        <w:t xml:space="preserve">році державні гарантії надано загалом в обсязі </w:t>
      </w:r>
      <w:r w:rsidR="004F4982" w:rsidRPr="00C04408">
        <w:t>7,4</w:t>
      </w:r>
      <w:r w:rsidR="00931E81" w:rsidRPr="00C04408">
        <w:t> </w:t>
      </w:r>
      <w:r w:rsidR="001D4DC9" w:rsidRPr="00C04408">
        <w:t>млрд гривень</w:t>
      </w:r>
      <w:r w:rsidR="006664D7" w:rsidRPr="00C04408">
        <w:t xml:space="preserve"> (з них 300 млн дол</w:t>
      </w:r>
      <w:r w:rsidR="008A7429" w:rsidRPr="00C04408">
        <w:t>арів</w:t>
      </w:r>
      <w:r w:rsidR="006664D7" w:rsidRPr="00C04408">
        <w:t xml:space="preserve"> США за зобов’язаннями публічного акціонерного товариства «Національна акціонерна компанія «Нафтогаз України»</w:t>
      </w:r>
      <w:r w:rsidR="006664D7" w:rsidRPr="00C0440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 w:rsidR="006664D7" w:rsidRPr="00C04408">
        <w:t>з метою формування стабілізаційного (резервного) енергетичного фонду</w:t>
      </w:r>
      <w:r w:rsidR="007E2005" w:rsidRPr="00C04408">
        <w:t xml:space="preserve">) при тому, що статтею 6 Закону затверджено граничні обсяги надання державних гарантій у сумі 25 млрд гривень та для створення такого фонду в сумі 1 млрд </w:t>
      </w:r>
      <w:r w:rsidR="008A7429" w:rsidRPr="00C04408">
        <w:t>доларів</w:t>
      </w:r>
      <w:r w:rsidR="007E2005" w:rsidRPr="00C04408">
        <w:t xml:space="preserve"> США</w:t>
      </w:r>
      <w:r w:rsidR="00A21197" w:rsidRPr="00C04408">
        <w:t xml:space="preserve">. </w:t>
      </w:r>
      <w:r w:rsidR="00114C9B" w:rsidRPr="00C04408">
        <w:t>Г</w:t>
      </w:r>
      <w:r w:rsidRPr="00C04408">
        <w:t>арантова</w:t>
      </w:r>
      <w:r w:rsidR="005F39CB" w:rsidRPr="00C04408">
        <w:t xml:space="preserve">ний державою борг </w:t>
      </w:r>
      <w:r w:rsidR="00ED0930" w:rsidRPr="00C04408">
        <w:t>зріс</w:t>
      </w:r>
      <w:r w:rsidR="007F5ADF" w:rsidRPr="00C04408">
        <w:t xml:space="preserve"> за рік на </w:t>
      </w:r>
      <w:r w:rsidR="00B64B5F" w:rsidRPr="00C04408">
        <w:t>54,7</w:t>
      </w:r>
      <w:r w:rsidR="00132385" w:rsidRPr="00C04408">
        <w:t> </w:t>
      </w:r>
      <w:r w:rsidR="00114C9B" w:rsidRPr="00C04408">
        <w:t>відсотка і на 1</w:t>
      </w:r>
      <w:r w:rsidR="00132385" w:rsidRPr="00C04408">
        <w:t> </w:t>
      </w:r>
      <w:r w:rsidR="004534A0" w:rsidRPr="00C04408">
        <w:t>січня 201</w:t>
      </w:r>
      <w:r w:rsidR="004F4982" w:rsidRPr="00C04408">
        <w:t>6</w:t>
      </w:r>
      <w:r w:rsidR="00132385" w:rsidRPr="00C04408">
        <w:t> </w:t>
      </w:r>
      <w:r w:rsidR="00114C9B" w:rsidRPr="00C04408">
        <w:t xml:space="preserve">року </w:t>
      </w:r>
      <w:r w:rsidR="00083205" w:rsidRPr="00C04408">
        <w:t xml:space="preserve">становив </w:t>
      </w:r>
      <w:r w:rsidR="004F4982" w:rsidRPr="00C04408">
        <w:t>237,9</w:t>
      </w:r>
      <w:r w:rsidR="00132385" w:rsidRPr="00C04408">
        <w:t> </w:t>
      </w:r>
      <w:r w:rsidR="00114C9B" w:rsidRPr="00C04408">
        <w:t>млрд гривень</w:t>
      </w:r>
      <w:r w:rsidRPr="00C04408">
        <w:t>.</w:t>
      </w:r>
    </w:p>
    <w:p w:rsidR="005C6256" w:rsidRPr="00C04408" w:rsidRDefault="008A7429" w:rsidP="00107345">
      <w:pPr>
        <w:spacing w:before="100"/>
        <w:ind w:firstLine="709"/>
        <w:jc w:val="both"/>
        <w:rPr>
          <w:bCs/>
          <w:lang w:eastAsia="ru-RU"/>
        </w:rPr>
      </w:pPr>
      <w:bookmarkStart w:id="16" w:name="n22"/>
      <w:bookmarkStart w:id="17" w:name="n23"/>
      <w:bookmarkEnd w:id="16"/>
      <w:bookmarkEnd w:id="17"/>
      <w:r w:rsidRPr="00C04408">
        <w:rPr>
          <w:bCs/>
          <w:lang w:eastAsia="ru-RU"/>
        </w:rPr>
        <w:t xml:space="preserve">Рахункова палата </w:t>
      </w:r>
      <w:r w:rsidR="00D31A6A" w:rsidRPr="00C04408">
        <w:rPr>
          <w:bCs/>
          <w:lang w:eastAsia="ru-RU"/>
        </w:rPr>
        <w:t xml:space="preserve">вважає, що </w:t>
      </w:r>
      <w:r w:rsidR="009C2393" w:rsidRPr="00C04408">
        <w:rPr>
          <w:bCs/>
          <w:lang w:eastAsia="ru-RU"/>
        </w:rPr>
        <w:t>показники боргової безпеки за 201</w:t>
      </w:r>
      <w:r w:rsidR="00083205" w:rsidRPr="00C04408">
        <w:rPr>
          <w:bCs/>
          <w:lang w:eastAsia="ru-RU"/>
        </w:rPr>
        <w:t>5</w:t>
      </w:r>
      <w:r w:rsidR="009C2393" w:rsidRPr="00C04408">
        <w:rPr>
          <w:bCs/>
          <w:lang w:eastAsia="ru-RU"/>
        </w:rPr>
        <w:t xml:space="preserve"> рік перевищили критичний рівень, що </w:t>
      </w:r>
      <w:r w:rsidR="00D31A6A" w:rsidRPr="00C04408">
        <w:rPr>
          <w:bCs/>
          <w:lang w:eastAsia="ru-RU"/>
        </w:rPr>
        <w:t xml:space="preserve">за відсутності неборгових джерел фінансування дефіциту державного бюджету </w:t>
      </w:r>
      <w:r w:rsidR="009C2393" w:rsidRPr="00C04408">
        <w:rPr>
          <w:bCs/>
          <w:lang w:eastAsia="ru-RU"/>
        </w:rPr>
        <w:t xml:space="preserve">посилює ризики дестабілізації державних фінансів, а </w:t>
      </w:r>
      <w:r w:rsidR="005C6256" w:rsidRPr="00C04408">
        <w:rPr>
          <w:bCs/>
          <w:lang w:eastAsia="ru-RU"/>
        </w:rPr>
        <w:t>здійснені заходи з реструктуризації державного і гарантованого державою боргу в умовах девальвації гривні і залучення державних запозичень, насамперед</w:t>
      </w:r>
      <w:r w:rsidR="006B57EB" w:rsidRPr="00C04408">
        <w:rPr>
          <w:bCs/>
          <w:lang w:eastAsia="ru-RU"/>
        </w:rPr>
        <w:t xml:space="preserve"> зовнішніх</w:t>
      </w:r>
      <w:r w:rsidR="005C6256" w:rsidRPr="00C04408">
        <w:rPr>
          <w:bCs/>
          <w:lang w:eastAsia="ru-RU"/>
        </w:rPr>
        <w:t>, що перевищили витрати на погашення державного боргу, не призвели до зниження загального обсягу державних боргових і гарантійних зобов’язань та боргового навантаження на державний бюджет.</w:t>
      </w:r>
    </w:p>
    <w:p w:rsidR="002F2982" w:rsidRPr="00C04408" w:rsidRDefault="00947330" w:rsidP="00107345">
      <w:pPr>
        <w:pStyle w:val="1"/>
        <w:spacing w:before="100"/>
      </w:pPr>
      <w:r w:rsidRPr="00C04408">
        <w:t xml:space="preserve">Залишки коштів державного бюджету протягом року збільшилися на 14,2 млрд гривень і на кінець року становили </w:t>
      </w:r>
      <w:r w:rsidR="00BF79AE" w:rsidRPr="00C04408">
        <w:t>51,3</w:t>
      </w:r>
      <w:r w:rsidR="00132385" w:rsidRPr="00C04408">
        <w:t> </w:t>
      </w:r>
      <w:r w:rsidR="00976FB7" w:rsidRPr="00C04408">
        <w:t>мл</w:t>
      </w:r>
      <w:r w:rsidR="0045745A" w:rsidRPr="00C04408">
        <w:t>рд</w:t>
      </w:r>
      <w:r w:rsidR="00340799" w:rsidRPr="00C04408">
        <w:t xml:space="preserve"> гривень,</w:t>
      </w:r>
      <w:r w:rsidR="00D47F56" w:rsidRPr="00C04408">
        <w:t xml:space="preserve"> з них </w:t>
      </w:r>
      <w:r w:rsidR="00132385" w:rsidRPr="00C04408">
        <w:t>за</w:t>
      </w:r>
      <w:r w:rsidR="00D47F56" w:rsidRPr="00C04408">
        <w:t xml:space="preserve"> загальн</w:t>
      </w:r>
      <w:r w:rsidR="00132385" w:rsidRPr="00C04408">
        <w:t>им</w:t>
      </w:r>
      <w:r w:rsidR="00D47F56" w:rsidRPr="00C04408">
        <w:t xml:space="preserve"> фонд</w:t>
      </w:r>
      <w:r w:rsidR="00132385" w:rsidRPr="00C04408">
        <w:t>ом</w:t>
      </w:r>
      <w:r w:rsidR="00AC741D" w:rsidRPr="00C04408">
        <w:t xml:space="preserve"> –</w:t>
      </w:r>
      <w:r w:rsidR="00BF79AE" w:rsidRPr="00C04408">
        <w:t xml:space="preserve"> 26,2</w:t>
      </w:r>
      <w:r w:rsidR="00273F68" w:rsidRPr="00C04408">
        <w:t> </w:t>
      </w:r>
      <w:r w:rsidR="00DA6248" w:rsidRPr="00C04408">
        <w:t>млн</w:t>
      </w:r>
      <w:r w:rsidR="00273F68" w:rsidRPr="00C04408">
        <w:t xml:space="preserve"> гривень</w:t>
      </w:r>
      <w:r w:rsidR="009F25C9" w:rsidRPr="00C04408">
        <w:t>.</w:t>
      </w:r>
      <w:r w:rsidR="00E01950" w:rsidRPr="00C04408">
        <w:t xml:space="preserve"> </w:t>
      </w:r>
    </w:p>
    <w:p w:rsidR="00340799" w:rsidRPr="00C04408" w:rsidRDefault="00340799" w:rsidP="00107345">
      <w:pPr>
        <w:spacing w:before="100"/>
        <w:ind w:firstLine="709"/>
        <w:jc w:val="both"/>
      </w:pPr>
      <w:r w:rsidRPr="00C04408">
        <w:t xml:space="preserve">Видатки </w:t>
      </w:r>
      <w:hyperlink r:id="rId12" w:tgtFrame="_blank" w:history="1">
        <w:r w:rsidRPr="00C04408">
          <w:t xml:space="preserve">Державного бюджету України за </w:t>
        </w:r>
        <w:r w:rsidR="008773BF" w:rsidRPr="00C04408">
          <w:t>201</w:t>
        </w:r>
        <w:r w:rsidR="00E566EF" w:rsidRPr="00C04408">
          <w:t>5</w:t>
        </w:r>
        <w:r w:rsidR="00732907" w:rsidRPr="00C04408">
          <w:t> </w:t>
        </w:r>
        <w:r w:rsidRPr="00C04408">
          <w:t>рік</w:t>
        </w:r>
      </w:hyperlink>
      <w:r w:rsidRPr="00C04408">
        <w:t xml:space="preserve"> становил</w:t>
      </w:r>
      <w:r w:rsidR="009750A4" w:rsidRPr="00C04408">
        <w:t xml:space="preserve">и </w:t>
      </w:r>
      <w:r w:rsidR="00E566EF" w:rsidRPr="00C04408">
        <w:t>576,9</w:t>
      </w:r>
      <w:r w:rsidR="00732907" w:rsidRPr="00C04408">
        <w:t> </w:t>
      </w:r>
      <w:r w:rsidRPr="00C04408">
        <w:t xml:space="preserve">млрд гривень, або </w:t>
      </w:r>
      <w:r w:rsidR="00E566EF" w:rsidRPr="00C04408">
        <w:t>99,2</w:t>
      </w:r>
      <w:r w:rsidR="00732907" w:rsidRPr="00C04408">
        <w:t> </w:t>
      </w:r>
      <w:r w:rsidRPr="00C04408">
        <w:t>відсотка бюджетних призначень, з</w:t>
      </w:r>
      <w:r w:rsidR="00310A42" w:rsidRPr="00C04408">
        <w:t xml:space="preserve"> них </w:t>
      </w:r>
      <w:r w:rsidR="008E3B57" w:rsidRPr="00C04408">
        <w:t>видатки загального</w:t>
      </w:r>
      <w:r w:rsidR="000E0793" w:rsidRPr="00C04408">
        <w:t xml:space="preserve"> фонду – </w:t>
      </w:r>
      <w:r w:rsidR="00E566EF" w:rsidRPr="00C04408">
        <w:t>544,7</w:t>
      </w:r>
      <w:r w:rsidR="00732907" w:rsidRPr="00C04408">
        <w:t> </w:t>
      </w:r>
      <w:r w:rsidRPr="00C04408">
        <w:t xml:space="preserve">млрд гривень, </w:t>
      </w:r>
      <w:r w:rsidR="00847B4B" w:rsidRPr="00C04408">
        <w:t xml:space="preserve">що на </w:t>
      </w:r>
      <w:r w:rsidR="00E566EF" w:rsidRPr="00C04408">
        <w:t>1,8</w:t>
      </w:r>
      <w:r w:rsidR="008C3F72" w:rsidRPr="00C04408">
        <w:t xml:space="preserve"> відсотка або </w:t>
      </w:r>
      <w:r w:rsidRPr="00C04408">
        <w:t xml:space="preserve">на </w:t>
      </w:r>
      <w:r w:rsidR="00E566EF" w:rsidRPr="00C04408">
        <w:t>9,9</w:t>
      </w:r>
      <w:r w:rsidR="00732907" w:rsidRPr="00C04408">
        <w:t> </w:t>
      </w:r>
      <w:r w:rsidRPr="00C04408">
        <w:t>млрд гривень менше бюджетних призначень.</w:t>
      </w:r>
      <w:r w:rsidR="00843410" w:rsidRPr="00C04408">
        <w:t xml:space="preserve"> Разом з тим, на відміну від попередніх років видатки державного бюджету за загальним фондом проведені на достатньо високому рівні.</w:t>
      </w:r>
    </w:p>
    <w:p w:rsidR="00843410" w:rsidRPr="00C04408" w:rsidRDefault="00843410" w:rsidP="00107345">
      <w:pPr>
        <w:spacing w:before="100"/>
        <w:ind w:firstLine="709"/>
        <w:jc w:val="both"/>
      </w:pPr>
      <w:r w:rsidRPr="00C04408">
        <w:t>Порівняно з попереднім роком видатки загального фонду державного бюджету збільшилися на 173,5 млрд гривень, або на 46,8 відсотка</w:t>
      </w:r>
      <w:r w:rsidR="00833FA0" w:rsidRPr="00C04408">
        <w:t>,</w:t>
      </w:r>
      <w:r w:rsidRPr="00C04408">
        <w:t xml:space="preserve"> переважно за рахунок збільшення видатків на </w:t>
      </w:r>
      <w:r w:rsidR="00833FA0" w:rsidRPr="00C04408">
        <w:t xml:space="preserve">оборону </w:t>
      </w:r>
      <w:r w:rsidR="00833FA0" w:rsidRPr="00C04408">
        <w:rPr>
          <w:lang w:val="ru-RU"/>
        </w:rPr>
        <w:t>(</w:t>
      </w:r>
      <w:r w:rsidR="00833FA0" w:rsidRPr="00C04408">
        <w:t xml:space="preserve">на 85,4 відсотка) та </w:t>
      </w:r>
      <w:r w:rsidRPr="00C04408">
        <w:t xml:space="preserve">загальнодержавні функції </w:t>
      </w:r>
      <w:r w:rsidR="00833FA0" w:rsidRPr="00C04408">
        <w:t>(</w:t>
      </w:r>
      <w:r w:rsidRPr="00C04408">
        <w:t>на 58,4 відсотка</w:t>
      </w:r>
      <w:r w:rsidR="00833FA0" w:rsidRPr="00C04408">
        <w:t xml:space="preserve">), з них </w:t>
      </w:r>
      <w:r w:rsidR="0089473C" w:rsidRPr="00C04408">
        <w:t>на</w:t>
      </w:r>
      <w:r w:rsidRPr="00C04408">
        <w:t xml:space="preserve"> обслуговування державного боргу </w:t>
      </w:r>
      <w:r w:rsidR="00833FA0" w:rsidRPr="00C04408">
        <w:t>(</w:t>
      </w:r>
      <w:r w:rsidRPr="00C04408">
        <w:t>на 76,1 відсотка). При цьому повільніше відбувалося збільшення видатків на соціальний захист та соціальне забезпечення (на 40,6</w:t>
      </w:r>
      <w:r w:rsidR="00841656" w:rsidRPr="00C04408">
        <w:t> відсотка</w:t>
      </w:r>
      <w:r w:rsidRPr="00C04408">
        <w:t>), духовний та фізичний розвиток  (</w:t>
      </w:r>
      <w:r w:rsidR="00841656" w:rsidRPr="00C04408">
        <w:t xml:space="preserve">на </w:t>
      </w:r>
      <w:r w:rsidRPr="00C04408">
        <w:t>35,9</w:t>
      </w:r>
      <w:r w:rsidR="00841656" w:rsidRPr="00C04408">
        <w:t> відсотка</w:t>
      </w:r>
      <w:r w:rsidRPr="00C04408">
        <w:t>), охорону здоров’я (</w:t>
      </w:r>
      <w:r w:rsidR="00841656" w:rsidRPr="00C04408">
        <w:t xml:space="preserve">на </w:t>
      </w:r>
      <w:r w:rsidRPr="00C04408">
        <w:t>18,3</w:t>
      </w:r>
      <w:r w:rsidR="00841656" w:rsidRPr="00C04408">
        <w:t> відсотка</w:t>
      </w:r>
      <w:r w:rsidRPr="00C04408">
        <w:t>)</w:t>
      </w:r>
      <w:r w:rsidR="00841656" w:rsidRPr="00C04408">
        <w:t>.</w:t>
      </w:r>
    </w:p>
    <w:p w:rsidR="0054524C" w:rsidRPr="00C04408" w:rsidRDefault="008C3F72" w:rsidP="00107345">
      <w:pPr>
        <w:spacing w:before="100"/>
        <w:ind w:firstLine="709"/>
        <w:jc w:val="both"/>
      </w:pPr>
      <w:bookmarkStart w:id="18" w:name="n25"/>
      <w:bookmarkEnd w:id="18"/>
      <w:r w:rsidRPr="00C04408">
        <w:t>З</w:t>
      </w:r>
      <w:r w:rsidR="00640DB8" w:rsidRPr="00C04408">
        <w:t xml:space="preserve">а загальним фондом державного бюджету поточні видатки проведені на </w:t>
      </w:r>
      <w:r w:rsidR="000759BF" w:rsidRPr="00C04408">
        <w:t xml:space="preserve">рівні </w:t>
      </w:r>
      <w:r w:rsidR="006E2CD5" w:rsidRPr="00C04408">
        <w:t>98,6</w:t>
      </w:r>
      <w:r w:rsidR="00C97D00" w:rsidRPr="00C04408">
        <w:t> </w:t>
      </w:r>
      <w:r w:rsidR="00640DB8" w:rsidRPr="00C04408">
        <w:t>відсотк</w:t>
      </w:r>
      <w:r w:rsidR="006E2CD5" w:rsidRPr="00C04408">
        <w:t>а</w:t>
      </w:r>
      <w:r w:rsidR="00640DB8" w:rsidRPr="00C04408">
        <w:t xml:space="preserve"> бюджетних асигнувань</w:t>
      </w:r>
      <w:r w:rsidR="00651E9D" w:rsidRPr="00C04408">
        <w:t>, а капітальні видатки –</w:t>
      </w:r>
      <w:r w:rsidR="00FF7EE1" w:rsidRPr="00C04408">
        <w:t xml:space="preserve"> </w:t>
      </w:r>
      <w:r w:rsidR="0054524C" w:rsidRPr="00C04408">
        <w:t>84,8</w:t>
      </w:r>
      <w:r w:rsidRPr="00C04408">
        <w:t xml:space="preserve"> відсотка бюджетних асигнувань. </w:t>
      </w:r>
      <w:r w:rsidR="00EA681A" w:rsidRPr="00C04408">
        <w:t>Н</w:t>
      </w:r>
      <w:r w:rsidR="0054524C" w:rsidRPr="00C04408">
        <w:t xml:space="preserve">а відміну від попереднього року відбулося збільшення </w:t>
      </w:r>
      <w:r w:rsidR="00EA681A" w:rsidRPr="00C04408">
        <w:t xml:space="preserve">обсягу капітальних видатків </w:t>
      </w:r>
      <w:r w:rsidR="0054524C" w:rsidRPr="00C04408">
        <w:t xml:space="preserve">у </w:t>
      </w:r>
      <w:r w:rsidR="00EA681A" w:rsidRPr="00C04408">
        <w:t>4,3</w:t>
      </w:r>
      <w:r w:rsidR="0054524C" w:rsidRPr="00C04408">
        <w:t> </w:t>
      </w:r>
      <w:proofErr w:type="spellStart"/>
      <w:r w:rsidR="0054524C" w:rsidRPr="00C04408">
        <w:t>раз</w:t>
      </w:r>
      <w:r w:rsidR="000127B1" w:rsidRPr="00C04408">
        <w:t>а</w:t>
      </w:r>
      <w:proofErr w:type="spellEnd"/>
      <w:r w:rsidR="00EA681A" w:rsidRPr="00C04408">
        <w:t>, при цьому їх питома вага у загальному обсязі видатків</w:t>
      </w:r>
      <w:r w:rsidR="0054524C" w:rsidRPr="00C04408">
        <w:t xml:space="preserve"> </w:t>
      </w:r>
      <w:r w:rsidR="00EA681A" w:rsidRPr="00C04408">
        <w:t xml:space="preserve">загального фонду </w:t>
      </w:r>
      <w:r w:rsidR="0054524C" w:rsidRPr="00C04408">
        <w:t xml:space="preserve">державного бюджету </w:t>
      </w:r>
      <w:r w:rsidR="00EA681A" w:rsidRPr="00C04408">
        <w:t>збільшилас</w:t>
      </w:r>
      <w:r w:rsidR="000127B1" w:rsidRPr="00C04408">
        <w:t>я</w:t>
      </w:r>
      <w:r w:rsidR="00EA681A" w:rsidRPr="00C04408">
        <w:t xml:space="preserve"> з 0,7 відсотка у 2014 році до 1,9 відсотка у 2015 році.</w:t>
      </w:r>
    </w:p>
    <w:p w:rsidR="00340799" w:rsidRPr="00C04408" w:rsidRDefault="00340799" w:rsidP="00107345">
      <w:pPr>
        <w:spacing w:before="100"/>
        <w:ind w:firstLine="709"/>
        <w:jc w:val="both"/>
      </w:pPr>
      <w:r w:rsidRPr="00C04408">
        <w:lastRenderedPageBreak/>
        <w:t>Захищені</w:t>
      </w:r>
      <w:r w:rsidR="00DD3F2B" w:rsidRPr="00C04408">
        <w:t xml:space="preserve"> видатки державного бюджету </w:t>
      </w:r>
      <w:r w:rsidR="00F230AE" w:rsidRPr="00C04408">
        <w:t>здійснені</w:t>
      </w:r>
      <w:r w:rsidR="00FA26D8" w:rsidRPr="00C04408">
        <w:t xml:space="preserve"> загалом в обсязі </w:t>
      </w:r>
      <w:r w:rsidR="00635EAA" w:rsidRPr="00C04408">
        <w:t>476,9</w:t>
      </w:r>
      <w:r w:rsidR="00732907" w:rsidRPr="00C04408">
        <w:t> </w:t>
      </w:r>
      <w:r w:rsidR="00AF570F" w:rsidRPr="00C04408">
        <w:t>м</w:t>
      </w:r>
      <w:r w:rsidRPr="00C04408">
        <w:t xml:space="preserve">лрд гривень, або </w:t>
      </w:r>
      <w:r w:rsidR="00635EAA" w:rsidRPr="00C04408">
        <w:t>99,1</w:t>
      </w:r>
      <w:r w:rsidR="00732907" w:rsidRPr="00C04408">
        <w:t> </w:t>
      </w:r>
      <w:r w:rsidRPr="00C04408">
        <w:t>відсотка бюджетн</w:t>
      </w:r>
      <w:r w:rsidR="00A9094C" w:rsidRPr="00C04408">
        <w:t xml:space="preserve">их асигнувань, та становили </w:t>
      </w:r>
      <w:r w:rsidR="00635EAA" w:rsidRPr="00C04408">
        <w:t>87,6</w:t>
      </w:r>
      <w:r w:rsidR="00732907" w:rsidRPr="00C04408">
        <w:t> </w:t>
      </w:r>
      <w:r w:rsidRPr="00C04408">
        <w:t>відсотка видатків загального фонду державного бюджету.</w:t>
      </w:r>
    </w:p>
    <w:p w:rsidR="00A77AE9" w:rsidRPr="00C04408" w:rsidRDefault="00065506" w:rsidP="00107345">
      <w:pPr>
        <w:pStyle w:val="a7"/>
        <w:spacing w:before="100"/>
        <w:ind w:firstLine="709"/>
        <w:jc w:val="both"/>
        <w:rPr>
          <w:sz w:val="28"/>
          <w:szCs w:val="28"/>
        </w:rPr>
      </w:pPr>
      <w:bookmarkStart w:id="19" w:name="n26"/>
      <w:bookmarkEnd w:id="19"/>
      <w:r w:rsidRPr="00C04408">
        <w:rPr>
          <w:sz w:val="28"/>
          <w:szCs w:val="28"/>
        </w:rPr>
        <w:t>Протягом звітного періоду відбулося незначне збільшення розмірів державних соціальних стандартів</w:t>
      </w:r>
      <w:r w:rsidR="000127B1" w:rsidRPr="00C04408">
        <w:rPr>
          <w:sz w:val="28"/>
          <w:szCs w:val="28"/>
        </w:rPr>
        <w:t>,</w:t>
      </w:r>
      <w:r w:rsidRPr="00C04408">
        <w:rPr>
          <w:sz w:val="28"/>
          <w:szCs w:val="28"/>
        </w:rPr>
        <w:t xml:space="preserve"> незважаючи на стрімке зростання цін на основні групи товарів. </w:t>
      </w:r>
      <w:r w:rsidR="00F230AE" w:rsidRPr="00C04408">
        <w:rPr>
          <w:sz w:val="28"/>
          <w:szCs w:val="28"/>
        </w:rPr>
        <w:t>Р</w:t>
      </w:r>
      <w:r w:rsidRPr="00C04408">
        <w:rPr>
          <w:sz w:val="28"/>
          <w:szCs w:val="28"/>
        </w:rPr>
        <w:t xml:space="preserve">озміри державних соціальних стандартів, установлені станом на 1 грудня 2013 року, були збільшені лише з вересня 2015 року у середньому на 13,1 відсотка. </w:t>
      </w:r>
      <w:r w:rsidR="00F230AE" w:rsidRPr="00C04408">
        <w:rPr>
          <w:sz w:val="28"/>
          <w:szCs w:val="28"/>
        </w:rPr>
        <w:t xml:space="preserve">Загалом середньозважені місячні розміри прожиткового мінімуму на одну особу (1227 гривень), мінімальної заробітної плати (1271 гривень) та мінімальної пенсії (991 гривень) у 2015 році збільшилися порівняно з аналогічним показником попереднього року лише на 4,4 відсотка, хоча індекс споживчих цін </w:t>
      </w:r>
      <w:r w:rsidR="003B334E" w:rsidRPr="00C04408">
        <w:rPr>
          <w:sz w:val="28"/>
          <w:szCs w:val="28"/>
        </w:rPr>
        <w:t>становив</w:t>
      </w:r>
      <w:r w:rsidR="00F230AE" w:rsidRPr="00C04408">
        <w:rPr>
          <w:sz w:val="28"/>
          <w:szCs w:val="28"/>
        </w:rPr>
        <w:t xml:space="preserve"> 143,3 відсотка. Посадові оклади (тарифні ставки) визначалис</w:t>
      </w:r>
      <w:r w:rsidR="00A77AE9" w:rsidRPr="00C04408">
        <w:rPr>
          <w:sz w:val="28"/>
          <w:szCs w:val="28"/>
        </w:rPr>
        <w:t>я</w:t>
      </w:r>
      <w:r w:rsidR="00F230AE" w:rsidRPr="00C04408">
        <w:rPr>
          <w:sz w:val="28"/>
          <w:szCs w:val="28"/>
        </w:rPr>
        <w:t xml:space="preserve"> виходячи із розміру посадового окладу (тарифної ставки) працівника першого тарифного розряду з 1 січня 2015 року – 852 гривні, з 1 вересня – 1012 гривень, з 1 грудня – 1113 гривень</w:t>
      </w:r>
      <w:r w:rsidR="00A77AE9" w:rsidRPr="00C04408">
        <w:rPr>
          <w:sz w:val="28"/>
          <w:szCs w:val="28"/>
        </w:rPr>
        <w:t>, які є</w:t>
      </w:r>
      <w:r w:rsidR="00F230AE" w:rsidRPr="00C04408">
        <w:rPr>
          <w:sz w:val="28"/>
          <w:szCs w:val="28"/>
        </w:rPr>
        <w:t xml:space="preserve"> нижч</w:t>
      </w:r>
      <w:r w:rsidR="00A77AE9" w:rsidRPr="00C04408">
        <w:rPr>
          <w:sz w:val="28"/>
          <w:szCs w:val="28"/>
        </w:rPr>
        <w:t>ими за розмір мінімальної зар</w:t>
      </w:r>
      <w:r w:rsidR="003B334E" w:rsidRPr="00C04408">
        <w:rPr>
          <w:sz w:val="28"/>
          <w:szCs w:val="28"/>
        </w:rPr>
        <w:t xml:space="preserve">обітної </w:t>
      </w:r>
      <w:r w:rsidR="00A77AE9" w:rsidRPr="00C04408">
        <w:rPr>
          <w:sz w:val="28"/>
          <w:szCs w:val="28"/>
        </w:rPr>
        <w:t>плати. Отже, питання відновлення диференціації міжгалузевих та міжпосадових співвідношень в оплаті праці у бюджетній сфері залишається актуальним і потребує поетапного вирішення, забезпечивши у перспективі встановлення посадових окладів (тарифних ставок) працівників бюджетних установ на основі мінімальної заробітної плати.</w:t>
      </w:r>
    </w:p>
    <w:p w:rsidR="00340799" w:rsidRPr="00C04408" w:rsidRDefault="00340799" w:rsidP="00107345">
      <w:pPr>
        <w:spacing w:before="100"/>
        <w:ind w:firstLine="709"/>
        <w:jc w:val="both"/>
      </w:pPr>
      <w:bookmarkStart w:id="20" w:name="n27"/>
      <w:bookmarkEnd w:id="20"/>
      <w:r w:rsidRPr="00C04408">
        <w:t>Пенсійному фонду України спрямовано видатк</w:t>
      </w:r>
      <w:r w:rsidR="000600CB" w:rsidRPr="00C04408">
        <w:t>и державного бю</w:t>
      </w:r>
      <w:r w:rsidR="00927DE0" w:rsidRPr="00C04408">
        <w:t xml:space="preserve">джету </w:t>
      </w:r>
      <w:r w:rsidR="00451E7E" w:rsidRPr="00C04408">
        <w:t>в</w:t>
      </w:r>
      <w:r w:rsidR="00927DE0" w:rsidRPr="00C04408">
        <w:t xml:space="preserve"> сумі </w:t>
      </w:r>
      <w:r w:rsidR="00451E7E" w:rsidRPr="00C04408">
        <w:t>94,8</w:t>
      </w:r>
      <w:r w:rsidR="009C6A87" w:rsidRPr="00C04408">
        <w:t> </w:t>
      </w:r>
      <w:r w:rsidRPr="00C04408">
        <w:t>млрд гривень</w:t>
      </w:r>
      <w:r w:rsidR="00B5203D" w:rsidRPr="00C04408">
        <w:t xml:space="preserve">, що </w:t>
      </w:r>
      <w:r w:rsidR="00927DE0" w:rsidRPr="00C04408">
        <w:t xml:space="preserve">на </w:t>
      </w:r>
      <w:r w:rsidR="00451E7E" w:rsidRPr="00C04408">
        <w:t>1</w:t>
      </w:r>
      <w:r w:rsidR="00A46D46" w:rsidRPr="00C04408">
        <w:t>9</w:t>
      </w:r>
      <w:r w:rsidR="00927DE0" w:rsidRPr="00C04408">
        <w:t xml:space="preserve"> млрд гривень </w:t>
      </w:r>
      <w:r w:rsidR="00451E7E" w:rsidRPr="00C04408">
        <w:t>більше</w:t>
      </w:r>
      <w:r w:rsidR="00927DE0" w:rsidRPr="00C04408">
        <w:t>, ніж у 201</w:t>
      </w:r>
      <w:r w:rsidR="00451E7E" w:rsidRPr="00C04408">
        <w:t>4</w:t>
      </w:r>
      <w:r w:rsidR="00F1417C" w:rsidRPr="00C04408">
        <w:t> році.</w:t>
      </w:r>
      <w:r w:rsidR="00451E7E" w:rsidRPr="00C04408">
        <w:t xml:space="preserve"> При цьому</w:t>
      </w:r>
      <w:r w:rsidRPr="00C04408">
        <w:t xml:space="preserve"> у </w:t>
      </w:r>
      <w:r w:rsidR="008773BF" w:rsidRPr="00C04408">
        <w:t>201</w:t>
      </w:r>
      <w:r w:rsidR="00451E7E" w:rsidRPr="00C04408">
        <w:t>5</w:t>
      </w:r>
      <w:r w:rsidR="009C6A87" w:rsidRPr="00C04408">
        <w:t> </w:t>
      </w:r>
      <w:r w:rsidRPr="00C04408">
        <w:t>році продовжувалася практика покриття тимчасових касових розривів Пенсійного фонду України за рахунок коштів єдиного казначейського</w:t>
      </w:r>
      <w:r w:rsidR="000600CB" w:rsidRPr="00C04408">
        <w:t xml:space="preserve"> рахунк</w:t>
      </w:r>
      <w:r w:rsidR="00451E7E" w:rsidRPr="00C04408">
        <w:t xml:space="preserve">а, </w:t>
      </w:r>
      <w:r w:rsidR="008C4157" w:rsidRPr="00C04408">
        <w:t>проте</w:t>
      </w:r>
      <w:r w:rsidR="00451E7E" w:rsidRPr="00C04408">
        <w:t xml:space="preserve"> незважаючи на повернення у повному обсязі коштів, залучених у 2015 році, обсяг з</w:t>
      </w:r>
      <w:r w:rsidRPr="00C04408">
        <w:t>аборгован</w:t>
      </w:r>
      <w:r w:rsidR="00451E7E" w:rsidRPr="00C04408">
        <w:t>ості</w:t>
      </w:r>
      <w:r w:rsidRPr="00C04408">
        <w:t xml:space="preserve"> Пенсійного фонду України </w:t>
      </w:r>
      <w:r w:rsidR="00357D46" w:rsidRPr="00C04408">
        <w:t xml:space="preserve">за такими коштами </w:t>
      </w:r>
      <w:r w:rsidR="00451E7E" w:rsidRPr="00C04408">
        <w:t xml:space="preserve">залишається значним і </w:t>
      </w:r>
      <w:r w:rsidR="006309E0" w:rsidRPr="00C04408">
        <w:t>на 1 </w:t>
      </w:r>
      <w:r w:rsidR="00927DE0" w:rsidRPr="00C04408">
        <w:t>січня 201</w:t>
      </w:r>
      <w:r w:rsidR="00451E7E" w:rsidRPr="00C04408">
        <w:t>6</w:t>
      </w:r>
      <w:r w:rsidR="006309E0" w:rsidRPr="00C04408">
        <w:t xml:space="preserve"> року </w:t>
      </w:r>
      <w:r w:rsidR="00615E47" w:rsidRPr="00C04408">
        <w:t>станови</w:t>
      </w:r>
      <w:r w:rsidR="00451E7E" w:rsidRPr="00C04408">
        <w:t>в</w:t>
      </w:r>
      <w:r w:rsidR="00615E47" w:rsidRPr="00C04408">
        <w:t xml:space="preserve"> </w:t>
      </w:r>
      <w:r w:rsidR="00A46D46" w:rsidRPr="00C04408">
        <w:t>50,4</w:t>
      </w:r>
      <w:r w:rsidR="00494B2A" w:rsidRPr="00C04408">
        <w:t> млрд гривень</w:t>
      </w:r>
      <w:r w:rsidRPr="00C04408">
        <w:t xml:space="preserve">. </w:t>
      </w:r>
      <w:r w:rsidR="00CA0421" w:rsidRPr="00C04408">
        <w:t>Рахунковою палатою зроблено висновки про наявність ризиків виникнення дефіциту ресурсів Пенсійного фонду України і відволікання коштів державного бюджету для підтримки його платоспроможності</w:t>
      </w:r>
      <w:r w:rsidR="001251C8" w:rsidRPr="00C04408">
        <w:t xml:space="preserve">, зважаючи на те, що обсяги надходжень від єдиного внеску </w:t>
      </w:r>
      <w:r w:rsidR="00D71251" w:rsidRPr="00C04408">
        <w:t xml:space="preserve">на загальнообов'язкове державне соціальне страхування </w:t>
      </w:r>
      <w:r w:rsidR="001251C8" w:rsidRPr="00C04408">
        <w:t xml:space="preserve">збільшуються повільніше, ніж видатки </w:t>
      </w:r>
      <w:r w:rsidR="00E025AC" w:rsidRPr="00C04408">
        <w:t>цього ф</w:t>
      </w:r>
      <w:r w:rsidR="001251C8" w:rsidRPr="00C04408">
        <w:t>онду, а також</w:t>
      </w:r>
      <w:r w:rsidR="00D71251" w:rsidRPr="00C04408">
        <w:t xml:space="preserve"> з огляду </w:t>
      </w:r>
      <w:r w:rsidR="001251C8" w:rsidRPr="00C04408">
        <w:t>на нарощування заборгованості платників за страховими внесками</w:t>
      </w:r>
      <w:r w:rsidR="00CA0421" w:rsidRPr="00C04408">
        <w:t>.</w:t>
      </w:r>
    </w:p>
    <w:p w:rsidR="00A66FF8" w:rsidRPr="00C04408" w:rsidRDefault="00DD64B6" w:rsidP="00107345">
      <w:pPr>
        <w:spacing w:before="100"/>
        <w:ind w:firstLine="709"/>
        <w:jc w:val="both"/>
        <w:rPr>
          <w:bCs/>
        </w:rPr>
      </w:pPr>
      <w:bookmarkStart w:id="21" w:name="n28"/>
      <w:bookmarkEnd w:id="21"/>
      <w:r w:rsidRPr="00C04408">
        <w:t>Витрати з резервного фонду державного бюджету у 201</w:t>
      </w:r>
      <w:r w:rsidR="00A66FF8" w:rsidRPr="00C04408">
        <w:t>5</w:t>
      </w:r>
      <w:r w:rsidRPr="00C04408">
        <w:t xml:space="preserve"> році </w:t>
      </w:r>
      <w:r w:rsidR="005F24C4" w:rsidRPr="00C04408">
        <w:t xml:space="preserve">при бюджетних призначеннях 1,8 млрд гривень здійснені в обсязі </w:t>
      </w:r>
      <w:r w:rsidR="00A66FF8" w:rsidRPr="00C04408">
        <w:t>1,1</w:t>
      </w:r>
      <w:r w:rsidRPr="00C04408">
        <w:t> млрд гривень</w:t>
      </w:r>
      <w:r w:rsidR="005F24C4" w:rsidRPr="00C04408">
        <w:t>, з них п</w:t>
      </w:r>
      <w:r w:rsidR="00A66FF8" w:rsidRPr="00C04408">
        <w:rPr>
          <w:bCs/>
        </w:rPr>
        <w:t xml:space="preserve">ереважна частина коштів </w:t>
      </w:r>
      <w:r w:rsidR="005F24C4" w:rsidRPr="00C04408">
        <w:rPr>
          <w:bCs/>
        </w:rPr>
        <w:t>виділена</w:t>
      </w:r>
      <w:r w:rsidR="00A66FF8" w:rsidRPr="00C04408">
        <w:rPr>
          <w:bCs/>
        </w:rPr>
        <w:t xml:space="preserve"> </w:t>
      </w:r>
      <w:r w:rsidR="00375E16" w:rsidRPr="00C04408">
        <w:t xml:space="preserve">головним розпорядникам коштів державного бюджету </w:t>
      </w:r>
      <w:r w:rsidR="00A66FF8" w:rsidRPr="00C04408">
        <w:rPr>
          <w:bCs/>
        </w:rPr>
        <w:t>сектор</w:t>
      </w:r>
      <w:r w:rsidR="00375E16" w:rsidRPr="00C04408">
        <w:rPr>
          <w:bCs/>
        </w:rPr>
        <w:t>у</w:t>
      </w:r>
      <w:r w:rsidR="00A66FF8" w:rsidRPr="00C04408">
        <w:rPr>
          <w:bCs/>
        </w:rPr>
        <w:t xml:space="preserve"> національної безпеки та оборони </w:t>
      </w:r>
      <w:r w:rsidR="00375E16" w:rsidRPr="00C04408">
        <w:rPr>
          <w:bCs/>
        </w:rPr>
        <w:t>(</w:t>
      </w:r>
      <w:r w:rsidR="005F24C4" w:rsidRPr="00C04408">
        <w:rPr>
          <w:bCs/>
        </w:rPr>
        <w:t xml:space="preserve">майже </w:t>
      </w:r>
      <w:r w:rsidR="00A66FF8" w:rsidRPr="00C04408">
        <w:rPr>
          <w:bCs/>
        </w:rPr>
        <w:t>1 мл</w:t>
      </w:r>
      <w:r w:rsidR="00375E16" w:rsidRPr="00C04408">
        <w:rPr>
          <w:bCs/>
        </w:rPr>
        <w:t xml:space="preserve">рд </w:t>
      </w:r>
      <w:r w:rsidR="00A66FF8" w:rsidRPr="00C04408">
        <w:rPr>
          <w:bCs/>
        </w:rPr>
        <w:t>гр</w:t>
      </w:r>
      <w:r w:rsidR="00375E16" w:rsidRPr="00C04408">
        <w:rPr>
          <w:bCs/>
        </w:rPr>
        <w:t>ивень</w:t>
      </w:r>
      <w:r w:rsidR="005F24C4" w:rsidRPr="00C04408">
        <w:rPr>
          <w:bCs/>
        </w:rPr>
        <w:t>).</w:t>
      </w:r>
      <w:r w:rsidR="00D06CFF" w:rsidRPr="00C04408">
        <w:rPr>
          <w:bCs/>
        </w:rPr>
        <w:t xml:space="preserve"> При цьому за висновками Рахункової палати виділення коштів з резервного фонду в окремих випадках здійснювалося з недоліками, які є системними і повторюються з року в рік (зокрема щодо спрямування коштів фонду на видатки, які можливо було передбачити під </w:t>
      </w:r>
      <w:r w:rsidR="00D06CFF" w:rsidRPr="00C04408">
        <w:rPr>
          <w:bCs/>
        </w:rPr>
        <w:lastRenderedPageBreak/>
        <w:t>час складання проекту державного бюджету за відповідними бюджетними програмами).</w:t>
      </w:r>
    </w:p>
    <w:p w:rsidR="00BC4421" w:rsidRPr="00C04408" w:rsidRDefault="007117D5" w:rsidP="00107345">
      <w:pPr>
        <w:spacing w:before="100"/>
        <w:ind w:firstLine="709"/>
        <w:jc w:val="both"/>
      </w:pPr>
      <w:r w:rsidRPr="00C04408">
        <w:t>Загалом</w:t>
      </w:r>
      <w:r w:rsidR="00943B06" w:rsidRPr="00C04408">
        <w:t xml:space="preserve"> головними розпорядниками коштів державного бюджету сектору національної безпеки і оборони видатки державного бюджету у 201</w:t>
      </w:r>
      <w:r w:rsidR="000924D0" w:rsidRPr="00C04408">
        <w:t>5</w:t>
      </w:r>
      <w:r w:rsidRPr="00C04408">
        <w:t> </w:t>
      </w:r>
      <w:r w:rsidR="00943B06" w:rsidRPr="00C04408">
        <w:t xml:space="preserve">році проведені </w:t>
      </w:r>
      <w:r w:rsidR="002F6C9B" w:rsidRPr="00C04408">
        <w:t>в</w:t>
      </w:r>
      <w:r w:rsidR="00943B06" w:rsidRPr="00C04408">
        <w:t xml:space="preserve"> сумі </w:t>
      </w:r>
      <w:r w:rsidR="000924D0" w:rsidRPr="00C04408">
        <w:t>93</w:t>
      </w:r>
      <w:r w:rsidRPr="00C04408">
        <w:t>,</w:t>
      </w:r>
      <w:r w:rsidR="000924D0" w:rsidRPr="00C04408">
        <w:t>6</w:t>
      </w:r>
      <w:r w:rsidRPr="00C04408">
        <w:t> </w:t>
      </w:r>
      <w:r w:rsidR="00943B06" w:rsidRPr="00C04408">
        <w:t>мл</w:t>
      </w:r>
      <w:r w:rsidRPr="00C04408">
        <w:t>рд</w:t>
      </w:r>
      <w:r w:rsidR="00943B06" w:rsidRPr="00C04408">
        <w:t> гр</w:t>
      </w:r>
      <w:r w:rsidR="0083707C" w:rsidRPr="00C04408">
        <w:t>ивень</w:t>
      </w:r>
      <w:r w:rsidR="00943B06" w:rsidRPr="00C04408">
        <w:t>, що с</w:t>
      </w:r>
      <w:r w:rsidR="00BC4421" w:rsidRPr="00C04408">
        <w:t xml:space="preserve">тановить </w:t>
      </w:r>
      <w:r w:rsidR="00943B06" w:rsidRPr="00C04408">
        <w:t>9</w:t>
      </w:r>
      <w:r w:rsidR="00920B21" w:rsidRPr="00C04408">
        <w:t>8</w:t>
      </w:r>
      <w:r w:rsidR="00943B06" w:rsidRPr="00C04408">
        <w:t>,8</w:t>
      </w:r>
      <w:r w:rsidR="00920B21" w:rsidRPr="00C04408">
        <w:t> відсотка</w:t>
      </w:r>
      <w:r w:rsidR="00943B06" w:rsidRPr="00C04408">
        <w:t xml:space="preserve"> плану з урахуванням змін</w:t>
      </w:r>
      <w:r w:rsidR="00BC4421" w:rsidRPr="00C04408">
        <w:t xml:space="preserve"> та на </w:t>
      </w:r>
      <w:r w:rsidR="00920B21" w:rsidRPr="00C04408">
        <w:t>32,5</w:t>
      </w:r>
      <w:r w:rsidR="00BC4421" w:rsidRPr="00C04408">
        <w:t> млрд гр</w:t>
      </w:r>
      <w:r w:rsidR="0083707C" w:rsidRPr="00C04408">
        <w:t>ивень</w:t>
      </w:r>
      <w:r w:rsidR="00BC4421" w:rsidRPr="00C04408">
        <w:t xml:space="preserve"> більше</w:t>
      </w:r>
      <w:r w:rsidR="002F6C9B" w:rsidRPr="00C04408">
        <w:t>,</w:t>
      </w:r>
      <w:r w:rsidR="00BC4421" w:rsidRPr="00C04408">
        <w:t xml:space="preserve"> ніж у 201</w:t>
      </w:r>
      <w:r w:rsidR="00920B21" w:rsidRPr="00C04408">
        <w:t>4</w:t>
      </w:r>
      <w:r w:rsidR="00BC4421" w:rsidRPr="00C04408">
        <w:t> році.</w:t>
      </w:r>
    </w:p>
    <w:p w:rsidR="00804171" w:rsidRPr="00C04408" w:rsidRDefault="00632E1B" w:rsidP="00107345">
      <w:pPr>
        <w:spacing w:before="100"/>
        <w:ind w:firstLine="709"/>
        <w:jc w:val="both"/>
      </w:pPr>
      <w:r w:rsidRPr="00C04408">
        <w:t xml:space="preserve">На 1 січня 2016 року </w:t>
      </w:r>
      <w:r w:rsidR="00804171" w:rsidRPr="00C04408">
        <w:t xml:space="preserve">дебіторська бюджетна заборгованість </w:t>
      </w:r>
      <w:r w:rsidR="0083707C" w:rsidRPr="00C04408">
        <w:t xml:space="preserve">за видатками загального фонду </w:t>
      </w:r>
      <w:r w:rsidR="00804171" w:rsidRPr="00C04408">
        <w:t xml:space="preserve">державного бюджету </w:t>
      </w:r>
      <w:r w:rsidR="0083707C" w:rsidRPr="00C04408">
        <w:t xml:space="preserve">становила </w:t>
      </w:r>
      <w:r w:rsidRPr="00C04408">
        <w:t>8,4</w:t>
      </w:r>
      <w:r w:rsidR="0083707C" w:rsidRPr="00C04408">
        <w:t> млрд гривень</w:t>
      </w:r>
      <w:r w:rsidR="002F6C9B" w:rsidRPr="00C04408">
        <w:t>, тобто</w:t>
      </w:r>
      <w:r w:rsidR="0083707C" w:rsidRPr="00C04408">
        <w:t xml:space="preserve"> збільшилася за звітний період </w:t>
      </w:r>
      <w:r w:rsidR="00804171" w:rsidRPr="00C04408">
        <w:t xml:space="preserve">на </w:t>
      </w:r>
      <w:r w:rsidRPr="00C04408">
        <w:t>68,1</w:t>
      </w:r>
      <w:r w:rsidR="00804171" w:rsidRPr="00C04408">
        <w:t xml:space="preserve"> відсотка. </w:t>
      </w:r>
      <w:r w:rsidR="002F6C9B" w:rsidRPr="00C04408">
        <w:t>Це зростання</w:t>
      </w:r>
      <w:r w:rsidR="00804171" w:rsidRPr="00C04408">
        <w:t xml:space="preserve"> спричинен</w:t>
      </w:r>
      <w:r w:rsidR="002F6C9B" w:rsidRPr="00C04408">
        <w:t>е</w:t>
      </w:r>
      <w:r w:rsidR="00804171" w:rsidRPr="00C04408">
        <w:t xml:space="preserve"> розширенням переліку товарів</w:t>
      </w:r>
      <w:r w:rsidR="00CF73F9" w:rsidRPr="00C04408">
        <w:t xml:space="preserve">, </w:t>
      </w:r>
      <w:r w:rsidR="00804171" w:rsidRPr="00C04408">
        <w:t xml:space="preserve">робіт і послуг, щодо яких можливе здійснення попередньої оплати, </w:t>
      </w:r>
      <w:r w:rsidR="008D3362" w:rsidRPr="00C04408">
        <w:t xml:space="preserve">та має </w:t>
      </w:r>
      <w:r w:rsidR="00804171" w:rsidRPr="00C04408">
        <w:t>наслідком відволікання коштів з бюджетної сфери</w:t>
      </w:r>
      <w:r w:rsidR="002F6C9B" w:rsidRPr="00C04408">
        <w:t>, що</w:t>
      </w:r>
      <w:r w:rsidR="00CF73F9" w:rsidRPr="00C04408">
        <w:t xml:space="preserve"> може призвести до</w:t>
      </w:r>
      <w:r w:rsidR="008D3362" w:rsidRPr="00C04408">
        <w:t xml:space="preserve"> </w:t>
      </w:r>
      <w:r w:rsidR="00804171" w:rsidRPr="00C04408">
        <w:t xml:space="preserve">погіршення фінансової дисципліни розпорядників бюджетних коштів. </w:t>
      </w:r>
    </w:p>
    <w:p w:rsidR="00804171" w:rsidRPr="00C04408" w:rsidRDefault="00804171" w:rsidP="00107345">
      <w:pPr>
        <w:spacing w:before="100"/>
        <w:ind w:firstLine="709"/>
        <w:jc w:val="both"/>
      </w:pPr>
      <w:r w:rsidRPr="00C04408">
        <w:t xml:space="preserve">За звітний період кредиторська бюджетна заборгованість за видатками загального фонду державного бюджету зменшилася на </w:t>
      </w:r>
      <w:r w:rsidR="0047352F" w:rsidRPr="00C04408">
        <w:t>32,6</w:t>
      </w:r>
      <w:r w:rsidRPr="00C04408">
        <w:t> відсот</w:t>
      </w:r>
      <w:r w:rsidR="00194D53" w:rsidRPr="00C04408">
        <w:t>ка</w:t>
      </w:r>
      <w:r w:rsidRPr="00C04408">
        <w:t>, проте її обсяг залишився значним (</w:t>
      </w:r>
      <w:r w:rsidR="0047352F" w:rsidRPr="00C04408">
        <w:t>2</w:t>
      </w:r>
      <w:r w:rsidRPr="00C04408">
        <w:t> млрд гривень</w:t>
      </w:r>
      <w:r w:rsidR="00E104CD" w:rsidRPr="00C04408">
        <w:t>, з яких майже 1,5 млрд гривень – прострочена заборгованість</w:t>
      </w:r>
      <w:r w:rsidRPr="00C04408">
        <w:t>)</w:t>
      </w:r>
      <w:r w:rsidR="0047352F" w:rsidRPr="00C04408">
        <w:t>.</w:t>
      </w:r>
      <w:r w:rsidRPr="00C04408">
        <w:t xml:space="preserve"> </w:t>
      </w:r>
    </w:p>
    <w:p w:rsidR="00580B74" w:rsidRPr="00C04408" w:rsidRDefault="00340799" w:rsidP="00107345">
      <w:pPr>
        <w:spacing w:before="100"/>
        <w:ind w:firstLine="709"/>
        <w:jc w:val="both"/>
      </w:pPr>
      <w:bookmarkStart w:id="22" w:name="n29"/>
      <w:bookmarkStart w:id="23" w:name="n30"/>
      <w:bookmarkEnd w:id="22"/>
      <w:bookmarkEnd w:id="23"/>
      <w:r w:rsidRPr="00C04408">
        <w:t>Комітет Верховної Ради України з питань бюджету відповідно до частин шостої</w:t>
      </w:r>
      <w:r w:rsidR="0050122E" w:rsidRPr="00C04408">
        <w:t>,</w:t>
      </w:r>
      <w:r w:rsidRPr="00C04408">
        <w:t xml:space="preserve"> восьмої </w:t>
      </w:r>
      <w:r w:rsidR="0050122E" w:rsidRPr="00C04408">
        <w:t xml:space="preserve">і дев’ятої </w:t>
      </w:r>
      <w:r w:rsidRPr="00C04408">
        <w:t>статті</w:t>
      </w:r>
      <w:r w:rsidR="00414D25" w:rsidRPr="00C04408">
        <w:t> </w:t>
      </w:r>
      <w:r w:rsidRPr="00C04408">
        <w:t xml:space="preserve">23 </w:t>
      </w:r>
      <w:hyperlink r:id="rId13" w:tgtFrame="_blank" w:history="1">
        <w:r w:rsidRPr="00C04408">
          <w:t>Бюджетного кодексу України</w:t>
        </w:r>
      </w:hyperlink>
      <w:r w:rsidRPr="00C04408">
        <w:t xml:space="preserve"> </w:t>
      </w:r>
      <w:r w:rsidR="00582804" w:rsidRPr="00C04408">
        <w:t xml:space="preserve">протягом звітного періоду </w:t>
      </w:r>
      <w:r w:rsidRPr="00C04408">
        <w:t>здійснював погодження рішень Кабінету Міністрів України щодо передачі окремих бюджетних призначень та перерозподілу деяких видатків державно</w:t>
      </w:r>
      <w:r w:rsidR="00DA6F10" w:rsidRPr="00C04408">
        <w:t>го бюджету</w:t>
      </w:r>
      <w:r w:rsidR="008A151E" w:rsidRPr="00C04408">
        <w:t>. У</w:t>
      </w:r>
      <w:r w:rsidR="00D966C6" w:rsidRPr="00C04408">
        <w:t xml:space="preserve">сього </w:t>
      </w:r>
      <w:r w:rsidR="008A151E" w:rsidRPr="00C04408">
        <w:t xml:space="preserve">до Комітету </w:t>
      </w:r>
      <w:r w:rsidR="00D966C6" w:rsidRPr="00C04408">
        <w:t>н</w:t>
      </w:r>
      <w:r w:rsidR="00C71D73" w:rsidRPr="00C04408">
        <w:t xml:space="preserve">адійшло </w:t>
      </w:r>
      <w:r w:rsidR="00E816FE" w:rsidRPr="00C04408">
        <w:t>77</w:t>
      </w:r>
      <w:r w:rsidR="00C71D73" w:rsidRPr="00C04408">
        <w:t> </w:t>
      </w:r>
      <w:r w:rsidR="00D966C6" w:rsidRPr="00C04408">
        <w:t xml:space="preserve">таких </w:t>
      </w:r>
      <w:r w:rsidR="00C71D73" w:rsidRPr="00C04408">
        <w:t>звернень головних розпорядників коштів державного бюджету</w:t>
      </w:r>
      <w:r w:rsidR="00D966C6" w:rsidRPr="00C04408">
        <w:t>.</w:t>
      </w:r>
      <w:r w:rsidR="00C71D73" w:rsidRPr="00C04408">
        <w:t xml:space="preserve"> </w:t>
      </w:r>
      <w:r w:rsidR="008A151E" w:rsidRPr="00C04408">
        <w:t>П</w:t>
      </w:r>
      <w:r w:rsidR="00C71D73" w:rsidRPr="00C04408">
        <w:t xml:space="preserve">ередача бюджетних призначень та перерозподіл видатків </w:t>
      </w:r>
      <w:r w:rsidR="00D966C6" w:rsidRPr="00C04408">
        <w:t>державного бюджету здійс</w:t>
      </w:r>
      <w:r w:rsidR="0058399A" w:rsidRPr="00C04408">
        <w:t>нювалися</w:t>
      </w:r>
      <w:r w:rsidR="00C71D73" w:rsidRPr="00C04408">
        <w:t xml:space="preserve"> щодо </w:t>
      </w:r>
      <w:r w:rsidR="00601674" w:rsidRPr="00C04408">
        <w:t>3</w:t>
      </w:r>
      <w:r w:rsidR="00E816FE" w:rsidRPr="00C04408">
        <w:t>3</w:t>
      </w:r>
      <w:r w:rsidR="00C71D73" w:rsidRPr="00C04408">
        <w:t xml:space="preserve"> головних розпорядників коштів державного бюджету за </w:t>
      </w:r>
      <w:r w:rsidR="00574DD4" w:rsidRPr="00C04408">
        <w:t>1</w:t>
      </w:r>
      <w:r w:rsidR="00E816FE" w:rsidRPr="00C04408">
        <w:t>31</w:t>
      </w:r>
      <w:r w:rsidR="00C71D73" w:rsidRPr="00C04408">
        <w:t> бюджетн</w:t>
      </w:r>
      <w:r w:rsidR="00E816FE" w:rsidRPr="00C04408">
        <w:t>ою</w:t>
      </w:r>
      <w:r w:rsidR="00C71D73" w:rsidRPr="00C04408">
        <w:t xml:space="preserve"> програм</w:t>
      </w:r>
      <w:r w:rsidR="00E816FE" w:rsidRPr="00C04408">
        <w:t>ою</w:t>
      </w:r>
      <w:r w:rsidR="00C71D73" w:rsidRPr="00C04408">
        <w:t xml:space="preserve"> </w:t>
      </w:r>
      <w:r w:rsidR="008A151E" w:rsidRPr="00C04408">
        <w:t>за</w:t>
      </w:r>
      <w:r w:rsidR="00C71D73" w:rsidRPr="00C04408">
        <w:t xml:space="preserve"> загальн</w:t>
      </w:r>
      <w:r w:rsidR="008A151E" w:rsidRPr="00C04408">
        <w:t>им</w:t>
      </w:r>
      <w:r w:rsidR="00C71D73" w:rsidRPr="00C04408">
        <w:t xml:space="preserve"> та спеціальн</w:t>
      </w:r>
      <w:r w:rsidR="008A151E" w:rsidRPr="00C04408">
        <w:t>им</w:t>
      </w:r>
      <w:r w:rsidR="00C71D73" w:rsidRPr="00C04408">
        <w:t xml:space="preserve"> фонда</w:t>
      </w:r>
      <w:r w:rsidR="008A151E" w:rsidRPr="00C04408">
        <w:t>ми</w:t>
      </w:r>
      <w:r w:rsidR="00C71D73" w:rsidRPr="00C04408">
        <w:t xml:space="preserve"> на загальну суму </w:t>
      </w:r>
      <w:r w:rsidR="00E816FE" w:rsidRPr="00C04408">
        <w:t>5,3</w:t>
      </w:r>
      <w:r w:rsidR="00C71D73" w:rsidRPr="00C04408">
        <w:t> млрд гривень.</w:t>
      </w:r>
      <w:r w:rsidR="00C71D73" w:rsidRPr="00C04408">
        <w:rPr>
          <w:b/>
        </w:rPr>
        <w:t xml:space="preserve"> </w:t>
      </w:r>
      <w:r w:rsidR="0050122E" w:rsidRPr="00C04408">
        <w:rPr>
          <w:bCs/>
        </w:rPr>
        <w:t xml:space="preserve">У зв’язку </w:t>
      </w:r>
      <w:r w:rsidR="00204B28" w:rsidRPr="00C04408">
        <w:rPr>
          <w:bCs/>
        </w:rPr>
        <w:t xml:space="preserve">з цим </w:t>
      </w:r>
      <w:r w:rsidR="00E104CD" w:rsidRPr="00C04408">
        <w:rPr>
          <w:bCs/>
        </w:rPr>
        <w:t xml:space="preserve">залишається </w:t>
      </w:r>
      <w:r w:rsidR="0050122E" w:rsidRPr="00C04408">
        <w:rPr>
          <w:bCs/>
        </w:rPr>
        <w:t xml:space="preserve">актуальним </w:t>
      </w:r>
      <w:r w:rsidR="00E104CD" w:rsidRPr="00C04408">
        <w:rPr>
          <w:bCs/>
        </w:rPr>
        <w:t xml:space="preserve">необхідність </w:t>
      </w:r>
      <w:r w:rsidR="00580B74" w:rsidRPr="00C04408">
        <w:t>обмеження кількості та обсягів перерозподіл</w:t>
      </w:r>
      <w:r w:rsidR="00204B28" w:rsidRPr="00C04408">
        <w:t>ів</w:t>
      </w:r>
      <w:r w:rsidR="00580B74" w:rsidRPr="00C04408">
        <w:t xml:space="preserve"> витрат державного бюджету</w:t>
      </w:r>
      <w:r w:rsidR="0050122E" w:rsidRPr="00C04408">
        <w:t xml:space="preserve"> шляхом </w:t>
      </w:r>
      <w:r w:rsidR="00580B74" w:rsidRPr="00C04408">
        <w:t xml:space="preserve">прийняття відповідних рішень виключно за наявності об’єктивних підстав і фінансово-економічної доцільності здійснення таких </w:t>
      </w:r>
      <w:r w:rsidR="00CA0421" w:rsidRPr="00C04408">
        <w:t>змін бюджетних призначень</w:t>
      </w:r>
      <w:r w:rsidR="00580B74" w:rsidRPr="00C04408">
        <w:t>.</w:t>
      </w:r>
    </w:p>
    <w:p w:rsidR="00E47281" w:rsidRPr="00C04408" w:rsidRDefault="00340799" w:rsidP="00107345">
      <w:pPr>
        <w:spacing w:before="100"/>
        <w:ind w:firstLine="709"/>
        <w:jc w:val="both"/>
      </w:pPr>
      <w:bookmarkStart w:id="24" w:name="n31"/>
      <w:bookmarkEnd w:id="24"/>
      <w:r w:rsidRPr="00C04408">
        <w:t xml:space="preserve">За </w:t>
      </w:r>
      <w:r w:rsidR="008773BF" w:rsidRPr="00C04408">
        <w:t>201</w:t>
      </w:r>
      <w:r w:rsidR="00E47281" w:rsidRPr="00C04408">
        <w:t>5</w:t>
      </w:r>
      <w:r w:rsidR="00E9247A" w:rsidRPr="00C04408">
        <w:t> </w:t>
      </w:r>
      <w:r w:rsidRPr="00C04408">
        <w:t>рік надано кредит</w:t>
      </w:r>
      <w:r w:rsidR="007B1167" w:rsidRPr="00C04408">
        <w:t xml:space="preserve">ів з державного бюджету </w:t>
      </w:r>
      <w:r w:rsidR="00E47281" w:rsidRPr="00C04408">
        <w:t>в</w:t>
      </w:r>
      <w:r w:rsidR="007B1167" w:rsidRPr="00C04408">
        <w:t xml:space="preserve"> сумі </w:t>
      </w:r>
      <w:r w:rsidR="00E47281" w:rsidRPr="00C04408">
        <w:t>7,2</w:t>
      </w:r>
      <w:r w:rsidR="00E9247A" w:rsidRPr="00C04408">
        <w:t> </w:t>
      </w:r>
      <w:r w:rsidRPr="00C04408">
        <w:t>млрд гривень (</w:t>
      </w:r>
      <w:r w:rsidR="00FC11AE" w:rsidRPr="00C04408">
        <w:t>або 45,</w:t>
      </w:r>
      <w:r w:rsidR="003B7E19" w:rsidRPr="00C04408">
        <w:rPr>
          <w:lang w:val="ru-RU"/>
        </w:rPr>
        <w:t>3</w:t>
      </w:r>
      <w:r w:rsidR="00CA0421" w:rsidRPr="00C04408">
        <w:t> </w:t>
      </w:r>
      <w:r w:rsidR="00FC11AE" w:rsidRPr="00C04408">
        <w:t xml:space="preserve">відсотка бюджетних призначень), </w:t>
      </w:r>
      <w:r w:rsidRPr="00C04408">
        <w:t xml:space="preserve">з них </w:t>
      </w:r>
      <w:r w:rsidR="00FC11AE" w:rsidRPr="00C04408">
        <w:t xml:space="preserve">за загальним фондом - 1,8 млрд гривень (або 94,5 відсотка бюджетних призначень), </w:t>
      </w:r>
      <w:r w:rsidR="007B1167" w:rsidRPr="00C04408">
        <w:t xml:space="preserve">за спеціальним фондом </w:t>
      </w:r>
      <w:r w:rsidR="00FA567E" w:rsidRPr="00C04408">
        <w:t>–</w:t>
      </w:r>
      <w:r w:rsidR="00966590" w:rsidRPr="00C04408">
        <w:t xml:space="preserve"> </w:t>
      </w:r>
      <w:r w:rsidR="00E47281" w:rsidRPr="00C04408">
        <w:t>5,4</w:t>
      </w:r>
      <w:r w:rsidR="00E9247A" w:rsidRPr="00C04408">
        <w:t> </w:t>
      </w:r>
      <w:r w:rsidR="007B1167" w:rsidRPr="00C04408">
        <w:t>млрд гривень</w:t>
      </w:r>
      <w:r w:rsidR="00966590" w:rsidRPr="00C04408">
        <w:t xml:space="preserve"> (або 38,6 відсотка бюджетних призначень)</w:t>
      </w:r>
      <w:r w:rsidR="00DC388B" w:rsidRPr="00C04408">
        <w:t>.</w:t>
      </w:r>
      <w:r w:rsidRPr="00C04408">
        <w:t xml:space="preserve"> </w:t>
      </w:r>
      <w:r w:rsidR="00E47281" w:rsidRPr="00C04408">
        <w:t>За висновком Рахункової палати</w:t>
      </w:r>
      <w:r w:rsidR="00966590" w:rsidRPr="00C04408">
        <w:t>,</w:t>
      </w:r>
      <w:r w:rsidR="00E47281" w:rsidRPr="00C04408">
        <w:t xml:space="preserve"> невиконання планових показників кредитування державного бюджету зумовили низький рівень </w:t>
      </w:r>
      <w:r w:rsidR="00966590" w:rsidRPr="00C04408">
        <w:t xml:space="preserve">повернення кредитів до спеціального фонду та </w:t>
      </w:r>
      <w:r w:rsidR="00E47281" w:rsidRPr="00C04408">
        <w:t>вибірки коштів, отриманих від іноземних держав, банків та міжнародних фінансових організацій для реалізації і</w:t>
      </w:r>
      <w:r w:rsidR="00966590" w:rsidRPr="00C04408">
        <w:t>нвестиційних програм (проектів)</w:t>
      </w:r>
      <w:r w:rsidR="00E47281" w:rsidRPr="00C04408">
        <w:t xml:space="preserve">. </w:t>
      </w:r>
    </w:p>
    <w:p w:rsidR="00340799" w:rsidRPr="00C04408" w:rsidRDefault="00340799" w:rsidP="00107345">
      <w:pPr>
        <w:spacing w:before="100"/>
        <w:ind w:firstLine="709"/>
        <w:jc w:val="both"/>
      </w:pPr>
      <w:bookmarkStart w:id="25" w:name="n32"/>
      <w:bookmarkEnd w:id="25"/>
      <w:r w:rsidRPr="00C04408">
        <w:t>Повернення кредитів до державного бюджету у звітн</w:t>
      </w:r>
      <w:r w:rsidR="008325E4" w:rsidRPr="00C04408">
        <w:t xml:space="preserve">ому періоді здійснено </w:t>
      </w:r>
      <w:r w:rsidR="00FA567E" w:rsidRPr="00C04408">
        <w:t>в</w:t>
      </w:r>
      <w:r w:rsidR="008325E4" w:rsidRPr="00C04408">
        <w:t xml:space="preserve"> сумі </w:t>
      </w:r>
      <w:r w:rsidR="00E47281" w:rsidRPr="00C04408">
        <w:t>4,3</w:t>
      </w:r>
      <w:r w:rsidR="00466CE0" w:rsidRPr="00C04408">
        <w:t> </w:t>
      </w:r>
      <w:r w:rsidRPr="00C04408">
        <w:t xml:space="preserve">млрд гривень, або </w:t>
      </w:r>
      <w:r w:rsidR="00E47281" w:rsidRPr="00C04408">
        <w:t>89</w:t>
      </w:r>
      <w:r w:rsidR="00466CE0" w:rsidRPr="00C04408">
        <w:t> </w:t>
      </w:r>
      <w:r w:rsidRPr="00C04408">
        <w:t>в</w:t>
      </w:r>
      <w:r w:rsidR="005057FC" w:rsidRPr="00C04408">
        <w:t>ідсотк</w:t>
      </w:r>
      <w:r w:rsidR="00035250" w:rsidRPr="00C04408">
        <w:t>ів</w:t>
      </w:r>
      <w:r w:rsidR="005057FC" w:rsidRPr="00C04408">
        <w:t xml:space="preserve"> затверджених показників.</w:t>
      </w:r>
      <w:r w:rsidRPr="00C04408">
        <w:t xml:space="preserve"> </w:t>
      </w:r>
      <w:r w:rsidR="005057FC" w:rsidRPr="00C04408">
        <w:t>П</w:t>
      </w:r>
      <w:r w:rsidRPr="00C04408">
        <w:t xml:space="preserve">роблемним </w:t>
      </w:r>
      <w:r w:rsidR="005057FC" w:rsidRPr="00C04408">
        <w:t xml:space="preserve">також </w:t>
      </w:r>
      <w:r w:rsidRPr="00C04408">
        <w:t>залишається стан розрахунків підприємств-</w:t>
      </w:r>
      <w:r w:rsidRPr="00C04408">
        <w:lastRenderedPageBreak/>
        <w:t>позичальників за кредитами, залученими державою або під державні гарантії, обсяг простроченої заборгованості</w:t>
      </w:r>
      <w:r w:rsidR="0026311A" w:rsidRPr="00C04408">
        <w:t xml:space="preserve"> за якими </w:t>
      </w:r>
      <w:r w:rsidR="00917289" w:rsidRPr="00C04408">
        <w:t>на 1 січня 201</w:t>
      </w:r>
      <w:r w:rsidR="00035250" w:rsidRPr="00C04408">
        <w:t>6</w:t>
      </w:r>
      <w:r w:rsidR="00917289" w:rsidRPr="00C04408">
        <w:t xml:space="preserve"> року становив </w:t>
      </w:r>
      <w:r w:rsidR="00035250" w:rsidRPr="00C04408">
        <w:t>43,2</w:t>
      </w:r>
      <w:r w:rsidR="00917289" w:rsidRPr="00C04408">
        <w:t> млрд гривень</w:t>
      </w:r>
      <w:r w:rsidR="00C435DC" w:rsidRPr="00C04408">
        <w:t xml:space="preserve"> і збільшився за звітний період на </w:t>
      </w:r>
      <w:r w:rsidR="00035250" w:rsidRPr="00C04408">
        <w:t>13,1</w:t>
      </w:r>
      <w:r w:rsidR="00C435DC" w:rsidRPr="00C04408">
        <w:t> млрд гривень</w:t>
      </w:r>
      <w:r w:rsidR="003967DA" w:rsidRPr="00C04408">
        <w:t xml:space="preserve"> переважно за рахунок курсової різниці</w:t>
      </w:r>
      <w:r w:rsidR="00917289" w:rsidRPr="00C04408">
        <w:t>.</w:t>
      </w:r>
      <w:r w:rsidRPr="00C04408">
        <w:t xml:space="preserve"> Зазначене </w:t>
      </w:r>
      <w:r w:rsidR="00466CE0" w:rsidRPr="00C04408">
        <w:t>потребує</w:t>
      </w:r>
      <w:r w:rsidR="001E4AD2" w:rsidRPr="00C04408">
        <w:t xml:space="preserve"> </w:t>
      </w:r>
      <w:r w:rsidR="00DB293F" w:rsidRPr="00C04408">
        <w:t>посилення</w:t>
      </w:r>
      <w:r w:rsidR="001E4AD2" w:rsidRPr="00C04408">
        <w:t xml:space="preserve"> </w:t>
      </w:r>
      <w:r w:rsidRPr="00C04408">
        <w:t xml:space="preserve">контролю </w:t>
      </w:r>
      <w:r w:rsidR="00FA567E" w:rsidRPr="00C04408">
        <w:t>за</w:t>
      </w:r>
      <w:r w:rsidRPr="00C04408">
        <w:t xml:space="preserve"> здійснення</w:t>
      </w:r>
      <w:r w:rsidR="00FA567E" w:rsidRPr="00C04408">
        <w:t>м розрахунків</w:t>
      </w:r>
      <w:r w:rsidRPr="00C04408">
        <w:t xml:space="preserve"> за кредитами (позиками), наданими з державного бюджету, та вжиття заходів щодо застосування механізмів погашення відповідної</w:t>
      </w:r>
      <w:r w:rsidR="00466CE0" w:rsidRPr="00C04408">
        <w:t xml:space="preserve"> простроченої</w:t>
      </w:r>
      <w:r w:rsidRPr="00C04408">
        <w:t xml:space="preserve"> заборгованості, визначених статтею</w:t>
      </w:r>
      <w:r w:rsidR="00466CE0" w:rsidRPr="00C04408">
        <w:t> </w:t>
      </w:r>
      <w:r w:rsidRPr="00C04408">
        <w:t>17 Бюджетного кодексу України.</w:t>
      </w:r>
    </w:p>
    <w:p w:rsidR="00340799" w:rsidRPr="00C04408" w:rsidRDefault="008E3F5D" w:rsidP="00107345">
      <w:pPr>
        <w:spacing w:before="100"/>
        <w:ind w:firstLine="709"/>
        <w:jc w:val="both"/>
      </w:pPr>
      <w:bookmarkStart w:id="26" w:name="n33"/>
      <w:bookmarkEnd w:id="26"/>
      <w:r w:rsidRPr="00C04408">
        <w:t xml:space="preserve">Інформація </w:t>
      </w:r>
      <w:r w:rsidR="00340650" w:rsidRPr="00C04408">
        <w:t xml:space="preserve">про досягнення у </w:t>
      </w:r>
      <w:r w:rsidR="008773BF" w:rsidRPr="00C04408">
        <w:t>201</w:t>
      </w:r>
      <w:r w:rsidR="00667654" w:rsidRPr="00C04408">
        <w:t>5</w:t>
      </w:r>
      <w:r w:rsidR="00813E4A" w:rsidRPr="00C04408">
        <w:t> </w:t>
      </w:r>
      <w:r w:rsidR="00340650" w:rsidRPr="00C04408">
        <w:t xml:space="preserve">році головними розпорядниками коштів державного бюджету запланованої </w:t>
      </w:r>
      <w:r w:rsidR="00476590" w:rsidRPr="00C04408">
        <w:t>мети,</w:t>
      </w:r>
      <w:r w:rsidR="00340650" w:rsidRPr="00C04408">
        <w:t xml:space="preserve"> завдань та результативних показників</w:t>
      </w:r>
      <w:r w:rsidR="00476590" w:rsidRPr="00C04408">
        <w:t xml:space="preserve"> </w:t>
      </w:r>
      <w:r w:rsidR="005A3423" w:rsidRPr="00C04408">
        <w:t>у</w:t>
      </w:r>
      <w:r w:rsidR="00476590" w:rsidRPr="00C04408">
        <w:t xml:space="preserve"> межах бюджетних програм</w:t>
      </w:r>
      <w:r w:rsidR="00667654" w:rsidRPr="00C04408">
        <w:t xml:space="preserve">, як і в попередні роки, </w:t>
      </w:r>
      <w:r w:rsidRPr="00C04408">
        <w:t xml:space="preserve">містить </w:t>
      </w:r>
      <w:r w:rsidR="009A69B0" w:rsidRPr="00C04408">
        <w:t xml:space="preserve">переважно кількісні індикатори виконання бюджетних </w:t>
      </w:r>
      <w:r w:rsidR="000321B0" w:rsidRPr="00C04408">
        <w:t>програм</w:t>
      </w:r>
      <w:r w:rsidRPr="00C04408">
        <w:t xml:space="preserve"> та не відображає </w:t>
      </w:r>
      <w:r w:rsidR="00340799" w:rsidRPr="00C04408">
        <w:t>якісн</w:t>
      </w:r>
      <w:r w:rsidR="005A3423" w:rsidRPr="00C04408">
        <w:t>их</w:t>
      </w:r>
      <w:r w:rsidR="00340799" w:rsidRPr="00C04408">
        <w:t xml:space="preserve"> зрушен</w:t>
      </w:r>
      <w:r w:rsidR="005A3423" w:rsidRPr="00C04408">
        <w:t>ь</w:t>
      </w:r>
      <w:r w:rsidR="00340799" w:rsidRPr="00C04408">
        <w:t xml:space="preserve"> у сферах компетенції головних розпорядників коштів державного бюджету та конкретн</w:t>
      </w:r>
      <w:r w:rsidR="005A3423" w:rsidRPr="00C04408">
        <w:t>их</w:t>
      </w:r>
      <w:r w:rsidR="00340799" w:rsidRPr="00C04408">
        <w:t xml:space="preserve"> результат</w:t>
      </w:r>
      <w:r w:rsidR="005A3423" w:rsidRPr="00C04408">
        <w:t>ів</w:t>
      </w:r>
      <w:r w:rsidR="009A69B0" w:rsidRPr="00C04408">
        <w:t>, досягнут</w:t>
      </w:r>
      <w:r w:rsidR="005A3423" w:rsidRPr="00C04408">
        <w:t>их</w:t>
      </w:r>
      <w:r w:rsidR="009A69B0" w:rsidRPr="00C04408">
        <w:t xml:space="preserve"> ними </w:t>
      </w:r>
      <w:r w:rsidR="004C3408" w:rsidRPr="00C04408">
        <w:t>в процесі</w:t>
      </w:r>
      <w:r w:rsidR="009A69B0" w:rsidRPr="00C04408">
        <w:t xml:space="preserve"> реалізації державної політики.</w:t>
      </w:r>
    </w:p>
    <w:p w:rsidR="00BC02C1" w:rsidRPr="00C04408" w:rsidRDefault="004F4682" w:rsidP="00107345">
      <w:pPr>
        <w:tabs>
          <w:tab w:val="left" w:pos="1260"/>
        </w:tabs>
        <w:spacing w:before="100"/>
        <w:ind w:firstLine="709"/>
        <w:jc w:val="both"/>
      </w:pPr>
      <w:bookmarkStart w:id="27" w:name="n34"/>
      <w:bookmarkStart w:id="28" w:name="n36"/>
      <w:bookmarkEnd w:id="27"/>
      <w:bookmarkEnd w:id="28"/>
      <w:r w:rsidRPr="00C04408">
        <w:t>В</w:t>
      </w:r>
      <w:r w:rsidR="00BC02C1" w:rsidRPr="00C04408">
        <w:t xml:space="preserve">ідносини між державним та місцевими бюджетами будувалися на основі </w:t>
      </w:r>
      <w:r w:rsidRPr="00C04408">
        <w:t>започаткованої у 2015 році реформи міжбюджетних відносин в рамках здійснення заходів щодо децентралізації влади в Україні</w:t>
      </w:r>
      <w:r w:rsidR="00BC02C1" w:rsidRPr="00C04408">
        <w:t>.</w:t>
      </w:r>
    </w:p>
    <w:p w:rsidR="00612A79" w:rsidRPr="00C04408" w:rsidRDefault="00340799" w:rsidP="00107345">
      <w:pPr>
        <w:tabs>
          <w:tab w:val="left" w:pos="1260"/>
        </w:tabs>
        <w:spacing w:before="100"/>
        <w:ind w:firstLine="709"/>
        <w:jc w:val="both"/>
        <w:rPr>
          <w:bCs/>
        </w:rPr>
      </w:pPr>
      <w:r w:rsidRPr="00C04408">
        <w:t xml:space="preserve">У </w:t>
      </w:r>
      <w:r w:rsidR="004F4682" w:rsidRPr="00C04408">
        <w:t xml:space="preserve">звітному періоді </w:t>
      </w:r>
      <w:r w:rsidRPr="00C04408">
        <w:t>з державного бюджету надано трансферт</w:t>
      </w:r>
      <w:r w:rsidR="00333B41" w:rsidRPr="00C04408">
        <w:t xml:space="preserve">ів місцевим бюджетам у сумі </w:t>
      </w:r>
      <w:r w:rsidR="00AA37E8" w:rsidRPr="00C04408">
        <w:t>майже 174</w:t>
      </w:r>
      <w:r w:rsidR="00FD7A7A" w:rsidRPr="00C04408">
        <w:t> </w:t>
      </w:r>
      <w:r w:rsidR="003510FD" w:rsidRPr="00C04408">
        <w:t xml:space="preserve">млрд гривень, що становить </w:t>
      </w:r>
      <w:r w:rsidR="00AA37E8" w:rsidRPr="00C04408">
        <w:t>99</w:t>
      </w:r>
      <w:r w:rsidR="00FD7A7A" w:rsidRPr="00C04408">
        <w:t> </w:t>
      </w:r>
      <w:r w:rsidRPr="00C04408">
        <w:t>відсотк</w:t>
      </w:r>
      <w:r w:rsidR="00AA37E8" w:rsidRPr="00C04408">
        <w:t>ів</w:t>
      </w:r>
      <w:r w:rsidRPr="00C04408">
        <w:t xml:space="preserve"> бюджетних призначень</w:t>
      </w:r>
      <w:r w:rsidR="000B6385" w:rsidRPr="00C04408">
        <w:t xml:space="preserve"> (за загальним фондом – 173,2 млрд гривень, або 99,5 відсотка бюджетних призначень</w:t>
      </w:r>
      <w:r w:rsidRPr="00C04408">
        <w:t xml:space="preserve">, </w:t>
      </w:r>
      <w:r w:rsidR="000B6385" w:rsidRPr="00C04408">
        <w:t>за спеціальним фондом – 0,8 млрд гривень, або 48,9</w:t>
      </w:r>
      <w:r w:rsidR="00910663" w:rsidRPr="00C04408">
        <w:t> відсотка бюджетних призначень)</w:t>
      </w:r>
      <w:r w:rsidR="00AA37E8" w:rsidRPr="00C04408">
        <w:t>.</w:t>
      </w:r>
      <w:r w:rsidR="00612A79" w:rsidRPr="00C04408">
        <w:t xml:space="preserve"> Питома вага трансфертів з державного бюджету у доходах місцевих бюджетів становила </w:t>
      </w:r>
      <w:r w:rsidR="00612A79" w:rsidRPr="00C04408">
        <w:rPr>
          <w:bCs/>
        </w:rPr>
        <w:t>59</w:t>
      </w:r>
      <w:r w:rsidR="00CA0421" w:rsidRPr="00C04408">
        <w:rPr>
          <w:bCs/>
        </w:rPr>
        <w:t>,1</w:t>
      </w:r>
      <w:r w:rsidR="00612A79" w:rsidRPr="00C04408">
        <w:rPr>
          <w:bCs/>
        </w:rPr>
        <w:t> відсотків (в той час як у 2014 році – 56,4 відсотка).</w:t>
      </w:r>
    </w:p>
    <w:p w:rsidR="00BC7665" w:rsidRPr="00C04408" w:rsidRDefault="006243C2" w:rsidP="00107345">
      <w:pPr>
        <w:spacing w:before="100"/>
        <w:ind w:firstLine="709"/>
        <w:jc w:val="both"/>
      </w:pPr>
      <w:bookmarkStart w:id="29" w:name="n37"/>
      <w:bookmarkEnd w:id="29"/>
      <w:r w:rsidRPr="00C04408">
        <w:t xml:space="preserve">Базова дотація </w:t>
      </w:r>
      <w:r w:rsidR="00340799" w:rsidRPr="00C04408">
        <w:t>з державного бюджету місцевим бюджетам пер</w:t>
      </w:r>
      <w:r w:rsidR="00B043B5" w:rsidRPr="00C04408">
        <w:t>ерахован</w:t>
      </w:r>
      <w:r w:rsidR="00D33B9C" w:rsidRPr="00C04408">
        <w:t>а</w:t>
      </w:r>
      <w:r w:rsidR="00B043B5" w:rsidRPr="00C04408">
        <w:t xml:space="preserve"> </w:t>
      </w:r>
      <w:r w:rsidR="00D33B9C" w:rsidRPr="00C04408">
        <w:t>в</w:t>
      </w:r>
      <w:r w:rsidR="009F177E" w:rsidRPr="00C04408">
        <w:t xml:space="preserve"> сумі </w:t>
      </w:r>
      <w:r w:rsidR="00D33B9C" w:rsidRPr="00C04408">
        <w:t>5,3</w:t>
      </w:r>
      <w:r w:rsidR="009F177E" w:rsidRPr="00C04408">
        <w:t> </w:t>
      </w:r>
      <w:r w:rsidR="00340799" w:rsidRPr="00C04408">
        <w:t>млрд гривень</w:t>
      </w:r>
      <w:r w:rsidR="009F177E" w:rsidRPr="00C04408">
        <w:t xml:space="preserve">, або </w:t>
      </w:r>
      <w:r w:rsidR="00D33B9C" w:rsidRPr="00C04408">
        <w:t>98,2</w:t>
      </w:r>
      <w:r w:rsidR="009F177E" w:rsidRPr="00C04408">
        <w:t> відсотка бюджетних призначень</w:t>
      </w:r>
      <w:r w:rsidR="00340799" w:rsidRPr="00C04408">
        <w:t xml:space="preserve">, </w:t>
      </w:r>
      <w:r w:rsidR="00D33B9C" w:rsidRPr="00C04408">
        <w:t>реверсна дотація до</w:t>
      </w:r>
      <w:r w:rsidR="00340799" w:rsidRPr="00C04408">
        <w:t xml:space="preserve"> державного б</w:t>
      </w:r>
      <w:r w:rsidR="00877CD0" w:rsidRPr="00C04408">
        <w:t xml:space="preserve">юджету </w:t>
      </w:r>
      <w:r w:rsidR="00061072" w:rsidRPr="00C04408">
        <w:t>–</w:t>
      </w:r>
      <w:r w:rsidR="00877CD0" w:rsidRPr="00C04408">
        <w:t xml:space="preserve"> </w:t>
      </w:r>
      <w:r w:rsidR="00D33B9C" w:rsidRPr="00C04408">
        <w:t>2,7</w:t>
      </w:r>
      <w:r w:rsidR="00F339D8" w:rsidRPr="00C04408">
        <w:t> </w:t>
      </w:r>
      <w:r w:rsidR="000A1953" w:rsidRPr="00C04408">
        <w:t xml:space="preserve">млрд гривень, або </w:t>
      </w:r>
      <w:r w:rsidR="00D33B9C" w:rsidRPr="00C04408">
        <w:t>73,2</w:t>
      </w:r>
      <w:r w:rsidR="00F339D8" w:rsidRPr="00C04408">
        <w:t> </w:t>
      </w:r>
      <w:r w:rsidR="00340799" w:rsidRPr="00C04408">
        <w:t>відсотка затвердженого показника.</w:t>
      </w:r>
      <w:r w:rsidR="0041237E" w:rsidRPr="00C04408">
        <w:t xml:space="preserve"> </w:t>
      </w:r>
      <w:bookmarkStart w:id="30" w:name="n38"/>
      <w:bookmarkEnd w:id="30"/>
      <w:r w:rsidR="00340799" w:rsidRPr="00C04408">
        <w:t>Дод</w:t>
      </w:r>
      <w:r w:rsidR="00895AB7" w:rsidRPr="00C04408">
        <w:t xml:space="preserve">аткові дотації </w:t>
      </w:r>
      <w:r w:rsidR="00D439A0" w:rsidRPr="00C04408">
        <w:t>надан</w:t>
      </w:r>
      <w:r w:rsidR="00CC7FA1" w:rsidRPr="00C04408">
        <w:t>о</w:t>
      </w:r>
      <w:r w:rsidR="00D439A0" w:rsidRPr="00C04408">
        <w:t xml:space="preserve"> </w:t>
      </w:r>
      <w:r w:rsidR="007572D2" w:rsidRPr="00C04408">
        <w:t>в</w:t>
      </w:r>
      <w:r w:rsidR="00D439A0" w:rsidRPr="00C04408">
        <w:t xml:space="preserve"> обсязі </w:t>
      </w:r>
      <w:r w:rsidR="00941C61" w:rsidRPr="00C04408">
        <w:t>2,02</w:t>
      </w:r>
      <w:r w:rsidR="00F339D8" w:rsidRPr="00C04408">
        <w:t> </w:t>
      </w:r>
      <w:r w:rsidR="00D439A0" w:rsidRPr="00C04408">
        <w:t>млрд гривень</w:t>
      </w:r>
      <w:r w:rsidR="00941C61" w:rsidRPr="00C04408">
        <w:t xml:space="preserve">, з яких стабілізаційна дотація </w:t>
      </w:r>
      <w:r w:rsidR="00910663" w:rsidRPr="00C04408">
        <w:t>-</w:t>
      </w:r>
      <w:r w:rsidR="00941C61" w:rsidRPr="00C04408">
        <w:t xml:space="preserve"> 2 млрд гривень</w:t>
      </w:r>
      <w:r w:rsidR="00D439A0" w:rsidRPr="00C04408">
        <w:t xml:space="preserve">. </w:t>
      </w:r>
      <w:bookmarkStart w:id="31" w:name="n39"/>
      <w:bookmarkEnd w:id="31"/>
      <w:r w:rsidR="00340799" w:rsidRPr="00C04408">
        <w:t xml:space="preserve">Субвенції з державного бюджету місцевим </w:t>
      </w:r>
      <w:r w:rsidR="00C938B0" w:rsidRPr="00C04408">
        <w:t xml:space="preserve">бюджетам </w:t>
      </w:r>
      <w:r w:rsidR="00CA0421" w:rsidRPr="00C04408">
        <w:t xml:space="preserve">надані </w:t>
      </w:r>
      <w:r w:rsidR="00C938B0" w:rsidRPr="00C04408">
        <w:t xml:space="preserve">в </w:t>
      </w:r>
      <w:r w:rsidR="00A85F4F" w:rsidRPr="00C04408">
        <w:t xml:space="preserve">обсязі </w:t>
      </w:r>
      <w:r w:rsidR="00CA0421" w:rsidRPr="00C04408">
        <w:t>166,7</w:t>
      </w:r>
      <w:r w:rsidR="00A468E1" w:rsidRPr="00C04408">
        <w:t> </w:t>
      </w:r>
      <w:r w:rsidR="006A6227" w:rsidRPr="00C04408">
        <w:t>млрд гр</w:t>
      </w:r>
      <w:r w:rsidR="00A85F4F" w:rsidRPr="00C04408">
        <w:t xml:space="preserve">ивень </w:t>
      </w:r>
      <w:r w:rsidR="00061072" w:rsidRPr="00C04408">
        <w:t>(</w:t>
      </w:r>
      <w:r w:rsidR="00941C61" w:rsidRPr="00C04408">
        <w:t xml:space="preserve">або </w:t>
      </w:r>
      <w:r w:rsidR="00CA0421" w:rsidRPr="00C04408">
        <w:t>99</w:t>
      </w:r>
      <w:r w:rsidR="00941C61" w:rsidRPr="00C04408">
        <w:t> відсотк</w:t>
      </w:r>
      <w:r w:rsidR="00CA0421" w:rsidRPr="00C04408">
        <w:t>ів</w:t>
      </w:r>
      <w:r w:rsidR="00941C61" w:rsidRPr="00C04408">
        <w:t xml:space="preserve"> </w:t>
      </w:r>
      <w:r w:rsidR="00CA0421" w:rsidRPr="00C04408">
        <w:t>бюджетних призначень</w:t>
      </w:r>
      <w:r w:rsidR="00061072" w:rsidRPr="00C04408">
        <w:t>)</w:t>
      </w:r>
      <w:r w:rsidR="00BC7665" w:rsidRPr="00C04408">
        <w:t>.</w:t>
      </w:r>
    </w:p>
    <w:p w:rsidR="00BC7665" w:rsidRPr="00C04408" w:rsidRDefault="00BC7665" w:rsidP="00107345">
      <w:pPr>
        <w:spacing w:before="100"/>
        <w:ind w:firstLine="709"/>
        <w:jc w:val="both"/>
        <w:rPr>
          <w:bCs/>
        </w:rPr>
      </w:pPr>
      <w:r w:rsidRPr="00C04408">
        <w:t xml:space="preserve">У 2015 році вперше були надані з державного бюджету місцевим бюджетам освітня субвенція (44,1 млрд гривень), медична субвенція (46,2 млрд гривень) та субвенція на підготовку робітничих кадрів (5,5 млрд гривень). </w:t>
      </w:r>
      <w:r w:rsidRPr="00C04408">
        <w:rPr>
          <w:bCs/>
        </w:rPr>
        <w:t>При цьому відповідно до статей 103-2, 103-3 і 103-4 Бюджетного кодексу України залишки коштів за такими субвенціями на кінець звітного періоду були збережені на рахунках відповідних місцевих бюджетів та можуть використовуватися у 2016 році з урахуванням цільового призначення зазначених субвенцій.</w:t>
      </w:r>
    </w:p>
    <w:p w:rsidR="00C90028" w:rsidRPr="00C04408" w:rsidRDefault="00BC7665" w:rsidP="00107345">
      <w:pPr>
        <w:spacing w:before="100"/>
        <w:ind w:firstLine="709"/>
        <w:jc w:val="both"/>
      </w:pPr>
      <w:r w:rsidRPr="00C04408">
        <w:t>С</w:t>
      </w:r>
      <w:r w:rsidR="00061072" w:rsidRPr="00C04408">
        <w:t>убвенції на здійснення державних програм соціального захисту</w:t>
      </w:r>
      <w:r w:rsidR="00BA60B2" w:rsidRPr="00C04408">
        <w:t xml:space="preserve"> </w:t>
      </w:r>
      <w:r w:rsidRPr="00C04408">
        <w:t>надані в сумі</w:t>
      </w:r>
      <w:r w:rsidR="00BA60B2" w:rsidRPr="00C04408">
        <w:t xml:space="preserve"> </w:t>
      </w:r>
      <w:r w:rsidR="00061072" w:rsidRPr="00C04408">
        <w:t xml:space="preserve">63,3 млрд гривень (або 99,4 відсотка </w:t>
      </w:r>
      <w:r w:rsidR="00CA0421" w:rsidRPr="00C04408">
        <w:t>бюджетних призначень</w:t>
      </w:r>
      <w:r w:rsidR="00061072" w:rsidRPr="00C04408">
        <w:t>).</w:t>
      </w:r>
      <w:r w:rsidR="00C90028" w:rsidRPr="00C04408">
        <w:t xml:space="preserve"> При цьому Рахунковою палатою</w:t>
      </w:r>
      <w:r w:rsidR="00914DFC" w:rsidRPr="00C04408">
        <w:t xml:space="preserve"> </w:t>
      </w:r>
      <w:proofErr w:type="spellStart"/>
      <w:r w:rsidR="00C90028" w:rsidRPr="00C04408">
        <w:t>звернуто</w:t>
      </w:r>
      <w:proofErr w:type="spellEnd"/>
      <w:r w:rsidR="00C90028" w:rsidRPr="00C04408">
        <w:t xml:space="preserve"> увагу на</w:t>
      </w:r>
      <w:r w:rsidR="00914DFC" w:rsidRPr="00C04408">
        <w:t xml:space="preserve"> </w:t>
      </w:r>
      <w:r w:rsidR="00C90028" w:rsidRPr="00C04408">
        <w:t xml:space="preserve">неефективне управління </w:t>
      </w:r>
      <w:r w:rsidR="00C90028" w:rsidRPr="00C04408">
        <w:lastRenderedPageBreak/>
        <w:t xml:space="preserve">коштами субвенції на надання пільг та субсидій населенню на оплату житлово-комунальних послуг, </w:t>
      </w:r>
      <w:r w:rsidR="00446473" w:rsidRPr="00C04408">
        <w:t xml:space="preserve">зокрема у зв’язку із застосуванням переважно механізму проведення взаєморозрахунків (заліків), в яких низка підприємств не може взяти участь (а отже одержати субвенцію) через відсутність заборгованості за енергоносії та перед бюджетом, </w:t>
      </w:r>
      <w:r w:rsidR="00AD1F3C" w:rsidRPr="00C04408">
        <w:t xml:space="preserve">і як </w:t>
      </w:r>
      <w:r w:rsidR="00C90028" w:rsidRPr="00C04408">
        <w:t>наслід</w:t>
      </w:r>
      <w:r w:rsidR="00AD1F3C" w:rsidRPr="00C04408">
        <w:t>ок</w:t>
      </w:r>
      <w:r w:rsidR="00C90028" w:rsidRPr="00C04408">
        <w:t xml:space="preserve"> несвоєчасне проведення розрахунків з підприємствами за надані громадянам такі послуги</w:t>
      </w:r>
      <w:r w:rsidR="00AD1F3C" w:rsidRPr="00C04408">
        <w:t>.</w:t>
      </w:r>
      <w:r w:rsidR="00C90028" w:rsidRPr="00C04408">
        <w:t xml:space="preserve"> </w:t>
      </w:r>
    </w:p>
    <w:p w:rsidR="009D32F1" w:rsidRPr="00C04408" w:rsidRDefault="009D32F1" w:rsidP="00107345">
      <w:pPr>
        <w:spacing w:before="100"/>
        <w:ind w:firstLine="709"/>
        <w:jc w:val="both"/>
      </w:pPr>
      <w:r w:rsidRPr="00C04408">
        <w:t>За підсумками 2015 року не забезпечено у повному обсязі погашення заборгованості з різниці в тарифах на теплову енергію, опалення, постачання гарячої води, послуги з централізованого водопостачання та водовідведення для населення, яка виникла у зв’язку з невідповідністю їх фактичної вартості затвердженим тарифам, за рахунок відповідної субвенції з державного бюджету місцевим бюджетам.</w:t>
      </w:r>
    </w:p>
    <w:p w:rsidR="00994D9F" w:rsidRPr="00C04408" w:rsidRDefault="00994D9F" w:rsidP="00107345">
      <w:pPr>
        <w:spacing w:before="100"/>
        <w:ind w:firstLine="709"/>
        <w:jc w:val="both"/>
      </w:pPr>
      <w:r w:rsidRPr="00C04408">
        <w:t>Кошти державного фонду регіонального розвитку використані у сумі 2,4 млрд гривень, або 81,9 відсотка бюджетних призначень</w:t>
      </w:r>
      <w:r w:rsidR="00A66A5C" w:rsidRPr="00C04408">
        <w:t xml:space="preserve">, однією з причин неповного освоєння яких </w:t>
      </w:r>
      <w:r w:rsidR="00742741" w:rsidRPr="00C04408">
        <w:t>є</w:t>
      </w:r>
      <w:r w:rsidR="00A66A5C" w:rsidRPr="00C04408">
        <w:t xml:space="preserve"> несвоєчасне та неякісне формування переліку </w:t>
      </w:r>
      <w:r w:rsidR="00742741" w:rsidRPr="00C04408">
        <w:t xml:space="preserve">відповідних </w:t>
      </w:r>
      <w:r w:rsidR="00A66A5C" w:rsidRPr="00C04408">
        <w:t>проектів і заходів</w:t>
      </w:r>
      <w:r w:rsidRPr="00C04408">
        <w:t xml:space="preserve">. </w:t>
      </w:r>
    </w:p>
    <w:p w:rsidR="009843F7" w:rsidRPr="00C04408" w:rsidRDefault="009843F7" w:rsidP="00107345">
      <w:pPr>
        <w:spacing w:before="100"/>
        <w:ind w:firstLine="709"/>
        <w:jc w:val="both"/>
      </w:pPr>
      <w:bookmarkStart w:id="32" w:name="n41"/>
      <w:bookmarkEnd w:id="32"/>
      <w:r w:rsidRPr="00C04408">
        <w:t xml:space="preserve">За </w:t>
      </w:r>
      <w:r w:rsidR="008773BF" w:rsidRPr="00C04408">
        <w:t>201</w:t>
      </w:r>
      <w:r w:rsidR="00300A74" w:rsidRPr="00C04408">
        <w:t>5</w:t>
      </w:r>
      <w:r w:rsidRPr="00C04408">
        <w:t xml:space="preserve"> рік до місцевих </w:t>
      </w:r>
      <w:r w:rsidR="0057287C" w:rsidRPr="00C04408">
        <w:t xml:space="preserve">бюджетів надійшло </w:t>
      </w:r>
      <w:r w:rsidR="00300A74" w:rsidRPr="00C04408">
        <w:t>120,5</w:t>
      </w:r>
      <w:r w:rsidR="0057287C" w:rsidRPr="00C04408">
        <w:t> </w:t>
      </w:r>
      <w:r w:rsidRPr="00C04408">
        <w:t xml:space="preserve">млрд гривень доходів (без урахування міжбюджетних трансфертів), </w:t>
      </w:r>
      <w:r w:rsidR="004B684B" w:rsidRPr="00C04408">
        <w:t xml:space="preserve">що </w:t>
      </w:r>
      <w:r w:rsidR="009B5F50" w:rsidRPr="00C04408">
        <w:t xml:space="preserve">на </w:t>
      </w:r>
      <w:r w:rsidR="00300A74" w:rsidRPr="00C04408">
        <w:t>20,6</w:t>
      </w:r>
      <w:r w:rsidRPr="00C04408">
        <w:t> млрд гривен</w:t>
      </w:r>
      <w:r w:rsidR="00F35526" w:rsidRPr="00C04408">
        <w:t>ь</w:t>
      </w:r>
      <w:r w:rsidR="00300A74" w:rsidRPr="00C04408">
        <w:t>,</w:t>
      </w:r>
      <w:r w:rsidR="00F35526" w:rsidRPr="00C04408">
        <w:t xml:space="preserve"> або на </w:t>
      </w:r>
      <w:r w:rsidR="00300A74" w:rsidRPr="00C04408">
        <w:t>20,6</w:t>
      </w:r>
      <w:r w:rsidRPr="00C04408">
        <w:t> відсотка</w:t>
      </w:r>
      <w:r w:rsidR="00300A74" w:rsidRPr="00C04408">
        <w:t xml:space="preserve"> більше ніж у 2014 році</w:t>
      </w:r>
      <w:r w:rsidRPr="00C04408">
        <w:t>. Основними джерелами доходів місцевих бюджетів були податок на доходи фізичних осіб</w:t>
      </w:r>
      <w:r w:rsidR="006A4718" w:rsidRPr="00C04408">
        <w:rPr>
          <w:bCs/>
        </w:rPr>
        <w:t xml:space="preserve"> з часткою </w:t>
      </w:r>
      <w:r w:rsidR="00300A74" w:rsidRPr="00C04408">
        <w:rPr>
          <w:bCs/>
        </w:rPr>
        <w:t>45,6</w:t>
      </w:r>
      <w:r w:rsidRPr="00C04408">
        <w:rPr>
          <w:bCs/>
        </w:rPr>
        <w:t xml:space="preserve"> відсотка та обсягом </w:t>
      </w:r>
      <w:r w:rsidR="00300A74" w:rsidRPr="00C04408">
        <w:t>54,9</w:t>
      </w:r>
      <w:r w:rsidRPr="00C04408">
        <w:t xml:space="preserve"> млрд гривень </w:t>
      </w:r>
      <w:r w:rsidR="002D48E3" w:rsidRPr="00C04408">
        <w:t>та</w:t>
      </w:r>
      <w:r w:rsidRPr="00C04408">
        <w:t xml:space="preserve"> </w:t>
      </w:r>
      <w:r w:rsidR="00300A74" w:rsidRPr="00C04408">
        <w:t xml:space="preserve">місцеві податки і збори з часткою </w:t>
      </w:r>
      <w:r w:rsidR="0074041A" w:rsidRPr="00C04408">
        <w:t>22,4</w:t>
      </w:r>
      <w:r w:rsidR="00300A74" w:rsidRPr="00C04408">
        <w:t> відсотка</w:t>
      </w:r>
      <w:r w:rsidR="0074041A" w:rsidRPr="00C04408">
        <w:t xml:space="preserve"> та обсягом 27 млрд гривень. </w:t>
      </w:r>
      <w:r w:rsidR="00A66A5C" w:rsidRPr="00C04408">
        <w:t xml:space="preserve">Водночас, в результаті здійснення бюджетної децентралізації за 2015 рік </w:t>
      </w:r>
      <w:r w:rsidR="00742741" w:rsidRPr="00C04408">
        <w:t>порівняно з</w:t>
      </w:r>
      <w:r w:rsidR="00A66A5C" w:rsidRPr="00C04408">
        <w:t xml:space="preserve"> 2014 роком </w:t>
      </w:r>
      <w:r w:rsidR="00742741" w:rsidRPr="00C04408">
        <w:t xml:space="preserve">(у співставних умовах) </w:t>
      </w:r>
      <w:r w:rsidR="00A66A5C" w:rsidRPr="00C04408">
        <w:t>загалом дох</w:t>
      </w:r>
      <w:r w:rsidR="00FF75A8" w:rsidRPr="00C04408">
        <w:t>і</w:t>
      </w:r>
      <w:r w:rsidR="00A66A5C" w:rsidRPr="00C04408">
        <w:t>дна частина загального фонду місцевих бюджетів збільшилася на 42,1 відсотка.</w:t>
      </w:r>
    </w:p>
    <w:p w:rsidR="00307616" w:rsidRPr="00C04408" w:rsidRDefault="009843F7" w:rsidP="00107345">
      <w:pPr>
        <w:spacing w:before="100"/>
        <w:ind w:firstLine="709"/>
        <w:jc w:val="both"/>
      </w:pPr>
      <w:bookmarkStart w:id="33" w:name="n35"/>
      <w:bookmarkEnd w:id="33"/>
      <w:r w:rsidRPr="00C04408">
        <w:t xml:space="preserve">Видатки місцевих бюджетів (без урахування коштів, що передаються до державного бюджету) </w:t>
      </w:r>
      <w:r w:rsidR="005C239D" w:rsidRPr="00C04408">
        <w:t>у</w:t>
      </w:r>
      <w:r w:rsidRPr="00C04408">
        <w:t xml:space="preserve"> </w:t>
      </w:r>
      <w:r w:rsidR="008773BF" w:rsidRPr="00C04408">
        <w:t>201</w:t>
      </w:r>
      <w:r w:rsidR="005C239D" w:rsidRPr="00C04408">
        <w:t>5</w:t>
      </w:r>
      <w:r w:rsidRPr="00C04408">
        <w:t> р</w:t>
      </w:r>
      <w:r w:rsidR="005C239D" w:rsidRPr="00C04408">
        <w:t>оці</w:t>
      </w:r>
      <w:r w:rsidRPr="00C04408">
        <w:t xml:space="preserve"> </w:t>
      </w:r>
      <w:r w:rsidR="005C239D" w:rsidRPr="00C04408">
        <w:t>становили</w:t>
      </w:r>
      <w:r w:rsidR="00661D51" w:rsidRPr="00C04408">
        <w:t xml:space="preserve"> </w:t>
      </w:r>
      <w:r w:rsidR="00E046D4" w:rsidRPr="00C04408">
        <w:t>2</w:t>
      </w:r>
      <w:r w:rsidR="005C239D" w:rsidRPr="00C04408">
        <w:t>76</w:t>
      </w:r>
      <w:r w:rsidR="00E046D4" w:rsidRPr="00C04408">
        <w:t>,</w:t>
      </w:r>
      <w:r w:rsidR="005C239D" w:rsidRPr="00C04408">
        <w:t>9</w:t>
      </w:r>
      <w:r w:rsidR="00E046D4" w:rsidRPr="00C04408">
        <w:t> млрд гривень</w:t>
      </w:r>
      <w:r w:rsidR="00975E47" w:rsidRPr="00C04408">
        <w:t xml:space="preserve">, що </w:t>
      </w:r>
      <w:r w:rsidR="005C239D" w:rsidRPr="00C04408">
        <w:t>н</w:t>
      </w:r>
      <w:r w:rsidR="00661D51" w:rsidRPr="00C04408">
        <w:t xml:space="preserve">а </w:t>
      </w:r>
      <w:r w:rsidR="005C239D" w:rsidRPr="00C04408">
        <w:t>55,6</w:t>
      </w:r>
      <w:r w:rsidR="002B27CE" w:rsidRPr="00C04408">
        <w:t xml:space="preserve"> млрд гривень, або на </w:t>
      </w:r>
      <w:r w:rsidR="005C239D" w:rsidRPr="00C04408">
        <w:t>25,1</w:t>
      </w:r>
      <w:r w:rsidRPr="00C04408">
        <w:t> відсотка</w:t>
      </w:r>
      <w:r w:rsidR="003743A3" w:rsidRPr="00C04408">
        <w:t xml:space="preserve"> </w:t>
      </w:r>
      <w:r w:rsidR="00E046D4" w:rsidRPr="00C04408">
        <w:t>більше</w:t>
      </w:r>
      <w:r w:rsidR="005C239D" w:rsidRPr="00C04408">
        <w:t xml:space="preserve">, ніж у </w:t>
      </w:r>
      <w:r w:rsidR="003743A3" w:rsidRPr="00C04408">
        <w:t>201</w:t>
      </w:r>
      <w:r w:rsidR="005C239D" w:rsidRPr="00C04408">
        <w:t>4</w:t>
      </w:r>
      <w:r w:rsidR="003743A3" w:rsidRPr="00C04408">
        <w:t> ро</w:t>
      </w:r>
      <w:r w:rsidR="005C239D" w:rsidRPr="00C04408">
        <w:t>ці</w:t>
      </w:r>
      <w:r w:rsidRPr="00C04408">
        <w:t xml:space="preserve">. </w:t>
      </w:r>
      <w:r w:rsidR="00AD717B" w:rsidRPr="00C04408">
        <w:t xml:space="preserve">При цьому частка видатків місцевих бюджетів у зведеному бюджеті України зменшилася </w:t>
      </w:r>
      <w:r w:rsidR="000B1FBA" w:rsidRPr="00C04408">
        <w:t xml:space="preserve">на </w:t>
      </w:r>
      <w:r w:rsidR="00CD4A64" w:rsidRPr="00C04408">
        <w:t>2</w:t>
      </w:r>
      <w:r w:rsidR="000B1FBA" w:rsidRPr="00C04408">
        <w:t> </w:t>
      </w:r>
      <w:r w:rsidR="00CD4A64" w:rsidRPr="00C04408">
        <w:t>відсоткових</w:t>
      </w:r>
      <w:r w:rsidR="000B1FBA" w:rsidRPr="00C04408">
        <w:t xml:space="preserve"> пункти і </w:t>
      </w:r>
      <w:r w:rsidR="00AD717B" w:rsidRPr="00C04408">
        <w:t>становила 40,7 відсотка.</w:t>
      </w:r>
      <w:r w:rsidR="008C5315" w:rsidRPr="00C04408">
        <w:t xml:space="preserve"> </w:t>
      </w:r>
      <w:r w:rsidRPr="00C04408">
        <w:t xml:space="preserve">Як і у попередні роки, переважна частина видатків загального фонду місцевих бюджетів спрямована на соціально-культурну </w:t>
      </w:r>
      <w:r w:rsidR="001374B8" w:rsidRPr="00C04408">
        <w:t xml:space="preserve">сферу та соціальний захист </w:t>
      </w:r>
      <w:r w:rsidR="002B27CE" w:rsidRPr="00C04408">
        <w:t>(</w:t>
      </w:r>
      <w:r w:rsidR="00AD717B" w:rsidRPr="00C04408">
        <w:t>87,4</w:t>
      </w:r>
      <w:r w:rsidR="002B27CE" w:rsidRPr="00C04408">
        <w:t> відсот</w:t>
      </w:r>
      <w:r w:rsidR="00E23D75" w:rsidRPr="00C04408">
        <w:t>ка</w:t>
      </w:r>
      <w:r w:rsidRPr="00C04408">
        <w:t xml:space="preserve">), </w:t>
      </w:r>
      <w:r w:rsidR="00280DF3" w:rsidRPr="00C04408">
        <w:t>в той же час збільшилося</w:t>
      </w:r>
      <w:r w:rsidRPr="00C04408">
        <w:t xml:space="preserve"> фінансове забезпечення власних повноважень місцевого самоврядування</w:t>
      </w:r>
      <w:r w:rsidR="00482F65" w:rsidRPr="00C04408">
        <w:t>,</w:t>
      </w:r>
      <w:r w:rsidRPr="00C04408">
        <w:t xml:space="preserve"> насамперед житлово-комунального господарства. </w:t>
      </w:r>
      <w:r w:rsidR="00280DF3" w:rsidRPr="00C04408">
        <w:t>Н</w:t>
      </w:r>
      <w:r w:rsidR="004C3575" w:rsidRPr="00C04408">
        <w:t>а відміну від 2014 року в</w:t>
      </w:r>
      <w:r w:rsidRPr="00C04408">
        <w:rPr>
          <w:b/>
        </w:rPr>
        <w:t xml:space="preserve"> </w:t>
      </w:r>
      <w:r w:rsidRPr="00C04408">
        <w:t>економічній структурі видатків</w:t>
      </w:r>
      <w:r w:rsidRPr="00C04408">
        <w:rPr>
          <w:b/>
        </w:rPr>
        <w:t xml:space="preserve"> </w:t>
      </w:r>
      <w:r w:rsidRPr="00C04408">
        <w:t xml:space="preserve">місцевих бюджетів </w:t>
      </w:r>
      <w:r w:rsidR="004C3575" w:rsidRPr="00C04408">
        <w:t xml:space="preserve">за звітний період </w:t>
      </w:r>
      <w:r w:rsidR="00AD717B" w:rsidRPr="00C04408">
        <w:t>зменшилася</w:t>
      </w:r>
      <w:r w:rsidRPr="00C04408">
        <w:t xml:space="preserve"> частка по</w:t>
      </w:r>
      <w:r w:rsidR="00787021" w:rsidRPr="00C04408">
        <w:t>точних видатків</w:t>
      </w:r>
      <w:r w:rsidR="004C3575" w:rsidRPr="00C04408">
        <w:t xml:space="preserve"> (з 93,7 до 8</w:t>
      </w:r>
      <w:r w:rsidR="00AD717B" w:rsidRPr="00C04408">
        <w:t>8,5</w:t>
      </w:r>
      <w:r w:rsidRPr="00C04408">
        <w:t> відсотка</w:t>
      </w:r>
      <w:r w:rsidR="004C3575" w:rsidRPr="00C04408">
        <w:t>)</w:t>
      </w:r>
      <w:r w:rsidR="00482F65" w:rsidRPr="00C04408">
        <w:t xml:space="preserve"> та відповідно зросла частка капітальних видатків (</w:t>
      </w:r>
      <w:r w:rsidR="004C3575" w:rsidRPr="00C04408">
        <w:t xml:space="preserve">з 6,3 до </w:t>
      </w:r>
      <w:r w:rsidR="00482F65" w:rsidRPr="00C04408">
        <w:t>11,5 відсотка)</w:t>
      </w:r>
      <w:r w:rsidRPr="00C04408">
        <w:t>.</w:t>
      </w:r>
      <w:r w:rsidR="00697524" w:rsidRPr="00C04408">
        <w:t xml:space="preserve"> </w:t>
      </w:r>
      <w:r w:rsidR="00280DF3" w:rsidRPr="00C04408">
        <w:t>Разом з тим</w:t>
      </w:r>
      <w:r w:rsidR="00CD4A64" w:rsidRPr="00C04408">
        <w:t xml:space="preserve">, </w:t>
      </w:r>
      <w:r w:rsidR="00892F67" w:rsidRPr="00C04408">
        <w:t xml:space="preserve">відбулося значне зростання </w:t>
      </w:r>
      <w:r w:rsidR="00885CE4" w:rsidRPr="00C04408">
        <w:t xml:space="preserve">кредиторської заборгованості за видатками місцевих бюджетів </w:t>
      </w:r>
      <w:r w:rsidR="004C3575" w:rsidRPr="00C04408">
        <w:t xml:space="preserve">(на 58 відсотків), яка станом на 1 січня 2016 року становила </w:t>
      </w:r>
      <w:r w:rsidR="00885CE4" w:rsidRPr="00C04408">
        <w:t xml:space="preserve">9,5 млрд гривень. </w:t>
      </w:r>
    </w:p>
    <w:p w:rsidR="00A428F2" w:rsidRPr="00C04408" w:rsidRDefault="00A428F2" w:rsidP="00107345">
      <w:pPr>
        <w:spacing w:before="100"/>
        <w:ind w:firstLine="709"/>
        <w:jc w:val="both"/>
      </w:pPr>
      <w:r w:rsidRPr="00C04408">
        <w:lastRenderedPageBreak/>
        <w:t xml:space="preserve">У зв’язку з відсутністю інформації про виконання місцевих бюджетів Автономної Республіки Крим та міста Севастополя для належної </w:t>
      </w:r>
      <w:proofErr w:type="spellStart"/>
      <w:r w:rsidRPr="00C04408">
        <w:t>співставності</w:t>
      </w:r>
      <w:proofErr w:type="spellEnd"/>
      <w:r w:rsidRPr="00C04408">
        <w:t xml:space="preserve"> показники місцевих бюджетів наведені без урахування показників відповідних бюджетів.</w:t>
      </w:r>
    </w:p>
    <w:p w:rsidR="00792D83" w:rsidRPr="00C04408" w:rsidRDefault="00E9753D" w:rsidP="00107345">
      <w:pPr>
        <w:spacing w:before="100"/>
        <w:ind w:firstLine="709"/>
        <w:jc w:val="both"/>
        <w:rPr>
          <w:bCs/>
        </w:rPr>
      </w:pPr>
      <w:r w:rsidRPr="00C04408">
        <w:t>Відповідно до статей</w:t>
      </w:r>
      <w:r w:rsidR="00D37267" w:rsidRPr="00C04408">
        <w:t> </w:t>
      </w:r>
      <w:r w:rsidRPr="00C04408">
        <w:t>43 і 73 Бюджетного кодексу України для забезпечення збалансованості місцевих бюджетів у процесі їх виконання</w:t>
      </w:r>
      <w:r w:rsidR="00D37267" w:rsidRPr="00C04408">
        <w:t xml:space="preserve"> для своєчасного проведення захищених видатків</w:t>
      </w:r>
      <w:r w:rsidRPr="00C04408">
        <w:t xml:space="preserve"> у 201</w:t>
      </w:r>
      <w:r w:rsidR="00D37267" w:rsidRPr="00C04408">
        <w:t>5</w:t>
      </w:r>
      <w:r w:rsidRPr="00C04408">
        <w:t xml:space="preserve"> році за рахунок коштів єдиного казначейського рахунку надано місцевим бюджетам позик на покриття тимчасових касових розривів </w:t>
      </w:r>
      <w:r w:rsidR="005A571A" w:rsidRPr="00C04408">
        <w:t>на</w:t>
      </w:r>
      <w:r w:rsidRPr="00C04408">
        <w:t xml:space="preserve"> сум</w:t>
      </w:r>
      <w:r w:rsidR="005A571A" w:rsidRPr="00C04408">
        <w:t>у</w:t>
      </w:r>
      <w:r w:rsidRPr="00C04408">
        <w:t xml:space="preserve"> </w:t>
      </w:r>
      <w:r w:rsidR="00D37267" w:rsidRPr="00C04408">
        <w:t>1,9</w:t>
      </w:r>
      <w:r w:rsidRPr="00C04408">
        <w:t> млрд гривень</w:t>
      </w:r>
      <w:r w:rsidR="00280DF3" w:rsidRPr="00C04408">
        <w:t xml:space="preserve"> (у 2014 році таких позик надано обсягом 27,9 млрд гривень) </w:t>
      </w:r>
      <w:r w:rsidR="00E83859" w:rsidRPr="00C04408">
        <w:t>.</w:t>
      </w:r>
      <w:r w:rsidR="00792D83" w:rsidRPr="00C04408">
        <w:t xml:space="preserve"> При цьому </w:t>
      </w:r>
      <w:r w:rsidR="00A636D2" w:rsidRPr="00C04408">
        <w:t xml:space="preserve">з 2015 року за рахунок коштів єдиного казначейського рахунку не надаються місцевим бюджетам </w:t>
      </w:r>
      <w:r w:rsidR="00A636D2" w:rsidRPr="00C04408">
        <w:rPr>
          <w:bCs/>
        </w:rPr>
        <w:t xml:space="preserve">середньострокові позики, проте </w:t>
      </w:r>
      <w:r w:rsidR="00792D83" w:rsidRPr="00C04408">
        <w:t>з</w:t>
      </w:r>
      <w:r w:rsidR="00792D83" w:rsidRPr="00C04408">
        <w:rPr>
          <w:bCs/>
        </w:rPr>
        <w:t xml:space="preserve">алишок неповернутих з місцевих бюджетів </w:t>
      </w:r>
      <w:r w:rsidR="00A636D2" w:rsidRPr="00C04408">
        <w:rPr>
          <w:bCs/>
        </w:rPr>
        <w:t xml:space="preserve">таких позик </w:t>
      </w:r>
      <w:r w:rsidR="00792D83" w:rsidRPr="00C04408">
        <w:rPr>
          <w:bCs/>
        </w:rPr>
        <w:t>за 2009–201</w:t>
      </w:r>
      <w:r w:rsidR="008438C6" w:rsidRPr="00C04408">
        <w:rPr>
          <w:bCs/>
        </w:rPr>
        <w:t>4</w:t>
      </w:r>
      <w:r w:rsidR="00792D83" w:rsidRPr="00C04408">
        <w:rPr>
          <w:bCs/>
        </w:rPr>
        <w:t xml:space="preserve"> роки становить </w:t>
      </w:r>
      <w:r w:rsidR="00280DF3" w:rsidRPr="00C04408">
        <w:rPr>
          <w:bCs/>
        </w:rPr>
        <w:t>майже 9</w:t>
      </w:r>
      <w:r w:rsidR="00792D83" w:rsidRPr="00C04408">
        <w:rPr>
          <w:bCs/>
        </w:rPr>
        <w:t> млрд гривень</w:t>
      </w:r>
      <w:r w:rsidR="00A636D2" w:rsidRPr="00C04408">
        <w:t>.</w:t>
      </w:r>
    </w:p>
    <w:p w:rsidR="00340799" w:rsidRPr="00C04408" w:rsidRDefault="00AF107A" w:rsidP="004C1AB9">
      <w:pPr>
        <w:spacing w:before="240"/>
        <w:ind w:firstLine="709"/>
        <w:jc w:val="both"/>
      </w:pPr>
      <w:bookmarkStart w:id="34" w:name="n42"/>
      <w:bookmarkEnd w:id="34"/>
      <w:r w:rsidRPr="00C04408">
        <w:t>Враховуючи вище</w:t>
      </w:r>
      <w:r w:rsidR="00846969" w:rsidRPr="00C04408">
        <w:t>виклад</w:t>
      </w:r>
      <w:r w:rsidRPr="00C04408">
        <w:t xml:space="preserve">ене, Верховна Рада України </w:t>
      </w:r>
      <w:r w:rsidRPr="00C04408">
        <w:rPr>
          <w:bCs/>
          <w:spacing w:val="32"/>
        </w:rPr>
        <w:t>постановляє:</w:t>
      </w:r>
    </w:p>
    <w:p w:rsidR="00AF107A" w:rsidRPr="00C04408" w:rsidRDefault="00AF107A" w:rsidP="004C1AB9">
      <w:pPr>
        <w:spacing w:before="240"/>
        <w:ind w:firstLine="709"/>
        <w:jc w:val="both"/>
      </w:pPr>
      <w:bookmarkStart w:id="35" w:name="n43"/>
      <w:bookmarkEnd w:id="35"/>
      <w:r w:rsidRPr="00C04408">
        <w:t xml:space="preserve">1. Взяти до відома звіт Кабінету Міністрів України про виконання </w:t>
      </w:r>
      <w:hyperlink r:id="rId14" w:tgtFrame="_blank" w:history="1">
        <w:r w:rsidRPr="00C04408">
          <w:t>Закону України «Про Державний бюджет України на 2015 рік»</w:t>
        </w:r>
      </w:hyperlink>
      <w:r w:rsidRPr="00C04408">
        <w:t xml:space="preserve">, згідно з яким державний бюджет виконано за доходами у сумі 534.694,8 млн гривень, за видатками </w:t>
      </w:r>
      <w:r w:rsidRPr="00C04408">
        <w:sym w:font="Symbol" w:char="002D"/>
      </w:r>
      <w:r w:rsidRPr="00C04408">
        <w:t xml:space="preserve"> 576.911,4 млн гривень, за обсягом повернення кредитів </w:t>
      </w:r>
      <w:r w:rsidRPr="00C04408">
        <w:sym w:font="Symbol" w:char="002D"/>
      </w:r>
      <w:r w:rsidRPr="00C04408">
        <w:t xml:space="preserve"> </w:t>
      </w:r>
      <w:bookmarkStart w:id="36" w:name="_GoBack"/>
      <w:bookmarkEnd w:id="36"/>
      <w:r w:rsidRPr="00C04408">
        <w:t xml:space="preserve">4.297,1 млн гривень та за обсягом надання кредитів </w:t>
      </w:r>
      <w:r w:rsidRPr="00C04408">
        <w:sym w:font="Symbol" w:char="002D"/>
      </w:r>
      <w:r w:rsidRPr="00C04408">
        <w:t xml:space="preserve"> 7.248 млн гривень, з дефіцитом у сумі 45.167,5 млн гривень.</w:t>
      </w:r>
    </w:p>
    <w:p w:rsidR="00AF107A" w:rsidRPr="00C04408" w:rsidRDefault="00AF107A" w:rsidP="004C1AB9">
      <w:pPr>
        <w:spacing w:before="240"/>
        <w:ind w:firstLine="709"/>
        <w:jc w:val="both"/>
      </w:pPr>
      <w:bookmarkStart w:id="37" w:name="n44"/>
      <w:bookmarkEnd w:id="37"/>
      <w:r w:rsidRPr="00C04408">
        <w:t>2. Кабінету Міністрів України:</w:t>
      </w:r>
    </w:p>
    <w:p w:rsidR="00AF107A" w:rsidRPr="00C04408" w:rsidRDefault="00AF107A" w:rsidP="00D40DEE">
      <w:pPr>
        <w:spacing w:before="160"/>
        <w:ind w:firstLine="709"/>
        <w:jc w:val="both"/>
      </w:pPr>
      <w:bookmarkStart w:id="38" w:name="n45"/>
      <w:bookmarkEnd w:id="38"/>
      <w:r w:rsidRPr="00C04408">
        <w:t xml:space="preserve">1) проаналізувати висновки Рахункової палати щодо виконання </w:t>
      </w:r>
      <w:hyperlink r:id="rId15" w:tgtFrame="_blank" w:history="1">
        <w:r w:rsidRPr="00C04408">
          <w:t>Державного бюджету України за 2015 рік</w:t>
        </w:r>
      </w:hyperlink>
      <w:r w:rsidRPr="00C04408">
        <w:t>, вжити заходів щодо недопущення порушень бюджетного законодавства у поточному і наступних бюджетних періодах та реалізації відповідних пропозицій Рахункової палати;</w:t>
      </w:r>
    </w:p>
    <w:p w:rsidR="00AF107A" w:rsidRPr="00C04408" w:rsidRDefault="00AF107A" w:rsidP="00D40DEE">
      <w:pPr>
        <w:spacing w:before="160"/>
        <w:ind w:firstLine="709"/>
        <w:jc w:val="both"/>
      </w:pPr>
      <w:bookmarkStart w:id="39" w:name="n46"/>
      <w:bookmarkStart w:id="40" w:name="n47"/>
      <w:bookmarkStart w:id="41" w:name="n48"/>
      <w:bookmarkEnd w:id="39"/>
      <w:bookmarkEnd w:id="40"/>
      <w:bookmarkEnd w:id="41"/>
      <w:r w:rsidRPr="00C04408">
        <w:t xml:space="preserve">2) забезпечити дотримання вимог Бюджетного кодексу України щодо формування проекту державного бюджету на наступні бюджетні періоди на реалістичних </w:t>
      </w:r>
      <w:proofErr w:type="spellStart"/>
      <w:r w:rsidRPr="00C04408">
        <w:t>макропоказниках</w:t>
      </w:r>
      <w:proofErr w:type="spellEnd"/>
      <w:r w:rsidRPr="00C04408">
        <w:t xml:space="preserve"> економічного і соціального розвитку України;</w:t>
      </w:r>
    </w:p>
    <w:p w:rsidR="00AF107A" w:rsidRPr="00C04408" w:rsidRDefault="00AF107A" w:rsidP="00D40DEE">
      <w:pPr>
        <w:spacing w:before="160"/>
        <w:ind w:firstLine="709"/>
        <w:jc w:val="both"/>
      </w:pPr>
      <w:r w:rsidRPr="00C04408">
        <w:t>3) затвердити заходи щодо скорочення податкового боргу та недопущення нарощування нової податкової заборгованості, посиливши контроль за поверненням розстрочених і відстрочених сум податкового боргу та обмеживши щорічні списання податкової заборгованості;</w:t>
      </w:r>
    </w:p>
    <w:p w:rsidR="00AF107A" w:rsidRPr="00C04408" w:rsidRDefault="00AF107A" w:rsidP="00D40DEE">
      <w:pPr>
        <w:spacing w:before="160"/>
        <w:ind w:firstLine="709"/>
        <w:jc w:val="both"/>
      </w:pPr>
      <w:r w:rsidRPr="00C04408">
        <w:t xml:space="preserve">4) забезпечити своєчасне та у повному обсязі оприлюднення інформації щодо суб’єктів господарювання, які мають податковий борг, відповідно до пункту 35.4 статті 35 Податкового кодексу України; </w:t>
      </w:r>
    </w:p>
    <w:p w:rsidR="00AF107A" w:rsidRPr="00C04408" w:rsidRDefault="00AF107A" w:rsidP="00D40DEE">
      <w:pPr>
        <w:spacing w:before="160"/>
        <w:ind w:firstLine="709"/>
        <w:jc w:val="both"/>
      </w:pPr>
      <w:r w:rsidRPr="00C04408">
        <w:t>5) вжити заходів щодо зменшення обсягу необґрунтованих переплат податків і зборів до державного бюджету;</w:t>
      </w:r>
    </w:p>
    <w:p w:rsidR="00AF107A" w:rsidRPr="00C04408" w:rsidRDefault="00AF107A" w:rsidP="00D40DEE">
      <w:pPr>
        <w:spacing w:before="160"/>
        <w:ind w:firstLine="709"/>
        <w:jc w:val="both"/>
      </w:pPr>
      <w:r w:rsidRPr="00C04408">
        <w:lastRenderedPageBreak/>
        <w:t>6) посилити контроль за правомірністю отримання податкових пільг суб‘єктами господарювання та цільовим використанням таких пільг, включаючи запровадження постійного моніторингу податкових пільг та аналізу їх ефективності;</w:t>
      </w:r>
    </w:p>
    <w:p w:rsidR="00AF107A" w:rsidRPr="00C04408" w:rsidRDefault="00AF107A" w:rsidP="00D40DEE">
      <w:pPr>
        <w:spacing w:before="160"/>
        <w:ind w:firstLine="709"/>
        <w:jc w:val="both"/>
      </w:pPr>
      <w:r w:rsidRPr="00C04408">
        <w:t xml:space="preserve">7) </w:t>
      </w:r>
      <w:r w:rsidR="00E33D16" w:rsidRPr="00C04408">
        <w:t xml:space="preserve">посилити </w:t>
      </w:r>
      <w:r w:rsidRPr="00C04408">
        <w:t>контрол</w:t>
      </w:r>
      <w:r w:rsidR="00E33D16" w:rsidRPr="00C04408">
        <w:t>ь</w:t>
      </w:r>
      <w:r w:rsidRPr="00C04408">
        <w:t xml:space="preserve"> за справлянням митних платежів та підвищити ефективність заходів з протидії заниженню митної вартості товарів;</w:t>
      </w:r>
    </w:p>
    <w:p w:rsidR="00AF107A" w:rsidRPr="00C04408" w:rsidRDefault="00AF107A" w:rsidP="00D40DEE">
      <w:pPr>
        <w:spacing w:before="160"/>
        <w:ind w:firstLine="709"/>
        <w:jc w:val="both"/>
      </w:pPr>
      <w:r w:rsidRPr="00C04408">
        <w:t>8) забезпечити належний облік адміністративних правопорушень у сфері безпеки дорожнього руху, сум нарахованих і сплачених відповідних адміністративних штрафів та координацію дій органів виконавчої влади у такій сфері з метою своєчасного і в повному обсязі надходження адміністративних штрафів до бюджету;</w:t>
      </w:r>
    </w:p>
    <w:p w:rsidR="00AF107A" w:rsidRPr="00C04408" w:rsidRDefault="00AF107A" w:rsidP="00D40DEE">
      <w:pPr>
        <w:spacing w:before="160"/>
        <w:ind w:firstLine="709"/>
        <w:jc w:val="both"/>
      </w:pPr>
      <w:r w:rsidRPr="00C04408">
        <w:t xml:space="preserve">9) здійснити чітке розмежування адміністративних послуг та інших платних послуг, що надаються бюджетними установами, і відповідно адміністративних зборів та власних надходжень бюджетних установ, а також </w:t>
      </w:r>
      <w:proofErr w:type="spellStart"/>
      <w:r w:rsidRPr="00C04408">
        <w:t>внести</w:t>
      </w:r>
      <w:proofErr w:type="spellEnd"/>
      <w:r w:rsidRPr="00C04408">
        <w:t xml:space="preserve"> законодавчі пропозиції щодо переліку адміністративних послуг та розміру плати за їх надання;</w:t>
      </w:r>
    </w:p>
    <w:p w:rsidR="003A7DC1" w:rsidRPr="00C04408" w:rsidRDefault="003A7DC1" w:rsidP="00D40DEE">
      <w:pPr>
        <w:spacing w:before="160"/>
        <w:ind w:firstLine="709"/>
        <w:jc w:val="both"/>
      </w:pPr>
      <w:bookmarkStart w:id="42" w:name="n49"/>
      <w:bookmarkStart w:id="43" w:name="n50"/>
      <w:bookmarkEnd w:id="42"/>
      <w:bookmarkEnd w:id="43"/>
      <w:r w:rsidRPr="00C04408">
        <w:t xml:space="preserve">10) </w:t>
      </w:r>
      <w:r w:rsidR="00E33D16" w:rsidRPr="00C04408">
        <w:t>до 1 вересня 2016 року</w:t>
      </w:r>
      <w:r w:rsidRPr="00C04408">
        <w:t xml:space="preserve"> подати для схвалення Верховній Раді України план заходів з приведення загального обсягу державного боргу та гарантованого державою боргу до встановлених Бюджетним кодексом України</w:t>
      </w:r>
      <w:r w:rsidR="00AC05D7">
        <w:t xml:space="preserve"> вимог</w:t>
      </w:r>
      <w:r w:rsidRPr="00C04408">
        <w:t>;</w:t>
      </w:r>
    </w:p>
    <w:p w:rsidR="003A7DC1" w:rsidRPr="00C04408" w:rsidRDefault="003A7DC1" w:rsidP="00D40DEE">
      <w:pPr>
        <w:spacing w:before="160"/>
        <w:ind w:firstLine="709"/>
        <w:jc w:val="both"/>
      </w:pPr>
      <w:r w:rsidRPr="00C04408">
        <w:t xml:space="preserve">11) у місячний строк </w:t>
      </w:r>
      <w:r w:rsidR="000E0923" w:rsidRPr="00C04408">
        <w:t>затвердити стратегію управління державним боргом;</w:t>
      </w:r>
    </w:p>
    <w:p w:rsidR="00AF107A" w:rsidRPr="00C04408" w:rsidRDefault="00AF107A" w:rsidP="00D40DEE">
      <w:pPr>
        <w:spacing w:before="160"/>
        <w:ind w:firstLine="709"/>
        <w:jc w:val="both"/>
      </w:pPr>
      <w:r w:rsidRPr="00C04408">
        <w:t>1</w:t>
      </w:r>
      <w:r w:rsidR="003A7DC1" w:rsidRPr="00C04408">
        <w:t>2</w:t>
      </w:r>
      <w:r w:rsidRPr="00C04408">
        <w:t>) переглянути процедуру підготовки інформації про надані державні гарантії у складі звітності про виконання державного бюджету з метою забезпечення відображення достовірного стану гарантійних зобов’язань держави на кожну звітну дату;</w:t>
      </w:r>
    </w:p>
    <w:p w:rsidR="00AF107A" w:rsidRPr="00C04408" w:rsidRDefault="00AF107A" w:rsidP="00D40DEE">
      <w:pPr>
        <w:spacing w:before="160"/>
        <w:ind w:firstLine="709"/>
        <w:jc w:val="both"/>
      </w:pPr>
      <w:r w:rsidRPr="00C04408">
        <w:t>1</w:t>
      </w:r>
      <w:r w:rsidR="003A7DC1" w:rsidRPr="00C04408">
        <w:t>3</w:t>
      </w:r>
      <w:r w:rsidRPr="00C04408">
        <w:t>) забезпечити дотримання норм частини третьої статті 14 та пункту 7 частини першої статті 40 Бюджетного кодексу України щодо визначення в проекті закону про Державний бюджет України на 2017 рік оборотного залишку бюджетних коштів в абсолютній сумі, достатній для покриття тимчасових касових розривів державного бюджету, та збереження оборотного залишку бюджетних коштів на кінець року;</w:t>
      </w:r>
    </w:p>
    <w:p w:rsidR="00AF107A" w:rsidRPr="00C04408" w:rsidRDefault="00AF107A" w:rsidP="00D40DEE">
      <w:pPr>
        <w:spacing w:before="160"/>
        <w:ind w:firstLine="709"/>
        <w:jc w:val="both"/>
      </w:pPr>
      <w:r w:rsidRPr="00C04408">
        <w:t>1</w:t>
      </w:r>
      <w:r w:rsidR="00D40DEE">
        <w:t>4</w:t>
      </w:r>
      <w:r w:rsidRPr="00C04408">
        <w:t xml:space="preserve">) </w:t>
      </w:r>
      <w:proofErr w:type="spellStart"/>
      <w:r w:rsidRPr="00C04408">
        <w:t>внести</w:t>
      </w:r>
      <w:proofErr w:type="spellEnd"/>
      <w:r w:rsidRPr="00C04408">
        <w:t xml:space="preserve"> пропозиції щодо врегулювання погашення заборгованості за позиками, наданими Пенсійному фонду України за рахунок коштів єдиного казначейського рахунку</w:t>
      </w:r>
      <w:r w:rsidR="00915EAC" w:rsidRPr="00C04408">
        <w:t xml:space="preserve"> у попередніх бюджетних періодах</w:t>
      </w:r>
      <w:r w:rsidRPr="00C04408">
        <w:t>;</w:t>
      </w:r>
    </w:p>
    <w:p w:rsidR="00AF107A" w:rsidRPr="00C04408" w:rsidRDefault="00AF107A" w:rsidP="00D40DEE">
      <w:pPr>
        <w:spacing w:before="160"/>
        <w:ind w:firstLine="709"/>
        <w:jc w:val="both"/>
      </w:pPr>
      <w:r w:rsidRPr="00C04408">
        <w:t>1</w:t>
      </w:r>
      <w:r w:rsidR="00D40DEE">
        <w:t>5</w:t>
      </w:r>
      <w:r w:rsidRPr="00C04408">
        <w:t xml:space="preserve">) активізувати роботу з погашення простроченої заборгованості перед державним бюджетом за кредитами, залученими державою або під державні гарантії, та за кредитами з державного бюджету з обов’язковим застосуванням механізмів погашення такої заборгованості, визначених статтею 17 </w:t>
      </w:r>
      <w:hyperlink r:id="rId16" w:tgtFrame="_blank" w:history="1">
        <w:r w:rsidRPr="00C04408">
          <w:t>Бюджетного кодексу України</w:t>
        </w:r>
      </w:hyperlink>
      <w:r w:rsidRPr="00C04408">
        <w:t>;</w:t>
      </w:r>
    </w:p>
    <w:p w:rsidR="00AF107A" w:rsidRPr="00C04408" w:rsidRDefault="00AF107A" w:rsidP="00D40DEE">
      <w:pPr>
        <w:spacing w:before="160"/>
        <w:ind w:firstLine="709"/>
        <w:jc w:val="both"/>
      </w:pPr>
      <w:r w:rsidRPr="00C04408">
        <w:lastRenderedPageBreak/>
        <w:t>1</w:t>
      </w:r>
      <w:r w:rsidR="00D40DEE">
        <w:t>6</w:t>
      </w:r>
      <w:r w:rsidRPr="00C04408">
        <w:t xml:space="preserve">) </w:t>
      </w:r>
      <w:bookmarkStart w:id="44" w:name="n51"/>
      <w:bookmarkEnd w:id="44"/>
      <w:r w:rsidRPr="00C04408">
        <w:t xml:space="preserve">вжити заходів щодо погашення кредиторської і дебіторської бюджетної заборгованості, насамперед простроченої, та недопущення її нарощування, посиливши контроль за дотриманням фінансової дисципліни розпорядниками бюджетних коштів; </w:t>
      </w:r>
    </w:p>
    <w:p w:rsidR="00AF107A" w:rsidRPr="00C04408" w:rsidRDefault="00AF107A" w:rsidP="00D40DEE">
      <w:pPr>
        <w:spacing w:before="160"/>
        <w:ind w:firstLine="709"/>
        <w:jc w:val="both"/>
      </w:pPr>
      <w:bookmarkStart w:id="45" w:name="n52"/>
      <w:bookmarkEnd w:id="45"/>
      <w:r w:rsidRPr="00C04408">
        <w:t>1</w:t>
      </w:r>
      <w:r w:rsidR="00D40DEE">
        <w:t>7</w:t>
      </w:r>
      <w:r w:rsidRPr="00C04408">
        <w:t>) не</w:t>
      </w:r>
      <w:r w:rsidR="00910741" w:rsidRPr="00C04408">
        <w:t xml:space="preserve"> </w:t>
      </w:r>
      <w:r w:rsidRPr="00C04408">
        <w:t>допускати розширення випадків здійснення попередньої оплати товарів, робіт і послуг за бюджетні кошти та розглянути можливість скорочення строків авансових платежів і зменшення кількості випадків попередньої оплати;</w:t>
      </w:r>
    </w:p>
    <w:p w:rsidR="00AF107A" w:rsidRPr="00C04408" w:rsidRDefault="00AF107A" w:rsidP="00D40DEE">
      <w:pPr>
        <w:spacing w:before="160"/>
        <w:ind w:firstLine="709"/>
        <w:jc w:val="both"/>
      </w:pPr>
      <w:r w:rsidRPr="00C04408">
        <w:t>1</w:t>
      </w:r>
      <w:r w:rsidR="00D40DEE">
        <w:t>8</w:t>
      </w:r>
      <w:r w:rsidRPr="00C04408">
        <w:t>) посилити контроль за проведенням головними розпорядниками коштів державного бюджету видатків на централізовані заходи</w:t>
      </w:r>
      <w:r w:rsidR="003C184C" w:rsidRPr="00C04408">
        <w:t xml:space="preserve"> (насамперед медичного спрямування)</w:t>
      </w:r>
      <w:r w:rsidRPr="00C04408">
        <w:t xml:space="preserve"> за адміністративно-територіальними одиницями, забезпечуючи своєчасність здійснення </w:t>
      </w:r>
      <w:proofErr w:type="spellStart"/>
      <w:r w:rsidRPr="00C04408">
        <w:t>закупівель</w:t>
      </w:r>
      <w:proofErr w:type="spellEnd"/>
      <w:r w:rsidRPr="00C04408">
        <w:t xml:space="preserve"> за такими коштами та постачання відповідних товарів (робіт і послуг) до регіонів;</w:t>
      </w:r>
    </w:p>
    <w:p w:rsidR="00AF107A" w:rsidRPr="00C04408" w:rsidRDefault="00D40DEE" w:rsidP="00D40DEE">
      <w:pPr>
        <w:spacing w:before="160"/>
        <w:ind w:firstLine="709"/>
        <w:jc w:val="both"/>
      </w:pPr>
      <w:bookmarkStart w:id="46" w:name="n55"/>
      <w:bookmarkStart w:id="47" w:name="n56"/>
      <w:bookmarkStart w:id="48" w:name="n57"/>
      <w:bookmarkEnd w:id="46"/>
      <w:bookmarkEnd w:id="47"/>
      <w:bookmarkEnd w:id="48"/>
      <w:r>
        <w:t>19</w:t>
      </w:r>
      <w:r w:rsidR="00AF107A" w:rsidRPr="00C04408">
        <w:t>) забезпечувати здійснення перерозподілу витрат державного бюджету (включаючи додаткових дотацій і субвенцій) та передачі бюджетних призначень виключно за наявності об’єктивних підстав (насамперед, обсягу відповідних бюджетних призначень) і фінансово-економічної доцільності та вжити заходів щодо посилення відповідальності головних розпорядників коштів державного бюджету за якість планування бюджетних програм;</w:t>
      </w:r>
    </w:p>
    <w:p w:rsidR="00AF107A" w:rsidRPr="00C04408" w:rsidRDefault="00AF107A" w:rsidP="00D40DEE">
      <w:pPr>
        <w:spacing w:before="160"/>
        <w:ind w:firstLine="709"/>
        <w:jc w:val="both"/>
      </w:pPr>
      <w:bookmarkStart w:id="49" w:name="n58"/>
      <w:bookmarkStart w:id="50" w:name="n59"/>
      <w:bookmarkEnd w:id="49"/>
      <w:bookmarkEnd w:id="50"/>
      <w:r w:rsidRPr="00C04408">
        <w:t>2</w:t>
      </w:r>
      <w:r w:rsidR="00D40DEE">
        <w:t>0</w:t>
      </w:r>
      <w:r w:rsidRPr="00C04408">
        <w:t xml:space="preserve">) продовжити роботу з подальшого впровадження оцінки ефективності бюджетних програм, зосередивши увагу на необхідності  застосування </w:t>
      </w:r>
      <w:r w:rsidR="00910741" w:rsidRPr="00C04408">
        <w:t>в</w:t>
      </w:r>
      <w:r w:rsidRPr="00C04408">
        <w:t xml:space="preserve"> бюджетному процесі результативних показників бюджетних програм</w:t>
      </w:r>
      <w:r w:rsidR="00910741" w:rsidRPr="00C04408">
        <w:t xml:space="preserve">, </w:t>
      </w:r>
      <w:r w:rsidRPr="00C04408">
        <w:t>насамперед показників якості та ефективності;</w:t>
      </w:r>
    </w:p>
    <w:p w:rsidR="00AF107A" w:rsidRPr="00C04408" w:rsidRDefault="00AF107A" w:rsidP="00D40DEE">
      <w:pPr>
        <w:spacing w:before="160"/>
        <w:ind w:firstLine="709"/>
        <w:jc w:val="both"/>
      </w:pPr>
      <w:r w:rsidRPr="00C04408">
        <w:t>2</w:t>
      </w:r>
      <w:r w:rsidR="00D40DEE">
        <w:t>1</w:t>
      </w:r>
      <w:r w:rsidRPr="00C04408">
        <w:t xml:space="preserve">) забезпечити формування, розподіл і використання коштів резервного фонду державного бюджету з урахуванням вимог частини першої статті 24 Бюджетного кодексу України щодо здійснення за рахунок цього фонду непередбачених видатків, що не мають постійного характеру; </w:t>
      </w:r>
    </w:p>
    <w:p w:rsidR="00AF107A" w:rsidRPr="00C04408" w:rsidRDefault="00AF107A" w:rsidP="00D40DEE">
      <w:pPr>
        <w:spacing w:before="160"/>
        <w:ind w:firstLine="709"/>
        <w:jc w:val="both"/>
      </w:pPr>
      <w:bookmarkStart w:id="51" w:name="n60"/>
      <w:bookmarkStart w:id="52" w:name="n61"/>
      <w:bookmarkStart w:id="53" w:name="n62"/>
      <w:bookmarkEnd w:id="51"/>
      <w:bookmarkEnd w:id="52"/>
      <w:bookmarkEnd w:id="53"/>
      <w:r w:rsidRPr="00C04408">
        <w:t>2</w:t>
      </w:r>
      <w:r w:rsidR="00D40DEE">
        <w:t>2</w:t>
      </w:r>
      <w:r w:rsidRPr="00C04408">
        <w:t>) забезпечити дієвий контроль за дотриманням законодавства та цільовим, раціональним і ефективним використанням бюджетних коштів, зокрема щодо видатків на національну безпеку та оборону;</w:t>
      </w:r>
    </w:p>
    <w:p w:rsidR="00AF107A" w:rsidRPr="00C04408" w:rsidRDefault="00AF107A" w:rsidP="00D40DEE">
      <w:pPr>
        <w:spacing w:before="160"/>
        <w:ind w:firstLine="709"/>
        <w:jc w:val="both"/>
      </w:pPr>
      <w:r w:rsidRPr="00C04408">
        <w:t>2</w:t>
      </w:r>
      <w:r w:rsidR="00D40DEE">
        <w:t>3</w:t>
      </w:r>
      <w:r w:rsidRPr="00C04408">
        <w:t xml:space="preserve">) вивчити можливість оптимізації переліку захищених видатків державного бюджету та </w:t>
      </w:r>
      <w:proofErr w:type="spellStart"/>
      <w:r w:rsidRPr="00C04408">
        <w:t>внести</w:t>
      </w:r>
      <w:proofErr w:type="spellEnd"/>
      <w:r w:rsidRPr="00C04408">
        <w:t xml:space="preserve"> у разі необхідності відповідні законодавчі пропозиції;</w:t>
      </w:r>
    </w:p>
    <w:p w:rsidR="00AF107A" w:rsidRPr="00C04408" w:rsidRDefault="00AF107A" w:rsidP="00D40DEE">
      <w:pPr>
        <w:spacing w:before="160"/>
        <w:ind w:firstLine="709"/>
        <w:jc w:val="both"/>
      </w:pPr>
      <w:r w:rsidRPr="00C04408">
        <w:t>2</w:t>
      </w:r>
      <w:r w:rsidR="00D40DEE">
        <w:t>4</w:t>
      </w:r>
      <w:r w:rsidRPr="00C04408">
        <w:t>) забезпечити своєчасне виконання заходів з утворення, реорганізації чи ліквідації органів виконавчої влади, забезпечуючи  ефективне використання коштів державного бюджету, передбачених на такі заходи, з дотриманням вимог частини десятої статті 51 Бюджетного кодексу України;</w:t>
      </w:r>
    </w:p>
    <w:p w:rsidR="00AF107A" w:rsidRPr="00C04408" w:rsidRDefault="00AF107A" w:rsidP="00D40DEE">
      <w:pPr>
        <w:spacing w:before="160"/>
        <w:ind w:firstLine="709"/>
        <w:jc w:val="both"/>
      </w:pPr>
      <w:r w:rsidRPr="00C04408">
        <w:lastRenderedPageBreak/>
        <w:t>2</w:t>
      </w:r>
      <w:r w:rsidR="00D40DEE">
        <w:t>5</w:t>
      </w:r>
      <w:r w:rsidRPr="00C04408">
        <w:t>) вжити заходів щодо своєчасного та ефективного впровадження інвестиційних проектів, що здійснюються із залученням державою кредитів (позик) від іноземних держав, банків і міжнародних фінансових організацій, переглянувши порядок підготовки, реалізації та проведення моніторингу виконання таких проектів;</w:t>
      </w:r>
    </w:p>
    <w:p w:rsidR="00AF107A" w:rsidRPr="00C04408" w:rsidRDefault="00AF107A" w:rsidP="00D40DEE">
      <w:pPr>
        <w:spacing w:before="160"/>
        <w:ind w:firstLine="709"/>
        <w:jc w:val="both"/>
      </w:pPr>
      <w:r w:rsidRPr="00C04408">
        <w:t>2</w:t>
      </w:r>
      <w:r w:rsidR="00D40DEE">
        <w:t>6</w:t>
      </w:r>
      <w:r w:rsidRPr="00C04408">
        <w:t>) звернути увагу головних розпорядників коштів державного бюджету на необхідність своєчасної підготовки нормативно-правового забезпечення для проведення видатків державного бюджету, насамперед порядків використання коштів державного бюджету та паспортів бюджетних програм;</w:t>
      </w:r>
    </w:p>
    <w:p w:rsidR="00206EF5" w:rsidRPr="00C04408" w:rsidRDefault="00206EF5" w:rsidP="00D40DEE">
      <w:pPr>
        <w:spacing w:before="160"/>
        <w:ind w:firstLine="709"/>
        <w:jc w:val="both"/>
      </w:pPr>
      <w:r w:rsidRPr="00C04408">
        <w:t>2</w:t>
      </w:r>
      <w:r w:rsidR="00D40DEE">
        <w:t>7</w:t>
      </w:r>
      <w:r w:rsidRPr="00C04408">
        <w:t xml:space="preserve">) вжити заходів щодо підвищення ефективності використання субвенції </w:t>
      </w:r>
      <w:r w:rsidR="00A34A5C" w:rsidRPr="00C04408">
        <w:t xml:space="preserve">з державного бюджету місцевим бюджетам </w:t>
      </w:r>
      <w:r w:rsidRPr="00C04408">
        <w:t xml:space="preserve">на </w:t>
      </w:r>
      <w:r w:rsidRPr="00C04408">
        <w:rPr>
          <w:bCs/>
        </w:rPr>
        <w:t xml:space="preserve">надання пільг та субсидій населенню на оплату житлово-комунальних послуг, </w:t>
      </w:r>
      <w:r w:rsidRPr="00C04408">
        <w:t>забезпеч</w:t>
      </w:r>
      <w:r w:rsidR="00A34A5C" w:rsidRPr="00C04408">
        <w:t xml:space="preserve">ивши </w:t>
      </w:r>
      <w:r w:rsidRPr="00C04408">
        <w:rPr>
          <w:bCs/>
        </w:rPr>
        <w:t>своєчасн</w:t>
      </w:r>
      <w:r w:rsidR="00A34A5C" w:rsidRPr="00C04408">
        <w:rPr>
          <w:bCs/>
        </w:rPr>
        <w:t>е</w:t>
      </w:r>
      <w:r w:rsidRPr="00C04408">
        <w:rPr>
          <w:bCs/>
        </w:rPr>
        <w:t xml:space="preserve"> проведення розрахунків за надані громадянам </w:t>
      </w:r>
      <w:r w:rsidR="00A34A5C" w:rsidRPr="00C04408">
        <w:rPr>
          <w:bCs/>
        </w:rPr>
        <w:t xml:space="preserve">відповідні </w:t>
      </w:r>
      <w:r w:rsidRPr="00C04408">
        <w:rPr>
          <w:bCs/>
        </w:rPr>
        <w:t>послуги</w:t>
      </w:r>
      <w:r w:rsidR="00F535CA" w:rsidRPr="00C04408">
        <w:rPr>
          <w:bCs/>
        </w:rPr>
        <w:t xml:space="preserve"> та мінімізацію здійснення</w:t>
      </w:r>
      <w:r w:rsidRPr="00C04408">
        <w:t xml:space="preserve"> взаєморозрахунків </w:t>
      </w:r>
      <w:r w:rsidR="00F535CA" w:rsidRPr="00C04408">
        <w:t>у негрошовій формі</w:t>
      </w:r>
      <w:r w:rsidRPr="00C04408">
        <w:t>;</w:t>
      </w:r>
    </w:p>
    <w:p w:rsidR="003A7DC1" w:rsidRPr="00C04408" w:rsidRDefault="00206EF5" w:rsidP="00D40DEE">
      <w:pPr>
        <w:spacing w:before="160"/>
        <w:ind w:firstLine="709"/>
        <w:jc w:val="both"/>
      </w:pPr>
      <w:r w:rsidRPr="00C04408">
        <w:t>2</w:t>
      </w:r>
      <w:r w:rsidR="00D40DEE">
        <w:t>8</w:t>
      </w:r>
      <w:r w:rsidRPr="00C04408">
        <w:t xml:space="preserve">) </w:t>
      </w:r>
      <w:r w:rsidR="003A7DC1" w:rsidRPr="00C04408">
        <w:t>у місячний строк подати Верховній Раді України інформацію щодо фактичного обсягу заборгованості з різниці в тарифах на теплову енергію, опалення, постачання гарячої води, послуги з централізованого водопостачання та водовідведення для населення, яка виникла у зв’язку з невідповідністю їх фактичної вартості затвердженим тарифам, станом на 1 січня та 1 травня 2016 року;</w:t>
      </w:r>
    </w:p>
    <w:p w:rsidR="00AF107A" w:rsidRPr="00C04408" w:rsidRDefault="00D40DEE" w:rsidP="00D40DEE">
      <w:pPr>
        <w:spacing w:before="160"/>
        <w:ind w:firstLine="709"/>
        <w:jc w:val="both"/>
      </w:pPr>
      <w:r>
        <w:t>29</w:t>
      </w:r>
      <w:r w:rsidR="003A7DC1" w:rsidRPr="00C04408">
        <w:t xml:space="preserve">) до 31 грудня 2016 року </w:t>
      </w:r>
      <w:r w:rsidR="00AF107A" w:rsidRPr="00C04408">
        <w:t xml:space="preserve">здійснити заходи щодо </w:t>
      </w:r>
      <w:r w:rsidR="003A7DC1" w:rsidRPr="00C04408">
        <w:t xml:space="preserve">повного погашення </w:t>
      </w:r>
      <w:r w:rsidR="00AF107A" w:rsidRPr="00C04408">
        <w:t>заборгованості з різниці в тарифах на теплову енергію, опалення, постачання гарячої води, послуги з централізованого водопостачання та водовідведення для населення, яка виникла у зв’язку з невідповідністю їх фактичної вартості затвердженим тарифам;</w:t>
      </w:r>
    </w:p>
    <w:p w:rsidR="00AF107A" w:rsidRPr="00C04408" w:rsidRDefault="001F44E9" w:rsidP="00D40DEE">
      <w:pPr>
        <w:spacing w:before="160"/>
        <w:ind w:firstLine="709"/>
        <w:jc w:val="both"/>
      </w:pPr>
      <w:r w:rsidRPr="00C04408">
        <w:t>3</w:t>
      </w:r>
      <w:r w:rsidR="00D40DEE">
        <w:t>0</w:t>
      </w:r>
      <w:r w:rsidR="00206EF5" w:rsidRPr="00C04408">
        <w:t>) забезпечити дотримання вимог частини п’ятої статті</w:t>
      </w:r>
      <w:r w:rsidR="00FF75A8" w:rsidRPr="00C04408">
        <w:t> </w:t>
      </w:r>
      <w:r w:rsidR="00206EF5" w:rsidRPr="00C04408">
        <w:t>24-1 Бюджетного кодексу України в частині затвердження розподілу коштів державного фонду регіонального розвитку за адміністративно-територіальними одиницями та інвестиційними програмами і проектами регіонального розвитку у тримісячний строк із дня набрання чинності законом про Державний бюджет України</w:t>
      </w:r>
      <w:r w:rsidR="00AF107A" w:rsidRPr="00C04408">
        <w:t>;</w:t>
      </w:r>
    </w:p>
    <w:p w:rsidR="00AF107A" w:rsidRPr="00C04408" w:rsidRDefault="003F1F6C" w:rsidP="00D40DEE">
      <w:pPr>
        <w:spacing w:before="160"/>
        <w:ind w:firstLine="709"/>
        <w:jc w:val="both"/>
      </w:pPr>
      <w:bookmarkStart w:id="54" w:name="n63"/>
      <w:bookmarkEnd w:id="54"/>
      <w:r w:rsidRPr="00C04408">
        <w:t>3</w:t>
      </w:r>
      <w:r w:rsidR="00D40DEE">
        <w:t>1</w:t>
      </w:r>
      <w:r w:rsidRPr="00C04408">
        <w:t xml:space="preserve">) </w:t>
      </w:r>
      <w:r w:rsidR="00AF107A" w:rsidRPr="00C04408">
        <w:t>розглянути можливість розподілу 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спостереження, між місцевими бюджетами у проекті закону про Державний бюджет України на 2017 рік;</w:t>
      </w:r>
    </w:p>
    <w:p w:rsidR="00AF107A" w:rsidRPr="00C04408" w:rsidRDefault="003F1F6C" w:rsidP="00D40DEE">
      <w:pPr>
        <w:spacing w:before="160"/>
        <w:ind w:firstLine="709"/>
        <w:jc w:val="both"/>
      </w:pPr>
      <w:r w:rsidRPr="00C04408">
        <w:t>3</w:t>
      </w:r>
      <w:r w:rsidR="00D40DEE">
        <w:t>2</w:t>
      </w:r>
      <w:r w:rsidRPr="00C04408">
        <w:t xml:space="preserve">) </w:t>
      </w:r>
      <w:proofErr w:type="spellStart"/>
      <w:r w:rsidR="00AF107A" w:rsidRPr="00C04408">
        <w:t>внести</w:t>
      </w:r>
      <w:proofErr w:type="spellEnd"/>
      <w:r w:rsidR="00AF107A" w:rsidRPr="00C04408">
        <w:t xml:space="preserve"> пропозиції щодо комплексного врегулювання питання погашення заборгованості місцевих бюджетів за середньостроковими позиками перед державним бюджетом;</w:t>
      </w:r>
    </w:p>
    <w:p w:rsidR="00AF107A" w:rsidRPr="00C04408" w:rsidRDefault="001F44E9" w:rsidP="00D40DEE">
      <w:pPr>
        <w:spacing w:before="160"/>
        <w:ind w:firstLine="709"/>
        <w:jc w:val="both"/>
      </w:pPr>
      <w:r w:rsidRPr="00C04408">
        <w:lastRenderedPageBreak/>
        <w:t>3</w:t>
      </w:r>
      <w:r w:rsidR="00D40DEE">
        <w:t>3</w:t>
      </w:r>
      <w:r w:rsidR="003F1F6C" w:rsidRPr="00C04408">
        <w:t xml:space="preserve">) </w:t>
      </w:r>
      <w:r w:rsidR="00AF107A" w:rsidRPr="00C04408">
        <w:t xml:space="preserve">у тримісячний строк </w:t>
      </w:r>
      <w:r w:rsidR="00910741" w:rsidRPr="00C04408">
        <w:t>на</w:t>
      </w:r>
      <w:r w:rsidR="00AF107A" w:rsidRPr="00C04408">
        <w:t>дати Верховній Раді України інформацію про виконання цього пункту Постанови.</w:t>
      </w:r>
    </w:p>
    <w:p w:rsidR="00AF107A" w:rsidRPr="00C04408" w:rsidRDefault="00AF107A" w:rsidP="004C1AB9">
      <w:pPr>
        <w:spacing w:before="240"/>
        <w:ind w:firstLine="709"/>
        <w:jc w:val="both"/>
      </w:pPr>
      <w:bookmarkStart w:id="55" w:name="n64"/>
      <w:bookmarkEnd w:id="55"/>
      <w:r w:rsidRPr="00C04408">
        <w:t>3. Ця Постанова набирає чинності з дня її прийняття.</w:t>
      </w:r>
    </w:p>
    <w:p w:rsidR="00195B51" w:rsidRPr="00933CDF" w:rsidRDefault="00AF107A" w:rsidP="004C1AB9">
      <w:pPr>
        <w:tabs>
          <w:tab w:val="left" w:pos="6804"/>
        </w:tabs>
        <w:spacing w:before="1080"/>
        <w:jc w:val="both"/>
      </w:pPr>
      <w:r w:rsidRPr="00C04408">
        <w:rPr>
          <w:bCs/>
        </w:rPr>
        <w:t xml:space="preserve">Голова Верховної Ради України </w:t>
      </w:r>
      <w:bookmarkStart w:id="56" w:name="n65"/>
      <w:bookmarkEnd w:id="56"/>
      <w:r w:rsidRPr="00C04408">
        <w:rPr>
          <w:bCs/>
        </w:rPr>
        <w:tab/>
        <w:t>Андрій ПАРУБІЙ</w:t>
      </w:r>
    </w:p>
    <w:sectPr w:rsidR="00195B51" w:rsidRPr="00933CDF" w:rsidSect="004C1AB9">
      <w:footerReference w:type="even" r:id="rId17"/>
      <w:footerReference w:type="default" r:id="rId18"/>
      <w:pgSz w:w="11906" w:h="16838" w:code="9"/>
      <w:pgMar w:top="1134" w:right="1134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A9" w:rsidRDefault="00F214A9">
      <w:r>
        <w:separator/>
      </w:r>
    </w:p>
  </w:endnote>
  <w:endnote w:type="continuationSeparator" w:id="0">
    <w:p w:rsidR="00F214A9" w:rsidRDefault="00F2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06" w:rsidRDefault="00065506" w:rsidP="006272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065506" w:rsidRDefault="00065506" w:rsidP="00002B3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06" w:rsidRDefault="00065506" w:rsidP="006272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DEE">
      <w:rPr>
        <w:rStyle w:val="a5"/>
        <w:noProof/>
      </w:rPr>
      <w:t>10</w:t>
    </w:r>
    <w:r>
      <w:rPr>
        <w:rStyle w:val="a5"/>
      </w:rPr>
      <w:fldChar w:fldCharType="end"/>
    </w:r>
  </w:p>
  <w:p w:rsidR="00065506" w:rsidRDefault="00065506" w:rsidP="00002B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A9" w:rsidRDefault="00F214A9">
      <w:r>
        <w:separator/>
      </w:r>
    </w:p>
  </w:footnote>
  <w:footnote w:type="continuationSeparator" w:id="0">
    <w:p w:rsidR="00F214A9" w:rsidRDefault="00F21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6642"/>
    <w:multiLevelType w:val="multilevel"/>
    <w:tmpl w:val="73E0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F2366"/>
    <w:multiLevelType w:val="hybridMultilevel"/>
    <w:tmpl w:val="B2F01316"/>
    <w:lvl w:ilvl="0" w:tplc="B77A5EDC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99"/>
    <w:rsid w:val="00000ACD"/>
    <w:rsid w:val="0000182A"/>
    <w:rsid w:val="0000259B"/>
    <w:rsid w:val="00002B32"/>
    <w:rsid w:val="00003833"/>
    <w:rsid w:val="000039D8"/>
    <w:rsid w:val="000045A9"/>
    <w:rsid w:val="000045F5"/>
    <w:rsid w:val="00004850"/>
    <w:rsid w:val="00004860"/>
    <w:rsid w:val="00005BB9"/>
    <w:rsid w:val="00005CB5"/>
    <w:rsid w:val="00006421"/>
    <w:rsid w:val="000071D7"/>
    <w:rsid w:val="0000741D"/>
    <w:rsid w:val="00007768"/>
    <w:rsid w:val="00007B1B"/>
    <w:rsid w:val="00007CDF"/>
    <w:rsid w:val="00010571"/>
    <w:rsid w:val="0001098D"/>
    <w:rsid w:val="00011025"/>
    <w:rsid w:val="000110E6"/>
    <w:rsid w:val="00011E06"/>
    <w:rsid w:val="00012298"/>
    <w:rsid w:val="000122C3"/>
    <w:rsid w:val="00012469"/>
    <w:rsid w:val="000127B1"/>
    <w:rsid w:val="000129BA"/>
    <w:rsid w:val="00012C3D"/>
    <w:rsid w:val="0001349F"/>
    <w:rsid w:val="00015479"/>
    <w:rsid w:val="000159C4"/>
    <w:rsid w:val="00015D57"/>
    <w:rsid w:val="00016032"/>
    <w:rsid w:val="00016AF9"/>
    <w:rsid w:val="000216B6"/>
    <w:rsid w:val="000217C6"/>
    <w:rsid w:val="0002187B"/>
    <w:rsid w:val="000220CA"/>
    <w:rsid w:val="000225A9"/>
    <w:rsid w:val="0002284E"/>
    <w:rsid w:val="00022CE2"/>
    <w:rsid w:val="00022F32"/>
    <w:rsid w:val="00022F6D"/>
    <w:rsid w:val="000237E0"/>
    <w:rsid w:val="00024759"/>
    <w:rsid w:val="00024780"/>
    <w:rsid w:val="00025260"/>
    <w:rsid w:val="000260F0"/>
    <w:rsid w:val="000265EB"/>
    <w:rsid w:val="00026F31"/>
    <w:rsid w:val="00027037"/>
    <w:rsid w:val="0002753B"/>
    <w:rsid w:val="000276A5"/>
    <w:rsid w:val="00027762"/>
    <w:rsid w:val="00030661"/>
    <w:rsid w:val="000306EB"/>
    <w:rsid w:val="00031B63"/>
    <w:rsid w:val="000321B0"/>
    <w:rsid w:val="00032407"/>
    <w:rsid w:val="00032578"/>
    <w:rsid w:val="00032898"/>
    <w:rsid w:val="00032B7C"/>
    <w:rsid w:val="00032BCF"/>
    <w:rsid w:val="000333F9"/>
    <w:rsid w:val="000344BC"/>
    <w:rsid w:val="000345BA"/>
    <w:rsid w:val="000345F1"/>
    <w:rsid w:val="00034830"/>
    <w:rsid w:val="00035250"/>
    <w:rsid w:val="0003535C"/>
    <w:rsid w:val="00035E44"/>
    <w:rsid w:val="00035E78"/>
    <w:rsid w:val="000367B9"/>
    <w:rsid w:val="00036FF4"/>
    <w:rsid w:val="000379FB"/>
    <w:rsid w:val="00040356"/>
    <w:rsid w:val="00040708"/>
    <w:rsid w:val="000419A6"/>
    <w:rsid w:val="000419EC"/>
    <w:rsid w:val="00041E13"/>
    <w:rsid w:val="00042285"/>
    <w:rsid w:val="00042E61"/>
    <w:rsid w:val="00043673"/>
    <w:rsid w:val="000436BC"/>
    <w:rsid w:val="00044269"/>
    <w:rsid w:val="00044697"/>
    <w:rsid w:val="0004472E"/>
    <w:rsid w:val="00044932"/>
    <w:rsid w:val="00044C9F"/>
    <w:rsid w:val="000476F6"/>
    <w:rsid w:val="0004789E"/>
    <w:rsid w:val="00047FF0"/>
    <w:rsid w:val="00050220"/>
    <w:rsid w:val="00051B31"/>
    <w:rsid w:val="00051CEA"/>
    <w:rsid w:val="00052F08"/>
    <w:rsid w:val="00052FCE"/>
    <w:rsid w:val="00052FF8"/>
    <w:rsid w:val="000537E6"/>
    <w:rsid w:val="0005398F"/>
    <w:rsid w:val="000539B0"/>
    <w:rsid w:val="00053A92"/>
    <w:rsid w:val="00053CE1"/>
    <w:rsid w:val="00053DBA"/>
    <w:rsid w:val="00053DCB"/>
    <w:rsid w:val="00053F71"/>
    <w:rsid w:val="00054832"/>
    <w:rsid w:val="000549A9"/>
    <w:rsid w:val="00055462"/>
    <w:rsid w:val="00056F34"/>
    <w:rsid w:val="00057604"/>
    <w:rsid w:val="000579BB"/>
    <w:rsid w:val="00057A92"/>
    <w:rsid w:val="000600CB"/>
    <w:rsid w:val="0006024A"/>
    <w:rsid w:val="00061072"/>
    <w:rsid w:val="00061224"/>
    <w:rsid w:val="00061BF2"/>
    <w:rsid w:val="0006294E"/>
    <w:rsid w:val="00062AD8"/>
    <w:rsid w:val="000638AD"/>
    <w:rsid w:val="0006406B"/>
    <w:rsid w:val="000643E6"/>
    <w:rsid w:val="00064B4D"/>
    <w:rsid w:val="00065506"/>
    <w:rsid w:val="00065EA0"/>
    <w:rsid w:val="00066A53"/>
    <w:rsid w:val="00066ED5"/>
    <w:rsid w:val="00067C17"/>
    <w:rsid w:val="00067D3F"/>
    <w:rsid w:val="000701CC"/>
    <w:rsid w:val="0007036F"/>
    <w:rsid w:val="00070690"/>
    <w:rsid w:val="000706CC"/>
    <w:rsid w:val="0007110C"/>
    <w:rsid w:val="000712F2"/>
    <w:rsid w:val="00071741"/>
    <w:rsid w:val="00073017"/>
    <w:rsid w:val="00073150"/>
    <w:rsid w:val="0007387A"/>
    <w:rsid w:val="00074461"/>
    <w:rsid w:val="000748C1"/>
    <w:rsid w:val="00074C8E"/>
    <w:rsid w:val="00074F44"/>
    <w:rsid w:val="00075584"/>
    <w:rsid w:val="000759BF"/>
    <w:rsid w:val="00075A04"/>
    <w:rsid w:val="00075AD3"/>
    <w:rsid w:val="00075DCF"/>
    <w:rsid w:val="00076A74"/>
    <w:rsid w:val="000776DC"/>
    <w:rsid w:val="000779D2"/>
    <w:rsid w:val="00077A11"/>
    <w:rsid w:val="000810D7"/>
    <w:rsid w:val="00083205"/>
    <w:rsid w:val="00083E92"/>
    <w:rsid w:val="00084763"/>
    <w:rsid w:val="00086739"/>
    <w:rsid w:val="0009040B"/>
    <w:rsid w:val="00090BE5"/>
    <w:rsid w:val="00091070"/>
    <w:rsid w:val="000917C1"/>
    <w:rsid w:val="00091B8E"/>
    <w:rsid w:val="000924D0"/>
    <w:rsid w:val="00094922"/>
    <w:rsid w:val="00094EE3"/>
    <w:rsid w:val="0009616D"/>
    <w:rsid w:val="00096BC7"/>
    <w:rsid w:val="00096CAC"/>
    <w:rsid w:val="00096D0F"/>
    <w:rsid w:val="00096F8C"/>
    <w:rsid w:val="00097ED4"/>
    <w:rsid w:val="00097F65"/>
    <w:rsid w:val="00097F7B"/>
    <w:rsid w:val="000A0A23"/>
    <w:rsid w:val="000A1281"/>
    <w:rsid w:val="000A1390"/>
    <w:rsid w:val="000A1953"/>
    <w:rsid w:val="000A24E1"/>
    <w:rsid w:val="000A2CBE"/>
    <w:rsid w:val="000A2DAA"/>
    <w:rsid w:val="000A3237"/>
    <w:rsid w:val="000A3372"/>
    <w:rsid w:val="000A3EB4"/>
    <w:rsid w:val="000A42AD"/>
    <w:rsid w:val="000A4ACE"/>
    <w:rsid w:val="000A6A28"/>
    <w:rsid w:val="000A6B34"/>
    <w:rsid w:val="000A6D55"/>
    <w:rsid w:val="000A6E6C"/>
    <w:rsid w:val="000A725F"/>
    <w:rsid w:val="000A74D3"/>
    <w:rsid w:val="000A7B10"/>
    <w:rsid w:val="000A7BFF"/>
    <w:rsid w:val="000B00D7"/>
    <w:rsid w:val="000B0168"/>
    <w:rsid w:val="000B058E"/>
    <w:rsid w:val="000B06E7"/>
    <w:rsid w:val="000B075A"/>
    <w:rsid w:val="000B0D97"/>
    <w:rsid w:val="000B103D"/>
    <w:rsid w:val="000B17B4"/>
    <w:rsid w:val="000B19B4"/>
    <w:rsid w:val="000B1D60"/>
    <w:rsid w:val="000B1FBA"/>
    <w:rsid w:val="000B22D3"/>
    <w:rsid w:val="000B22EF"/>
    <w:rsid w:val="000B2EB4"/>
    <w:rsid w:val="000B3732"/>
    <w:rsid w:val="000B3AC9"/>
    <w:rsid w:val="000B44EF"/>
    <w:rsid w:val="000B4C37"/>
    <w:rsid w:val="000B4C57"/>
    <w:rsid w:val="000B6385"/>
    <w:rsid w:val="000B6ABC"/>
    <w:rsid w:val="000B6CA8"/>
    <w:rsid w:val="000C10A9"/>
    <w:rsid w:val="000C1266"/>
    <w:rsid w:val="000C1FCE"/>
    <w:rsid w:val="000C22B8"/>
    <w:rsid w:val="000C2D09"/>
    <w:rsid w:val="000C2DAB"/>
    <w:rsid w:val="000C3241"/>
    <w:rsid w:val="000C3AE3"/>
    <w:rsid w:val="000C403F"/>
    <w:rsid w:val="000C41AA"/>
    <w:rsid w:val="000C5076"/>
    <w:rsid w:val="000C50B6"/>
    <w:rsid w:val="000C5FC2"/>
    <w:rsid w:val="000C76F1"/>
    <w:rsid w:val="000D0086"/>
    <w:rsid w:val="000D02C5"/>
    <w:rsid w:val="000D0336"/>
    <w:rsid w:val="000D09CC"/>
    <w:rsid w:val="000D0B5A"/>
    <w:rsid w:val="000D0D81"/>
    <w:rsid w:val="000D0F3C"/>
    <w:rsid w:val="000D25F1"/>
    <w:rsid w:val="000D2695"/>
    <w:rsid w:val="000D2AAC"/>
    <w:rsid w:val="000D333F"/>
    <w:rsid w:val="000D3570"/>
    <w:rsid w:val="000D388D"/>
    <w:rsid w:val="000D3B9A"/>
    <w:rsid w:val="000D3BCD"/>
    <w:rsid w:val="000D3CFF"/>
    <w:rsid w:val="000D473E"/>
    <w:rsid w:val="000D4CA8"/>
    <w:rsid w:val="000D544E"/>
    <w:rsid w:val="000D578C"/>
    <w:rsid w:val="000D59D3"/>
    <w:rsid w:val="000D5FA8"/>
    <w:rsid w:val="000D6AF8"/>
    <w:rsid w:val="000D6B3E"/>
    <w:rsid w:val="000D6C1C"/>
    <w:rsid w:val="000E0793"/>
    <w:rsid w:val="000E07F9"/>
    <w:rsid w:val="000E0923"/>
    <w:rsid w:val="000E0D02"/>
    <w:rsid w:val="000E1817"/>
    <w:rsid w:val="000E1973"/>
    <w:rsid w:val="000E22FE"/>
    <w:rsid w:val="000E3AA5"/>
    <w:rsid w:val="000E4C76"/>
    <w:rsid w:val="000E69BC"/>
    <w:rsid w:val="000E6C56"/>
    <w:rsid w:val="000E7C80"/>
    <w:rsid w:val="000F04CA"/>
    <w:rsid w:val="000F0825"/>
    <w:rsid w:val="000F1047"/>
    <w:rsid w:val="000F10FF"/>
    <w:rsid w:val="000F12E3"/>
    <w:rsid w:val="000F143E"/>
    <w:rsid w:val="000F14B2"/>
    <w:rsid w:val="000F15CE"/>
    <w:rsid w:val="000F18D6"/>
    <w:rsid w:val="000F1A52"/>
    <w:rsid w:val="000F2A40"/>
    <w:rsid w:val="000F2F0D"/>
    <w:rsid w:val="000F2FEC"/>
    <w:rsid w:val="000F305E"/>
    <w:rsid w:val="000F3B9D"/>
    <w:rsid w:val="000F40CD"/>
    <w:rsid w:val="000F551D"/>
    <w:rsid w:val="000F57A3"/>
    <w:rsid w:val="000F5D92"/>
    <w:rsid w:val="000F6210"/>
    <w:rsid w:val="000F6573"/>
    <w:rsid w:val="000F66A0"/>
    <w:rsid w:val="000F672D"/>
    <w:rsid w:val="000F6D34"/>
    <w:rsid w:val="000F6F42"/>
    <w:rsid w:val="00101E8E"/>
    <w:rsid w:val="0010233D"/>
    <w:rsid w:val="001037F7"/>
    <w:rsid w:val="001044C3"/>
    <w:rsid w:val="001046B6"/>
    <w:rsid w:val="001050FB"/>
    <w:rsid w:val="0010545E"/>
    <w:rsid w:val="001068C1"/>
    <w:rsid w:val="00106B04"/>
    <w:rsid w:val="0010732F"/>
    <w:rsid w:val="00107345"/>
    <w:rsid w:val="001079D5"/>
    <w:rsid w:val="00107F9F"/>
    <w:rsid w:val="0011040F"/>
    <w:rsid w:val="00110E9A"/>
    <w:rsid w:val="00111D97"/>
    <w:rsid w:val="0011251B"/>
    <w:rsid w:val="001126BF"/>
    <w:rsid w:val="00113052"/>
    <w:rsid w:val="0011362D"/>
    <w:rsid w:val="001138D1"/>
    <w:rsid w:val="001145E1"/>
    <w:rsid w:val="00114C9B"/>
    <w:rsid w:val="00114CDA"/>
    <w:rsid w:val="001152B8"/>
    <w:rsid w:val="001153B6"/>
    <w:rsid w:val="00115460"/>
    <w:rsid w:val="00115EC1"/>
    <w:rsid w:val="001164FB"/>
    <w:rsid w:val="0011685E"/>
    <w:rsid w:val="001168B2"/>
    <w:rsid w:val="001211AE"/>
    <w:rsid w:val="001225F8"/>
    <w:rsid w:val="00122DE3"/>
    <w:rsid w:val="00122EB0"/>
    <w:rsid w:val="0012317B"/>
    <w:rsid w:val="00123A00"/>
    <w:rsid w:val="00124395"/>
    <w:rsid w:val="001251C8"/>
    <w:rsid w:val="00125668"/>
    <w:rsid w:val="001259B2"/>
    <w:rsid w:val="001259D0"/>
    <w:rsid w:val="00125BCA"/>
    <w:rsid w:val="001261BB"/>
    <w:rsid w:val="00126941"/>
    <w:rsid w:val="00127B73"/>
    <w:rsid w:val="00127DC9"/>
    <w:rsid w:val="00130726"/>
    <w:rsid w:val="00131F58"/>
    <w:rsid w:val="00131F9F"/>
    <w:rsid w:val="00132385"/>
    <w:rsid w:val="00132845"/>
    <w:rsid w:val="00133A1E"/>
    <w:rsid w:val="00134550"/>
    <w:rsid w:val="001363D1"/>
    <w:rsid w:val="001365D1"/>
    <w:rsid w:val="00136DAA"/>
    <w:rsid w:val="001374B8"/>
    <w:rsid w:val="001375E2"/>
    <w:rsid w:val="00137BC4"/>
    <w:rsid w:val="001408F4"/>
    <w:rsid w:val="00141371"/>
    <w:rsid w:val="001419CF"/>
    <w:rsid w:val="00142762"/>
    <w:rsid w:val="001429C8"/>
    <w:rsid w:val="00143972"/>
    <w:rsid w:val="0014474B"/>
    <w:rsid w:val="001448EA"/>
    <w:rsid w:val="00144B82"/>
    <w:rsid w:val="00145C78"/>
    <w:rsid w:val="00146777"/>
    <w:rsid w:val="00146B19"/>
    <w:rsid w:val="00146C2A"/>
    <w:rsid w:val="00146C3D"/>
    <w:rsid w:val="00147452"/>
    <w:rsid w:val="00147F7C"/>
    <w:rsid w:val="0015031E"/>
    <w:rsid w:val="0015122F"/>
    <w:rsid w:val="00151245"/>
    <w:rsid w:val="00151361"/>
    <w:rsid w:val="00151372"/>
    <w:rsid w:val="001517CC"/>
    <w:rsid w:val="00151A6E"/>
    <w:rsid w:val="00152237"/>
    <w:rsid w:val="001525C2"/>
    <w:rsid w:val="001527FC"/>
    <w:rsid w:val="00152B93"/>
    <w:rsid w:val="0015362D"/>
    <w:rsid w:val="00153828"/>
    <w:rsid w:val="00153BE5"/>
    <w:rsid w:val="0015408C"/>
    <w:rsid w:val="0015499C"/>
    <w:rsid w:val="00155485"/>
    <w:rsid w:val="001559C6"/>
    <w:rsid w:val="00155FE4"/>
    <w:rsid w:val="001562A6"/>
    <w:rsid w:val="00156A7D"/>
    <w:rsid w:val="00156B2B"/>
    <w:rsid w:val="00157395"/>
    <w:rsid w:val="00157CF9"/>
    <w:rsid w:val="00161C64"/>
    <w:rsid w:val="001622C6"/>
    <w:rsid w:val="001636A9"/>
    <w:rsid w:val="001649A9"/>
    <w:rsid w:val="001677D1"/>
    <w:rsid w:val="001677E0"/>
    <w:rsid w:val="00167B9A"/>
    <w:rsid w:val="00170AD8"/>
    <w:rsid w:val="00170BAF"/>
    <w:rsid w:val="00170C01"/>
    <w:rsid w:val="00170DAC"/>
    <w:rsid w:val="00170DD3"/>
    <w:rsid w:val="00170F83"/>
    <w:rsid w:val="001718C1"/>
    <w:rsid w:val="00171E71"/>
    <w:rsid w:val="00173599"/>
    <w:rsid w:val="0017396B"/>
    <w:rsid w:val="00173C1F"/>
    <w:rsid w:val="001742CC"/>
    <w:rsid w:val="00174B37"/>
    <w:rsid w:val="00175795"/>
    <w:rsid w:val="00176F5F"/>
    <w:rsid w:val="001778F0"/>
    <w:rsid w:val="00177E16"/>
    <w:rsid w:val="00177FEC"/>
    <w:rsid w:val="00180947"/>
    <w:rsid w:val="00180B0A"/>
    <w:rsid w:val="00180D4E"/>
    <w:rsid w:val="00180DF1"/>
    <w:rsid w:val="00180E35"/>
    <w:rsid w:val="001818A2"/>
    <w:rsid w:val="00181F35"/>
    <w:rsid w:val="00182601"/>
    <w:rsid w:val="001827AF"/>
    <w:rsid w:val="0018385F"/>
    <w:rsid w:val="00183895"/>
    <w:rsid w:val="0018406E"/>
    <w:rsid w:val="001841E0"/>
    <w:rsid w:val="00185086"/>
    <w:rsid w:val="0018518C"/>
    <w:rsid w:val="001851C1"/>
    <w:rsid w:val="00185536"/>
    <w:rsid w:val="001857DF"/>
    <w:rsid w:val="0018779A"/>
    <w:rsid w:val="00187A8A"/>
    <w:rsid w:val="00187E0B"/>
    <w:rsid w:val="00190ABE"/>
    <w:rsid w:val="00190DA3"/>
    <w:rsid w:val="0019229E"/>
    <w:rsid w:val="0019291C"/>
    <w:rsid w:val="00192C18"/>
    <w:rsid w:val="00192CF9"/>
    <w:rsid w:val="00194C14"/>
    <w:rsid w:val="00194D53"/>
    <w:rsid w:val="0019541C"/>
    <w:rsid w:val="00195B51"/>
    <w:rsid w:val="00195E12"/>
    <w:rsid w:val="0019668F"/>
    <w:rsid w:val="00197097"/>
    <w:rsid w:val="001974D7"/>
    <w:rsid w:val="001A050F"/>
    <w:rsid w:val="001A1592"/>
    <w:rsid w:val="001A1808"/>
    <w:rsid w:val="001A260D"/>
    <w:rsid w:val="001A2DEF"/>
    <w:rsid w:val="001A30D1"/>
    <w:rsid w:val="001A3B07"/>
    <w:rsid w:val="001A444C"/>
    <w:rsid w:val="001A492A"/>
    <w:rsid w:val="001A7F1B"/>
    <w:rsid w:val="001B0A96"/>
    <w:rsid w:val="001B0E58"/>
    <w:rsid w:val="001B0E61"/>
    <w:rsid w:val="001B15CA"/>
    <w:rsid w:val="001B15E9"/>
    <w:rsid w:val="001B1F6B"/>
    <w:rsid w:val="001B2003"/>
    <w:rsid w:val="001B293E"/>
    <w:rsid w:val="001B2B22"/>
    <w:rsid w:val="001B4134"/>
    <w:rsid w:val="001B426C"/>
    <w:rsid w:val="001B43C0"/>
    <w:rsid w:val="001B4647"/>
    <w:rsid w:val="001B4751"/>
    <w:rsid w:val="001B5277"/>
    <w:rsid w:val="001B6292"/>
    <w:rsid w:val="001B7B3E"/>
    <w:rsid w:val="001C0652"/>
    <w:rsid w:val="001C11A5"/>
    <w:rsid w:val="001C151D"/>
    <w:rsid w:val="001C25B5"/>
    <w:rsid w:val="001C292D"/>
    <w:rsid w:val="001C2DD7"/>
    <w:rsid w:val="001C3524"/>
    <w:rsid w:val="001C4651"/>
    <w:rsid w:val="001C483D"/>
    <w:rsid w:val="001C5DBD"/>
    <w:rsid w:val="001C6BDF"/>
    <w:rsid w:val="001C6CCA"/>
    <w:rsid w:val="001C77FF"/>
    <w:rsid w:val="001C7D92"/>
    <w:rsid w:val="001D0BA8"/>
    <w:rsid w:val="001D0E1F"/>
    <w:rsid w:val="001D144C"/>
    <w:rsid w:val="001D151C"/>
    <w:rsid w:val="001D260D"/>
    <w:rsid w:val="001D2C22"/>
    <w:rsid w:val="001D33F2"/>
    <w:rsid w:val="001D39C6"/>
    <w:rsid w:val="001D3B1C"/>
    <w:rsid w:val="001D40C9"/>
    <w:rsid w:val="001D43AF"/>
    <w:rsid w:val="001D4DC9"/>
    <w:rsid w:val="001D52CF"/>
    <w:rsid w:val="001D57F5"/>
    <w:rsid w:val="001D5970"/>
    <w:rsid w:val="001D64B4"/>
    <w:rsid w:val="001D6A1B"/>
    <w:rsid w:val="001D75D7"/>
    <w:rsid w:val="001D7B22"/>
    <w:rsid w:val="001E00D8"/>
    <w:rsid w:val="001E0178"/>
    <w:rsid w:val="001E18AF"/>
    <w:rsid w:val="001E228D"/>
    <w:rsid w:val="001E2667"/>
    <w:rsid w:val="001E270E"/>
    <w:rsid w:val="001E2886"/>
    <w:rsid w:val="001E2FCC"/>
    <w:rsid w:val="001E350B"/>
    <w:rsid w:val="001E3C16"/>
    <w:rsid w:val="001E450D"/>
    <w:rsid w:val="001E45C7"/>
    <w:rsid w:val="001E462C"/>
    <w:rsid w:val="001E49C5"/>
    <w:rsid w:val="001E4AD2"/>
    <w:rsid w:val="001E4CBC"/>
    <w:rsid w:val="001E5AE6"/>
    <w:rsid w:val="001E5FE8"/>
    <w:rsid w:val="001E6243"/>
    <w:rsid w:val="001E6687"/>
    <w:rsid w:val="001E67CE"/>
    <w:rsid w:val="001E7761"/>
    <w:rsid w:val="001F0CD6"/>
    <w:rsid w:val="001F116D"/>
    <w:rsid w:val="001F152E"/>
    <w:rsid w:val="001F18AE"/>
    <w:rsid w:val="001F259E"/>
    <w:rsid w:val="001F31A7"/>
    <w:rsid w:val="001F4185"/>
    <w:rsid w:val="001F44E9"/>
    <w:rsid w:val="001F5113"/>
    <w:rsid w:val="001F52FC"/>
    <w:rsid w:val="001F5B2B"/>
    <w:rsid w:val="001F5CF0"/>
    <w:rsid w:val="001F6393"/>
    <w:rsid w:val="001F79EE"/>
    <w:rsid w:val="001F7BD2"/>
    <w:rsid w:val="001F7C52"/>
    <w:rsid w:val="00201400"/>
    <w:rsid w:val="00201401"/>
    <w:rsid w:val="002015F8"/>
    <w:rsid w:val="00201C3F"/>
    <w:rsid w:val="00201E4B"/>
    <w:rsid w:val="00201E9C"/>
    <w:rsid w:val="002020D5"/>
    <w:rsid w:val="00202B86"/>
    <w:rsid w:val="00202FCE"/>
    <w:rsid w:val="0020378D"/>
    <w:rsid w:val="0020425D"/>
    <w:rsid w:val="00204B28"/>
    <w:rsid w:val="00204B6E"/>
    <w:rsid w:val="00205229"/>
    <w:rsid w:val="00205FE3"/>
    <w:rsid w:val="002061CB"/>
    <w:rsid w:val="00206337"/>
    <w:rsid w:val="00206636"/>
    <w:rsid w:val="00206A53"/>
    <w:rsid w:val="00206A66"/>
    <w:rsid w:val="00206E1B"/>
    <w:rsid w:val="00206EF5"/>
    <w:rsid w:val="002070CB"/>
    <w:rsid w:val="002074C7"/>
    <w:rsid w:val="00207C4D"/>
    <w:rsid w:val="00207DB9"/>
    <w:rsid w:val="00210BB5"/>
    <w:rsid w:val="00211207"/>
    <w:rsid w:val="00211AE2"/>
    <w:rsid w:val="00211AE4"/>
    <w:rsid w:val="00211D28"/>
    <w:rsid w:val="0021248C"/>
    <w:rsid w:val="002127ED"/>
    <w:rsid w:val="0021285E"/>
    <w:rsid w:val="00212870"/>
    <w:rsid w:val="00213CC4"/>
    <w:rsid w:val="00213E28"/>
    <w:rsid w:val="00214A13"/>
    <w:rsid w:val="0021580F"/>
    <w:rsid w:val="00215859"/>
    <w:rsid w:val="0021602C"/>
    <w:rsid w:val="00216AF8"/>
    <w:rsid w:val="0021719D"/>
    <w:rsid w:val="0021741A"/>
    <w:rsid w:val="0021774F"/>
    <w:rsid w:val="00217CF0"/>
    <w:rsid w:val="00220613"/>
    <w:rsid w:val="00221834"/>
    <w:rsid w:val="00221C18"/>
    <w:rsid w:val="00222484"/>
    <w:rsid w:val="002227B1"/>
    <w:rsid w:val="00222BBD"/>
    <w:rsid w:val="002236E5"/>
    <w:rsid w:val="00223777"/>
    <w:rsid w:val="00226D63"/>
    <w:rsid w:val="002270EF"/>
    <w:rsid w:val="0022772A"/>
    <w:rsid w:val="002315FF"/>
    <w:rsid w:val="00232D41"/>
    <w:rsid w:val="002331BE"/>
    <w:rsid w:val="00233395"/>
    <w:rsid w:val="0023344C"/>
    <w:rsid w:val="00233803"/>
    <w:rsid w:val="0023457C"/>
    <w:rsid w:val="00235094"/>
    <w:rsid w:val="00235383"/>
    <w:rsid w:val="00235BFE"/>
    <w:rsid w:val="00235DF1"/>
    <w:rsid w:val="00236D7A"/>
    <w:rsid w:val="002374D5"/>
    <w:rsid w:val="00237D1F"/>
    <w:rsid w:val="00240E8A"/>
    <w:rsid w:val="00241580"/>
    <w:rsid w:val="00241A74"/>
    <w:rsid w:val="00242989"/>
    <w:rsid w:val="00242F3E"/>
    <w:rsid w:val="002433DD"/>
    <w:rsid w:val="002437C9"/>
    <w:rsid w:val="00243DBD"/>
    <w:rsid w:val="00244ABB"/>
    <w:rsid w:val="00244AFB"/>
    <w:rsid w:val="00244B36"/>
    <w:rsid w:val="00245603"/>
    <w:rsid w:val="0024567D"/>
    <w:rsid w:val="00245D4A"/>
    <w:rsid w:val="00245F96"/>
    <w:rsid w:val="002477D1"/>
    <w:rsid w:val="00247826"/>
    <w:rsid w:val="0025018F"/>
    <w:rsid w:val="00250B44"/>
    <w:rsid w:val="00251190"/>
    <w:rsid w:val="00251D20"/>
    <w:rsid w:val="00252417"/>
    <w:rsid w:val="0025376E"/>
    <w:rsid w:val="0025385F"/>
    <w:rsid w:val="0025432C"/>
    <w:rsid w:val="002548AC"/>
    <w:rsid w:val="00254F7C"/>
    <w:rsid w:val="00255965"/>
    <w:rsid w:val="00255CC4"/>
    <w:rsid w:val="00256102"/>
    <w:rsid w:val="00256272"/>
    <w:rsid w:val="0025645C"/>
    <w:rsid w:val="00256D8B"/>
    <w:rsid w:val="002574B4"/>
    <w:rsid w:val="00261082"/>
    <w:rsid w:val="00261965"/>
    <w:rsid w:val="00261F1C"/>
    <w:rsid w:val="00262D63"/>
    <w:rsid w:val="0026311A"/>
    <w:rsid w:val="002648F6"/>
    <w:rsid w:val="00264F91"/>
    <w:rsid w:val="0026555C"/>
    <w:rsid w:val="00265C52"/>
    <w:rsid w:val="00265DA8"/>
    <w:rsid w:val="00265F5D"/>
    <w:rsid w:val="00266336"/>
    <w:rsid w:val="002674C5"/>
    <w:rsid w:val="00267B76"/>
    <w:rsid w:val="002701A9"/>
    <w:rsid w:val="00270CDA"/>
    <w:rsid w:val="00270D4D"/>
    <w:rsid w:val="00270FE3"/>
    <w:rsid w:val="00271025"/>
    <w:rsid w:val="00271051"/>
    <w:rsid w:val="002723A3"/>
    <w:rsid w:val="002729CB"/>
    <w:rsid w:val="0027308C"/>
    <w:rsid w:val="00273F68"/>
    <w:rsid w:val="002742CC"/>
    <w:rsid w:val="00274910"/>
    <w:rsid w:val="00274CF9"/>
    <w:rsid w:val="00275D0C"/>
    <w:rsid w:val="00275EEE"/>
    <w:rsid w:val="00275F91"/>
    <w:rsid w:val="00276AE9"/>
    <w:rsid w:val="002770A0"/>
    <w:rsid w:val="00277824"/>
    <w:rsid w:val="00277946"/>
    <w:rsid w:val="00277C6C"/>
    <w:rsid w:val="00280DF3"/>
    <w:rsid w:val="00281413"/>
    <w:rsid w:val="002814BA"/>
    <w:rsid w:val="00281540"/>
    <w:rsid w:val="00281F52"/>
    <w:rsid w:val="0028222F"/>
    <w:rsid w:val="002824CD"/>
    <w:rsid w:val="00283588"/>
    <w:rsid w:val="00283834"/>
    <w:rsid w:val="00283AB5"/>
    <w:rsid w:val="00283F88"/>
    <w:rsid w:val="00284B23"/>
    <w:rsid w:val="00285926"/>
    <w:rsid w:val="002859E8"/>
    <w:rsid w:val="00285EE6"/>
    <w:rsid w:val="002865ED"/>
    <w:rsid w:val="00286E1B"/>
    <w:rsid w:val="00287E50"/>
    <w:rsid w:val="00290F9C"/>
    <w:rsid w:val="00292EC0"/>
    <w:rsid w:val="00293F91"/>
    <w:rsid w:val="002940CA"/>
    <w:rsid w:val="00294142"/>
    <w:rsid w:val="002949ED"/>
    <w:rsid w:val="00294D4F"/>
    <w:rsid w:val="002955E9"/>
    <w:rsid w:val="00296EB0"/>
    <w:rsid w:val="00296F22"/>
    <w:rsid w:val="002971CC"/>
    <w:rsid w:val="0029746A"/>
    <w:rsid w:val="002A0695"/>
    <w:rsid w:val="002A0788"/>
    <w:rsid w:val="002A14D4"/>
    <w:rsid w:val="002A1A97"/>
    <w:rsid w:val="002A1FD6"/>
    <w:rsid w:val="002A2749"/>
    <w:rsid w:val="002A2BD8"/>
    <w:rsid w:val="002A2F71"/>
    <w:rsid w:val="002A35C4"/>
    <w:rsid w:val="002A38E5"/>
    <w:rsid w:val="002A4402"/>
    <w:rsid w:val="002A4992"/>
    <w:rsid w:val="002A5B6D"/>
    <w:rsid w:val="002A70DE"/>
    <w:rsid w:val="002A75BC"/>
    <w:rsid w:val="002A7D09"/>
    <w:rsid w:val="002B0819"/>
    <w:rsid w:val="002B12FD"/>
    <w:rsid w:val="002B1DAF"/>
    <w:rsid w:val="002B241D"/>
    <w:rsid w:val="002B27CE"/>
    <w:rsid w:val="002B2CA6"/>
    <w:rsid w:val="002B3A22"/>
    <w:rsid w:val="002B45A7"/>
    <w:rsid w:val="002B48AF"/>
    <w:rsid w:val="002B5981"/>
    <w:rsid w:val="002B601C"/>
    <w:rsid w:val="002B64AC"/>
    <w:rsid w:val="002B7D14"/>
    <w:rsid w:val="002C0103"/>
    <w:rsid w:val="002C0E90"/>
    <w:rsid w:val="002C1290"/>
    <w:rsid w:val="002C1A6C"/>
    <w:rsid w:val="002C1CC2"/>
    <w:rsid w:val="002C1DE7"/>
    <w:rsid w:val="002C1E5A"/>
    <w:rsid w:val="002C2010"/>
    <w:rsid w:val="002C249B"/>
    <w:rsid w:val="002C25F4"/>
    <w:rsid w:val="002C34CC"/>
    <w:rsid w:val="002C3DFC"/>
    <w:rsid w:val="002C41CF"/>
    <w:rsid w:val="002C42E3"/>
    <w:rsid w:val="002C562D"/>
    <w:rsid w:val="002C650B"/>
    <w:rsid w:val="002C65F5"/>
    <w:rsid w:val="002C6DF1"/>
    <w:rsid w:val="002C7172"/>
    <w:rsid w:val="002C7ACA"/>
    <w:rsid w:val="002C7E37"/>
    <w:rsid w:val="002D104B"/>
    <w:rsid w:val="002D1261"/>
    <w:rsid w:val="002D163A"/>
    <w:rsid w:val="002D1DEE"/>
    <w:rsid w:val="002D270E"/>
    <w:rsid w:val="002D2956"/>
    <w:rsid w:val="002D340A"/>
    <w:rsid w:val="002D3F9D"/>
    <w:rsid w:val="002D48E3"/>
    <w:rsid w:val="002D4DFD"/>
    <w:rsid w:val="002D571E"/>
    <w:rsid w:val="002D5A9E"/>
    <w:rsid w:val="002D6439"/>
    <w:rsid w:val="002D6FFB"/>
    <w:rsid w:val="002D74C6"/>
    <w:rsid w:val="002E0016"/>
    <w:rsid w:val="002E128C"/>
    <w:rsid w:val="002E14E9"/>
    <w:rsid w:val="002E1D5D"/>
    <w:rsid w:val="002E1FBC"/>
    <w:rsid w:val="002E2BA2"/>
    <w:rsid w:val="002E2BCD"/>
    <w:rsid w:val="002E2C51"/>
    <w:rsid w:val="002E3BF5"/>
    <w:rsid w:val="002E3F37"/>
    <w:rsid w:val="002E4D44"/>
    <w:rsid w:val="002E6488"/>
    <w:rsid w:val="002E6C4C"/>
    <w:rsid w:val="002E7112"/>
    <w:rsid w:val="002E7C30"/>
    <w:rsid w:val="002E7DD4"/>
    <w:rsid w:val="002E7F5B"/>
    <w:rsid w:val="002F07F2"/>
    <w:rsid w:val="002F0E59"/>
    <w:rsid w:val="002F119B"/>
    <w:rsid w:val="002F1985"/>
    <w:rsid w:val="002F1B5A"/>
    <w:rsid w:val="002F2568"/>
    <w:rsid w:val="002F2982"/>
    <w:rsid w:val="002F2A1D"/>
    <w:rsid w:val="002F2EE5"/>
    <w:rsid w:val="002F323F"/>
    <w:rsid w:val="002F35F5"/>
    <w:rsid w:val="002F3EED"/>
    <w:rsid w:val="002F4B60"/>
    <w:rsid w:val="002F6646"/>
    <w:rsid w:val="002F66CB"/>
    <w:rsid w:val="002F6C9B"/>
    <w:rsid w:val="002F6E41"/>
    <w:rsid w:val="002F78AB"/>
    <w:rsid w:val="002F7AFE"/>
    <w:rsid w:val="00300222"/>
    <w:rsid w:val="003005E6"/>
    <w:rsid w:val="00300A74"/>
    <w:rsid w:val="00300B1F"/>
    <w:rsid w:val="00300B95"/>
    <w:rsid w:val="0030154E"/>
    <w:rsid w:val="00301CEF"/>
    <w:rsid w:val="00301F30"/>
    <w:rsid w:val="003024A3"/>
    <w:rsid w:val="003029FD"/>
    <w:rsid w:val="00302C1E"/>
    <w:rsid w:val="003036CA"/>
    <w:rsid w:val="00303C59"/>
    <w:rsid w:val="003040E8"/>
    <w:rsid w:val="0030465D"/>
    <w:rsid w:val="0030466A"/>
    <w:rsid w:val="003048D1"/>
    <w:rsid w:val="00304ACC"/>
    <w:rsid w:val="00304F3B"/>
    <w:rsid w:val="003051A6"/>
    <w:rsid w:val="00305B2D"/>
    <w:rsid w:val="00306F70"/>
    <w:rsid w:val="0030735A"/>
    <w:rsid w:val="003075F1"/>
    <w:rsid w:val="00307616"/>
    <w:rsid w:val="00307B2E"/>
    <w:rsid w:val="0031066D"/>
    <w:rsid w:val="00310A42"/>
    <w:rsid w:val="00310D40"/>
    <w:rsid w:val="0031166C"/>
    <w:rsid w:val="00311D93"/>
    <w:rsid w:val="00312320"/>
    <w:rsid w:val="003159F8"/>
    <w:rsid w:val="00315EE8"/>
    <w:rsid w:val="0031633C"/>
    <w:rsid w:val="003164B9"/>
    <w:rsid w:val="00316D6A"/>
    <w:rsid w:val="00316FE5"/>
    <w:rsid w:val="00317133"/>
    <w:rsid w:val="00317162"/>
    <w:rsid w:val="00320294"/>
    <w:rsid w:val="00320847"/>
    <w:rsid w:val="00320A01"/>
    <w:rsid w:val="0032185C"/>
    <w:rsid w:val="00321996"/>
    <w:rsid w:val="0032336D"/>
    <w:rsid w:val="003247F8"/>
    <w:rsid w:val="00325971"/>
    <w:rsid w:val="00325FB1"/>
    <w:rsid w:val="00326F92"/>
    <w:rsid w:val="00327D6E"/>
    <w:rsid w:val="00327E65"/>
    <w:rsid w:val="0033008C"/>
    <w:rsid w:val="0033056E"/>
    <w:rsid w:val="00330AC3"/>
    <w:rsid w:val="003311B3"/>
    <w:rsid w:val="00332BAC"/>
    <w:rsid w:val="00333638"/>
    <w:rsid w:val="00333B41"/>
    <w:rsid w:val="00333EB4"/>
    <w:rsid w:val="00333FFD"/>
    <w:rsid w:val="00334882"/>
    <w:rsid w:val="0033669D"/>
    <w:rsid w:val="00336CB6"/>
    <w:rsid w:val="00337D27"/>
    <w:rsid w:val="00337D4E"/>
    <w:rsid w:val="00340650"/>
    <w:rsid w:val="00340799"/>
    <w:rsid w:val="00340AB7"/>
    <w:rsid w:val="00341371"/>
    <w:rsid w:val="00342071"/>
    <w:rsid w:val="0034375F"/>
    <w:rsid w:val="003438DB"/>
    <w:rsid w:val="00344819"/>
    <w:rsid w:val="00344987"/>
    <w:rsid w:val="00344F62"/>
    <w:rsid w:val="00345EE6"/>
    <w:rsid w:val="00346970"/>
    <w:rsid w:val="003469A9"/>
    <w:rsid w:val="00346BC1"/>
    <w:rsid w:val="00346BD2"/>
    <w:rsid w:val="00346C1B"/>
    <w:rsid w:val="0034733D"/>
    <w:rsid w:val="003475D1"/>
    <w:rsid w:val="00350AE1"/>
    <w:rsid w:val="00350B5C"/>
    <w:rsid w:val="00350CF0"/>
    <w:rsid w:val="003510FD"/>
    <w:rsid w:val="00351463"/>
    <w:rsid w:val="00351C30"/>
    <w:rsid w:val="00351CB7"/>
    <w:rsid w:val="0035269B"/>
    <w:rsid w:val="00352B38"/>
    <w:rsid w:val="003534F8"/>
    <w:rsid w:val="00353B8B"/>
    <w:rsid w:val="00353E92"/>
    <w:rsid w:val="00354268"/>
    <w:rsid w:val="003544D6"/>
    <w:rsid w:val="00354799"/>
    <w:rsid w:val="00355A12"/>
    <w:rsid w:val="00355E12"/>
    <w:rsid w:val="00355FAF"/>
    <w:rsid w:val="003564D7"/>
    <w:rsid w:val="00356E21"/>
    <w:rsid w:val="00356FF0"/>
    <w:rsid w:val="00357030"/>
    <w:rsid w:val="00357332"/>
    <w:rsid w:val="00357A97"/>
    <w:rsid w:val="00357D46"/>
    <w:rsid w:val="00357E56"/>
    <w:rsid w:val="00360D00"/>
    <w:rsid w:val="00360DE0"/>
    <w:rsid w:val="0036126E"/>
    <w:rsid w:val="00361820"/>
    <w:rsid w:val="0036222B"/>
    <w:rsid w:val="00362706"/>
    <w:rsid w:val="00362986"/>
    <w:rsid w:val="0036346D"/>
    <w:rsid w:val="003642D8"/>
    <w:rsid w:val="00364D16"/>
    <w:rsid w:val="00365130"/>
    <w:rsid w:val="00366654"/>
    <w:rsid w:val="00366C54"/>
    <w:rsid w:val="003671A8"/>
    <w:rsid w:val="0036760D"/>
    <w:rsid w:val="003678B7"/>
    <w:rsid w:val="0036791C"/>
    <w:rsid w:val="00367AD9"/>
    <w:rsid w:val="00370039"/>
    <w:rsid w:val="00370139"/>
    <w:rsid w:val="0037013D"/>
    <w:rsid w:val="003704F4"/>
    <w:rsid w:val="0037081C"/>
    <w:rsid w:val="00370EB8"/>
    <w:rsid w:val="003711A7"/>
    <w:rsid w:val="00371B61"/>
    <w:rsid w:val="00371F67"/>
    <w:rsid w:val="00371FE3"/>
    <w:rsid w:val="00372275"/>
    <w:rsid w:val="00372371"/>
    <w:rsid w:val="003726FA"/>
    <w:rsid w:val="00372842"/>
    <w:rsid w:val="00372C65"/>
    <w:rsid w:val="0037307B"/>
    <w:rsid w:val="00373495"/>
    <w:rsid w:val="00373D6E"/>
    <w:rsid w:val="003743A3"/>
    <w:rsid w:val="003751A5"/>
    <w:rsid w:val="003755DE"/>
    <w:rsid w:val="00375E16"/>
    <w:rsid w:val="00375FD3"/>
    <w:rsid w:val="00376911"/>
    <w:rsid w:val="00376BDF"/>
    <w:rsid w:val="00376E99"/>
    <w:rsid w:val="00377751"/>
    <w:rsid w:val="00377C6E"/>
    <w:rsid w:val="003802FF"/>
    <w:rsid w:val="00380CDB"/>
    <w:rsid w:val="00380DEB"/>
    <w:rsid w:val="00381164"/>
    <w:rsid w:val="0038128C"/>
    <w:rsid w:val="00381501"/>
    <w:rsid w:val="0038161F"/>
    <w:rsid w:val="00381A72"/>
    <w:rsid w:val="00382025"/>
    <w:rsid w:val="003825D2"/>
    <w:rsid w:val="00382C50"/>
    <w:rsid w:val="00382DEB"/>
    <w:rsid w:val="0038316A"/>
    <w:rsid w:val="0038327E"/>
    <w:rsid w:val="0038336E"/>
    <w:rsid w:val="00383648"/>
    <w:rsid w:val="003842FC"/>
    <w:rsid w:val="003849D1"/>
    <w:rsid w:val="00385750"/>
    <w:rsid w:val="00385851"/>
    <w:rsid w:val="00385908"/>
    <w:rsid w:val="00386082"/>
    <w:rsid w:val="003861D8"/>
    <w:rsid w:val="00386244"/>
    <w:rsid w:val="00387848"/>
    <w:rsid w:val="00390FE9"/>
    <w:rsid w:val="00391E33"/>
    <w:rsid w:val="00393728"/>
    <w:rsid w:val="003947B7"/>
    <w:rsid w:val="00394EB7"/>
    <w:rsid w:val="00394F6D"/>
    <w:rsid w:val="00395480"/>
    <w:rsid w:val="00395A00"/>
    <w:rsid w:val="003965D8"/>
    <w:rsid w:val="003967DA"/>
    <w:rsid w:val="003969FC"/>
    <w:rsid w:val="003A2F24"/>
    <w:rsid w:val="003A37CF"/>
    <w:rsid w:val="003A3876"/>
    <w:rsid w:val="003A3937"/>
    <w:rsid w:val="003A467D"/>
    <w:rsid w:val="003A4B3E"/>
    <w:rsid w:val="003A4E79"/>
    <w:rsid w:val="003A5DDC"/>
    <w:rsid w:val="003A5E1E"/>
    <w:rsid w:val="003A75F9"/>
    <w:rsid w:val="003A7DC1"/>
    <w:rsid w:val="003B04A2"/>
    <w:rsid w:val="003B1A98"/>
    <w:rsid w:val="003B1B8E"/>
    <w:rsid w:val="003B2735"/>
    <w:rsid w:val="003B289D"/>
    <w:rsid w:val="003B2AF2"/>
    <w:rsid w:val="003B3049"/>
    <w:rsid w:val="003B334E"/>
    <w:rsid w:val="003B3603"/>
    <w:rsid w:val="003B3A6D"/>
    <w:rsid w:val="003B3CB5"/>
    <w:rsid w:val="003B44A8"/>
    <w:rsid w:val="003B4F9B"/>
    <w:rsid w:val="003B55C5"/>
    <w:rsid w:val="003B5877"/>
    <w:rsid w:val="003B5B8F"/>
    <w:rsid w:val="003B6BD3"/>
    <w:rsid w:val="003B7E19"/>
    <w:rsid w:val="003C019F"/>
    <w:rsid w:val="003C0F2D"/>
    <w:rsid w:val="003C105A"/>
    <w:rsid w:val="003C1094"/>
    <w:rsid w:val="003C10D8"/>
    <w:rsid w:val="003C16F8"/>
    <w:rsid w:val="003C1830"/>
    <w:rsid w:val="003C184C"/>
    <w:rsid w:val="003C205B"/>
    <w:rsid w:val="003C21C8"/>
    <w:rsid w:val="003C2264"/>
    <w:rsid w:val="003C22B9"/>
    <w:rsid w:val="003C22EF"/>
    <w:rsid w:val="003C249B"/>
    <w:rsid w:val="003C37AF"/>
    <w:rsid w:val="003C3A82"/>
    <w:rsid w:val="003C3E16"/>
    <w:rsid w:val="003C3F1B"/>
    <w:rsid w:val="003C72DB"/>
    <w:rsid w:val="003C73F1"/>
    <w:rsid w:val="003D05F5"/>
    <w:rsid w:val="003D0689"/>
    <w:rsid w:val="003D0C63"/>
    <w:rsid w:val="003D0D4D"/>
    <w:rsid w:val="003D1C26"/>
    <w:rsid w:val="003D1E6E"/>
    <w:rsid w:val="003D1FA9"/>
    <w:rsid w:val="003D2096"/>
    <w:rsid w:val="003D22EC"/>
    <w:rsid w:val="003D30B0"/>
    <w:rsid w:val="003D3265"/>
    <w:rsid w:val="003D362A"/>
    <w:rsid w:val="003D3EFD"/>
    <w:rsid w:val="003D417A"/>
    <w:rsid w:val="003D5BA9"/>
    <w:rsid w:val="003D6208"/>
    <w:rsid w:val="003D7200"/>
    <w:rsid w:val="003E0974"/>
    <w:rsid w:val="003E0D53"/>
    <w:rsid w:val="003E0E40"/>
    <w:rsid w:val="003E125B"/>
    <w:rsid w:val="003E23EA"/>
    <w:rsid w:val="003E2640"/>
    <w:rsid w:val="003E29D9"/>
    <w:rsid w:val="003E2F40"/>
    <w:rsid w:val="003E32F5"/>
    <w:rsid w:val="003E3EEC"/>
    <w:rsid w:val="003E3F2B"/>
    <w:rsid w:val="003E41A0"/>
    <w:rsid w:val="003E4264"/>
    <w:rsid w:val="003E469C"/>
    <w:rsid w:val="003E483E"/>
    <w:rsid w:val="003E4992"/>
    <w:rsid w:val="003E5800"/>
    <w:rsid w:val="003E5FEE"/>
    <w:rsid w:val="003E70BF"/>
    <w:rsid w:val="003E7CD7"/>
    <w:rsid w:val="003E7DBC"/>
    <w:rsid w:val="003E7E16"/>
    <w:rsid w:val="003F1216"/>
    <w:rsid w:val="003F12F3"/>
    <w:rsid w:val="003F1669"/>
    <w:rsid w:val="003F1D26"/>
    <w:rsid w:val="003F1F6C"/>
    <w:rsid w:val="003F2023"/>
    <w:rsid w:val="003F286D"/>
    <w:rsid w:val="003F2893"/>
    <w:rsid w:val="003F2B6B"/>
    <w:rsid w:val="003F303C"/>
    <w:rsid w:val="003F47DF"/>
    <w:rsid w:val="003F4FAC"/>
    <w:rsid w:val="003F5125"/>
    <w:rsid w:val="003F515A"/>
    <w:rsid w:val="003F51D4"/>
    <w:rsid w:val="003F60DF"/>
    <w:rsid w:val="003F687A"/>
    <w:rsid w:val="003F6CB8"/>
    <w:rsid w:val="003F7E13"/>
    <w:rsid w:val="004023BC"/>
    <w:rsid w:val="00402799"/>
    <w:rsid w:val="00403CB7"/>
    <w:rsid w:val="00403EEF"/>
    <w:rsid w:val="00403FBC"/>
    <w:rsid w:val="00404DEC"/>
    <w:rsid w:val="00406145"/>
    <w:rsid w:val="0040618C"/>
    <w:rsid w:val="00406CEB"/>
    <w:rsid w:val="00407348"/>
    <w:rsid w:val="00407AB7"/>
    <w:rsid w:val="00407F28"/>
    <w:rsid w:val="0041032A"/>
    <w:rsid w:val="00410FA3"/>
    <w:rsid w:val="004118B5"/>
    <w:rsid w:val="0041237E"/>
    <w:rsid w:val="004123B1"/>
    <w:rsid w:val="00413FBF"/>
    <w:rsid w:val="00414112"/>
    <w:rsid w:val="0041462D"/>
    <w:rsid w:val="00414D25"/>
    <w:rsid w:val="00415461"/>
    <w:rsid w:val="00415ACD"/>
    <w:rsid w:val="00415C91"/>
    <w:rsid w:val="00415DD4"/>
    <w:rsid w:val="00416262"/>
    <w:rsid w:val="00416315"/>
    <w:rsid w:val="004166BB"/>
    <w:rsid w:val="004169FE"/>
    <w:rsid w:val="00416E13"/>
    <w:rsid w:val="00416F20"/>
    <w:rsid w:val="004172B5"/>
    <w:rsid w:val="00417407"/>
    <w:rsid w:val="00420050"/>
    <w:rsid w:val="00420777"/>
    <w:rsid w:val="00420E4F"/>
    <w:rsid w:val="00420E76"/>
    <w:rsid w:val="00421112"/>
    <w:rsid w:val="0042114B"/>
    <w:rsid w:val="00421286"/>
    <w:rsid w:val="004218AA"/>
    <w:rsid w:val="00421B1B"/>
    <w:rsid w:val="0042202F"/>
    <w:rsid w:val="00422C22"/>
    <w:rsid w:val="004234F5"/>
    <w:rsid w:val="00423994"/>
    <w:rsid w:val="00423E6B"/>
    <w:rsid w:val="00424602"/>
    <w:rsid w:val="004251E3"/>
    <w:rsid w:val="00425E93"/>
    <w:rsid w:val="00426CFD"/>
    <w:rsid w:val="004273BA"/>
    <w:rsid w:val="00427AF4"/>
    <w:rsid w:val="00427C88"/>
    <w:rsid w:val="00427D18"/>
    <w:rsid w:val="00430474"/>
    <w:rsid w:val="00431CA3"/>
    <w:rsid w:val="00432609"/>
    <w:rsid w:val="004328DE"/>
    <w:rsid w:val="00432AEB"/>
    <w:rsid w:val="00432D1F"/>
    <w:rsid w:val="0043477E"/>
    <w:rsid w:val="00434BF5"/>
    <w:rsid w:val="00434E1A"/>
    <w:rsid w:val="00435043"/>
    <w:rsid w:val="004351A2"/>
    <w:rsid w:val="004357D8"/>
    <w:rsid w:val="00435F31"/>
    <w:rsid w:val="004362FD"/>
    <w:rsid w:val="0043673E"/>
    <w:rsid w:val="00436DC1"/>
    <w:rsid w:val="0043732C"/>
    <w:rsid w:val="00437681"/>
    <w:rsid w:val="00437839"/>
    <w:rsid w:val="00440123"/>
    <w:rsid w:val="00440708"/>
    <w:rsid w:val="00440EC2"/>
    <w:rsid w:val="00441023"/>
    <w:rsid w:val="004410C7"/>
    <w:rsid w:val="00441581"/>
    <w:rsid w:val="00441619"/>
    <w:rsid w:val="00441927"/>
    <w:rsid w:val="00442B19"/>
    <w:rsid w:val="00443572"/>
    <w:rsid w:val="00443B0C"/>
    <w:rsid w:val="00444294"/>
    <w:rsid w:val="004451E4"/>
    <w:rsid w:val="00446473"/>
    <w:rsid w:val="00446664"/>
    <w:rsid w:val="004467B5"/>
    <w:rsid w:val="00446A06"/>
    <w:rsid w:val="00446BB2"/>
    <w:rsid w:val="0044714D"/>
    <w:rsid w:val="00447859"/>
    <w:rsid w:val="004508E3"/>
    <w:rsid w:val="004515AA"/>
    <w:rsid w:val="00451A93"/>
    <w:rsid w:val="00451E7E"/>
    <w:rsid w:val="00451F93"/>
    <w:rsid w:val="0045212A"/>
    <w:rsid w:val="004521F7"/>
    <w:rsid w:val="004528E9"/>
    <w:rsid w:val="00452FF4"/>
    <w:rsid w:val="00453460"/>
    <w:rsid w:val="004534A0"/>
    <w:rsid w:val="004538DF"/>
    <w:rsid w:val="00453BA2"/>
    <w:rsid w:val="00453F37"/>
    <w:rsid w:val="004543BE"/>
    <w:rsid w:val="004544BE"/>
    <w:rsid w:val="004547D0"/>
    <w:rsid w:val="00454DEB"/>
    <w:rsid w:val="0045520D"/>
    <w:rsid w:val="00455557"/>
    <w:rsid w:val="00455A37"/>
    <w:rsid w:val="00455D93"/>
    <w:rsid w:val="00455EB7"/>
    <w:rsid w:val="004568DD"/>
    <w:rsid w:val="00456EC0"/>
    <w:rsid w:val="0045745A"/>
    <w:rsid w:val="00457B6C"/>
    <w:rsid w:val="00457D1D"/>
    <w:rsid w:val="00457DD2"/>
    <w:rsid w:val="00460235"/>
    <w:rsid w:val="00460BDD"/>
    <w:rsid w:val="00460C48"/>
    <w:rsid w:val="00460E7B"/>
    <w:rsid w:val="00461161"/>
    <w:rsid w:val="00462AEE"/>
    <w:rsid w:val="00462C4E"/>
    <w:rsid w:val="00462E0D"/>
    <w:rsid w:val="00462F09"/>
    <w:rsid w:val="0046347D"/>
    <w:rsid w:val="004635B1"/>
    <w:rsid w:val="004638A6"/>
    <w:rsid w:val="00464240"/>
    <w:rsid w:val="0046480A"/>
    <w:rsid w:val="004649E4"/>
    <w:rsid w:val="00465014"/>
    <w:rsid w:val="004659AB"/>
    <w:rsid w:val="00465A0E"/>
    <w:rsid w:val="00465FD5"/>
    <w:rsid w:val="0046653F"/>
    <w:rsid w:val="00466CE0"/>
    <w:rsid w:val="00466D7D"/>
    <w:rsid w:val="00466F55"/>
    <w:rsid w:val="0046721B"/>
    <w:rsid w:val="0046768A"/>
    <w:rsid w:val="0047069B"/>
    <w:rsid w:val="00470CF6"/>
    <w:rsid w:val="00471CAA"/>
    <w:rsid w:val="00471F79"/>
    <w:rsid w:val="004723C1"/>
    <w:rsid w:val="0047352F"/>
    <w:rsid w:val="0047412B"/>
    <w:rsid w:val="00474AEF"/>
    <w:rsid w:val="00475053"/>
    <w:rsid w:val="004751E8"/>
    <w:rsid w:val="004753B1"/>
    <w:rsid w:val="00475A45"/>
    <w:rsid w:val="004761D3"/>
    <w:rsid w:val="004764CC"/>
    <w:rsid w:val="00476590"/>
    <w:rsid w:val="00476CF8"/>
    <w:rsid w:val="0047713C"/>
    <w:rsid w:val="0048046A"/>
    <w:rsid w:val="0048110F"/>
    <w:rsid w:val="00481518"/>
    <w:rsid w:val="00481CF5"/>
    <w:rsid w:val="0048200D"/>
    <w:rsid w:val="00482A15"/>
    <w:rsid w:val="00482AA9"/>
    <w:rsid w:val="00482DA4"/>
    <w:rsid w:val="00482E68"/>
    <w:rsid w:val="00482F65"/>
    <w:rsid w:val="004840B7"/>
    <w:rsid w:val="00486868"/>
    <w:rsid w:val="0048702B"/>
    <w:rsid w:val="0048784B"/>
    <w:rsid w:val="004879B9"/>
    <w:rsid w:val="00490564"/>
    <w:rsid w:val="00491AAB"/>
    <w:rsid w:val="00491DB4"/>
    <w:rsid w:val="00492359"/>
    <w:rsid w:val="00492A68"/>
    <w:rsid w:val="00492BC3"/>
    <w:rsid w:val="004932DD"/>
    <w:rsid w:val="00493950"/>
    <w:rsid w:val="004939EB"/>
    <w:rsid w:val="0049436A"/>
    <w:rsid w:val="00494B2A"/>
    <w:rsid w:val="00495235"/>
    <w:rsid w:val="004954B4"/>
    <w:rsid w:val="00495AFD"/>
    <w:rsid w:val="00495F39"/>
    <w:rsid w:val="00496306"/>
    <w:rsid w:val="004966A6"/>
    <w:rsid w:val="00496D8E"/>
    <w:rsid w:val="00496E05"/>
    <w:rsid w:val="00497431"/>
    <w:rsid w:val="00497954"/>
    <w:rsid w:val="004A06A6"/>
    <w:rsid w:val="004A0E5A"/>
    <w:rsid w:val="004A24E9"/>
    <w:rsid w:val="004A3136"/>
    <w:rsid w:val="004A37E5"/>
    <w:rsid w:val="004A3CA6"/>
    <w:rsid w:val="004A4A60"/>
    <w:rsid w:val="004A500C"/>
    <w:rsid w:val="004A5017"/>
    <w:rsid w:val="004A5F90"/>
    <w:rsid w:val="004A613B"/>
    <w:rsid w:val="004A72DA"/>
    <w:rsid w:val="004A7F3D"/>
    <w:rsid w:val="004B0110"/>
    <w:rsid w:val="004B0C84"/>
    <w:rsid w:val="004B204D"/>
    <w:rsid w:val="004B2291"/>
    <w:rsid w:val="004B2516"/>
    <w:rsid w:val="004B2787"/>
    <w:rsid w:val="004B3091"/>
    <w:rsid w:val="004B3D2D"/>
    <w:rsid w:val="004B3E43"/>
    <w:rsid w:val="004B4D70"/>
    <w:rsid w:val="004B5B2E"/>
    <w:rsid w:val="004B5D16"/>
    <w:rsid w:val="004B60B6"/>
    <w:rsid w:val="004B684B"/>
    <w:rsid w:val="004B7EBA"/>
    <w:rsid w:val="004B7F07"/>
    <w:rsid w:val="004C0FF1"/>
    <w:rsid w:val="004C17A3"/>
    <w:rsid w:val="004C17E4"/>
    <w:rsid w:val="004C199E"/>
    <w:rsid w:val="004C1AB9"/>
    <w:rsid w:val="004C2B43"/>
    <w:rsid w:val="004C3408"/>
    <w:rsid w:val="004C3575"/>
    <w:rsid w:val="004C3852"/>
    <w:rsid w:val="004C3D2E"/>
    <w:rsid w:val="004C4148"/>
    <w:rsid w:val="004C437D"/>
    <w:rsid w:val="004C514E"/>
    <w:rsid w:val="004C64C5"/>
    <w:rsid w:val="004C6BFE"/>
    <w:rsid w:val="004C752C"/>
    <w:rsid w:val="004C78D1"/>
    <w:rsid w:val="004D03D0"/>
    <w:rsid w:val="004D0BF7"/>
    <w:rsid w:val="004D1C76"/>
    <w:rsid w:val="004D3A4D"/>
    <w:rsid w:val="004D43FD"/>
    <w:rsid w:val="004D441C"/>
    <w:rsid w:val="004D44EE"/>
    <w:rsid w:val="004D4B54"/>
    <w:rsid w:val="004D5463"/>
    <w:rsid w:val="004D54F2"/>
    <w:rsid w:val="004D57EB"/>
    <w:rsid w:val="004D5B66"/>
    <w:rsid w:val="004D5C18"/>
    <w:rsid w:val="004D6D7B"/>
    <w:rsid w:val="004D6EE8"/>
    <w:rsid w:val="004D6FB0"/>
    <w:rsid w:val="004D79AC"/>
    <w:rsid w:val="004E08C6"/>
    <w:rsid w:val="004E1959"/>
    <w:rsid w:val="004E1EC1"/>
    <w:rsid w:val="004E1F6A"/>
    <w:rsid w:val="004E2FDE"/>
    <w:rsid w:val="004E345A"/>
    <w:rsid w:val="004E3689"/>
    <w:rsid w:val="004E3EF8"/>
    <w:rsid w:val="004E4063"/>
    <w:rsid w:val="004E4C96"/>
    <w:rsid w:val="004E5110"/>
    <w:rsid w:val="004E65A1"/>
    <w:rsid w:val="004E69C8"/>
    <w:rsid w:val="004E6DDB"/>
    <w:rsid w:val="004E72D9"/>
    <w:rsid w:val="004F0330"/>
    <w:rsid w:val="004F0B23"/>
    <w:rsid w:val="004F0D35"/>
    <w:rsid w:val="004F187F"/>
    <w:rsid w:val="004F1D7A"/>
    <w:rsid w:val="004F1DDE"/>
    <w:rsid w:val="004F1FFC"/>
    <w:rsid w:val="004F2894"/>
    <w:rsid w:val="004F31D5"/>
    <w:rsid w:val="004F3441"/>
    <w:rsid w:val="004F3CA2"/>
    <w:rsid w:val="004F3CBB"/>
    <w:rsid w:val="004F4682"/>
    <w:rsid w:val="004F4885"/>
    <w:rsid w:val="004F489A"/>
    <w:rsid w:val="004F4982"/>
    <w:rsid w:val="004F54BC"/>
    <w:rsid w:val="004F5D7C"/>
    <w:rsid w:val="004F6DBF"/>
    <w:rsid w:val="00500527"/>
    <w:rsid w:val="0050122E"/>
    <w:rsid w:val="0050154A"/>
    <w:rsid w:val="00501793"/>
    <w:rsid w:val="00501E36"/>
    <w:rsid w:val="00502570"/>
    <w:rsid w:val="005025C7"/>
    <w:rsid w:val="00502DF0"/>
    <w:rsid w:val="00503B9B"/>
    <w:rsid w:val="005043E5"/>
    <w:rsid w:val="00505545"/>
    <w:rsid w:val="005056A3"/>
    <w:rsid w:val="005057FC"/>
    <w:rsid w:val="00510E60"/>
    <w:rsid w:val="005112E2"/>
    <w:rsid w:val="00511702"/>
    <w:rsid w:val="00511714"/>
    <w:rsid w:val="00512663"/>
    <w:rsid w:val="00512941"/>
    <w:rsid w:val="0051322D"/>
    <w:rsid w:val="005133AD"/>
    <w:rsid w:val="005141F7"/>
    <w:rsid w:val="00514AA6"/>
    <w:rsid w:val="00515185"/>
    <w:rsid w:val="00515AD7"/>
    <w:rsid w:val="00516EAA"/>
    <w:rsid w:val="0051722B"/>
    <w:rsid w:val="0052041A"/>
    <w:rsid w:val="005212B0"/>
    <w:rsid w:val="00521A63"/>
    <w:rsid w:val="00522DC1"/>
    <w:rsid w:val="0052391A"/>
    <w:rsid w:val="005240E9"/>
    <w:rsid w:val="00524344"/>
    <w:rsid w:val="005243BB"/>
    <w:rsid w:val="005248E4"/>
    <w:rsid w:val="00524928"/>
    <w:rsid w:val="00524AB4"/>
    <w:rsid w:val="00524B18"/>
    <w:rsid w:val="00524DED"/>
    <w:rsid w:val="00524F9A"/>
    <w:rsid w:val="0052512E"/>
    <w:rsid w:val="00525768"/>
    <w:rsid w:val="00525CFE"/>
    <w:rsid w:val="005266F0"/>
    <w:rsid w:val="0052671E"/>
    <w:rsid w:val="00526B86"/>
    <w:rsid w:val="00527081"/>
    <w:rsid w:val="005275DF"/>
    <w:rsid w:val="00527946"/>
    <w:rsid w:val="00531576"/>
    <w:rsid w:val="00531C21"/>
    <w:rsid w:val="00532FF2"/>
    <w:rsid w:val="0053305A"/>
    <w:rsid w:val="00533183"/>
    <w:rsid w:val="00533201"/>
    <w:rsid w:val="00533939"/>
    <w:rsid w:val="005340CC"/>
    <w:rsid w:val="005347C0"/>
    <w:rsid w:val="005348C0"/>
    <w:rsid w:val="0053498F"/>
    <w:rsid w:val="00534E3D"/>
    <w:rsid w:val="00534EC9"/>
    <w:rsid w:val="00535AA8"/>
    <w:rsid w:val="00536265"/>
    <w:rsid w:val="005362E4"/>
    <w:rsid w:val="005372F0"/>
    <w:rsid w:val="00537C7F"/>
    <w:rsid w:val="00537CAC"/>
    <w:rsid w:val="00540190"/>
    <w:rsid w:val="0054058A"/>
    <w:rsid w:val="005408E7"/>
    <w:rsid w:val="00542535"/>
    <w:rsid w:val="005433EB"/>
    <w:rsid w:val="005438EF"/>
    <w:rsid w:val="005439AD"/>
    <w:rsid w:val="00543A92"/>
    <w:rsid w:val="00544103"/>
    <w:rsid w:val="0054424F"/>
    <w:rsid w:val="00544683"/>
    <w:rsid w:val="0054479C"/>
    <w:rsid w:val="00544A3F"/>
    <w:rsid w:val="00544B05"/>
    <w:rsid w:val="00544B39"/>
    <w:rsid w:val="00544EE0"/>
    <w:rsid w:val="0054524C"/>
    <w:rsid w:val="0054749B"/>
    <w:rsid w:val="00547E16"/>
    <w:rsid w:val="005501DA"/>
    <w:rsid w:val="00551543"/>
    <w:rsid w:val="00551822"/>
    <w:rsid w:val="00551F34"/>
    <w:rsid w:val="00552A77"/>
    <w:rsid w:val="00552CF7"/>
    <w:rsid w:val="00552D8F"/>
    <w:rsid w:val="0055306E"/>
    <w:rsid w:val="00553D39"/>
    <w:rsid w:val="00553DDC"/>
    <w:rsid w:val="00553FFA"/>
    <w:rsid w:val="00554100"/>
    <w:rsid w:val="00554385"/>
    <w:rsid w:val="0055450B"/>
    <w:rsid w:val="00554C03"/>
    <w:rsid w:val="00555A93"/>
    <w:rsid w:val="00555B3C"/>
    <w:rsid w:val="00555D09"/>
    <w:rsid w:val="005562F5"/>
    <w:rsid w:val="00556317"/>
    <w:rsid w:val="00556616"/>
    <w:rsid w:val="00556839"/>
    <w:rsid w:val="00557469"/>
    <w:rsid w:val="00557A8B"/>
    <w:rsid w:val="005601F2"/>
    <w:rsid w:val="00560343"/>
    <w:rsid w:val="0056051B"/>
    <w:rsid w:val="0056134F"/>
    <w:rsid w:val="00561A2E"/>
    <w:rsid w:val="005621FA"/>
    <w:rsid w:val="00562801"/>
    <w:rsid w:val="00562FC3"/>
    <w:rsid w:val="00565297"/>
    <w:rsid w:val="00565777"/>
    <w:rsid w:val="0056625E"/>
    <w:rsid w:val="00566751"/>
    <w:rsid w:val="00566EE2"/>
    <w:rsid w:val="0056737A"/>
    <w:rsid w:val="00567970"/>
    <w:rsid w:val="005700EC"/>
    <w:rsid w:val="005704C6"/>
    <w:rsid w:val="005706DE"/>
    <w:rsid w:val="005706F3"/>
    <w:rsid w:val="00570D5B"/>
    <w:rsid w:val="00570F28"/>
    <w:rsid w:val="00572494"/>
    <w:rsid w:val="0057287C"/>
    <w:rsid w:val="00572DA7"/>
    <w:rsid w:val="00573970"/>
    <w:rsid w:val="00573976"/>
    <w:rsid w:val="00574761"/>
    <w:rsid w:val="00574CAC"/>
    <w:rsid w:val="00574DD4"/>
    <w:rsid w:val="005753BC"/>
    <w:rsid w:val="005757F7"/>
    <w:rsid w:val="005761ED"/>
    <w:rsid w:val="00576A40"/>
    <w:rsid w:val="00577468"/>
    <w:rsid w:val="005778EB"/>
    <w:rsid w:val="005805E5"/>
    <w:rsid w:val="00580691"/>
    <w:rsid w:val="00580B74"/>
    <w:rsid w:val="00580F95"/>
    <w:rsid w:val="005810ED"/>
    <w:rsid w:val="0058151C"/>
    <w:rsid w:val="005815EA"/>
    <w:rsid w:val="005818CA"/>
    <w:rsid w:val="005823A1"/>
    <w:rsid w:val="00582804"/>
    <w:rsid w:val="0058325C"/>
    <w:rsid w:val="0058369F"/>
    <w:rsid w:val="0058399A"/>
    <w:rsid w:val="00583AE1"/>
    <w:rsid w:val="00583DBC"/>
    <w:rsid w:val="00584486"/>
    <w:rsid w:val="00584FEE"/>
    <w:rsid w:val="005858E4"/>
    <w:rsid w:val="00585A34"/>
    <w:rsid w:val="0058631C"/>
    <w:rsid w:val="00586C97"/>
    <w:rsid w:val="00590062"/>
    <w:rsid w:val="00590C28"/>
    <w:rsid w:val="00590EF3"/>
    <w:rsid w:val="00590FF3"/>
    <w:rsid w:val="005922FC"/>
    <w:rsid w:val="005923F6"/>
    <w:rsid w:val="005925C6"/>
    <w:rsid w:val="00593FBA"/>
    <w:rsid w:val="00594201"/>
    <w:rsid w:val="0059446C"/>
    <w:rsid w:val="00594BC4"/>
    <w:rsid w:val="00595094"/>
    <w:rsid w:val="005950BF"/>
    <w:rsid w:val="00596305"/>
    <w:rsid w:val="005964F3"/>
    <w:rsid w:val="0059706D"/>
    <w:rsid w:val="00597180"/>
    <w:rsid w:val="0059757A"/>
    <w:rsid w:val="00597A67"/>
    <w:rsid w:val="00597CDF"/>
    <w:rsid w:val="005A0AAF"/>
    <w:rsid w:val="005A0D58"/>
    <w:rsid w:val="005A0D5E"/>
    <w:rsid w:val="005A0E99"/>
    <w:rsid w:val="005A14B2"/>
    <w:rsid w:val="005A1562"/>
    <w:rsid w:val="005A3423"/>
    <w:rsid w:val="005A3748"/>
    <w:rsid w:val="005A3C1C"/>
    <w:rsid w:val="005A4763"/>
    <w:rsid w:val="005A48AB"/>
    <w:rsid w:val="005A4D4C"/>
    <w:rsid w:val="005A5271"/>
    <w:rsid w:val="005A52B8"/>
    <w:rsid w:val="005A571A"/>
    <w:rsid w:val="005A585B"/>
    <w:rsid w:val="005A5CCC"/>
    <w:rsid w:val="005A5D19"/>
    <w:rsid w:val="005A6208"/>
    <w:rsid w:val="005A6C39"/>
    <w:rsid w:val="005A7FF0"/>
    <w:rsid w:val="005B1204"/>
    <w:rsid w:val="005B135F"/>
    <w:rsid w:val="005B2685"/>
    <w:rsid w:val="005B2BBE"/>
    <w:rsid w:val="005B4BC9"/>
    <w:rsid w:val="005B4FD0"/>
    <w:rsid w:val="005B5261"/>
    <w:rsid w:val="005B54CF"/>
    <w:rsid w:val="005B57B1"/>
    <w:rsid w:val="005B640B"/>
    <w:rsid w:val="005B6AEF"/>
    <w:rsid w:val="005B785F"/>
    <w:rsid w:val="005B7CAC"/>
    <w:rsid w:val="005B7FCF"/>
    <w:rsid w:val="005C0751"/>
    <w:rsid w:val="005C0EB8"/>
    <w:rsid w:val="005C136E"/>
    <w:rsid w:val="005C146E"/>
    <w:rsid w:val="005C14D3"/>
    <w:rsid w:val="005C19F0"/>
    <w:rsid w:val="005C20F7"/>
    <w:rsid w:val="005C239D"/>
    <w:rsid w:val="005C3354"/>
    <w:rsid w:val="005C37B7"/>
    <w:rsid w:val="005C48D7"/>
    <w:rsid w:val="005C5597"/>
    <w:rsid w:val="005C5E82"/>
    <w:rsid w:val="005C6256"/>
    <w:rsid w:val="005C6335"/>
    <w:rsid w:val="005C676E"/>
    <w:rsid w:val="005C6959"/>
    <w:rsid w:val="005C739B"/>
    <w:rsid w:val="005C7406"/>
    <w:rsid w:val="005C77AD"/>
    <w:rsid w:val="005C7AA0"/>
    <w:rsid w:val="005C7B32"/>
    <w:rsid w:val="005C7D3E"/>
    <w:rsid w:val="005D16DD"/>
    <w:rsid w:val="005D2978"/>
    <w:rsid w:val="005D3D9E"/>
    <w:rsid w:val="005D4685"/>
    <w:rsid w:val="005D495F"/>
    <w:rsid w:val="005D4FD5"/>
    <w:rsid w:val="005D54F4"/>
    <w:rsid w:val="005D5C68"/>
    <w:rsid w:val="005D5CBE"/>
    <w:rsid w:val="005D5DA9"/>
    <w:rsid w:val="005D5F27"/>
    <w:rsid w:val="005D5FE1"/>
    <w:rsid w:val="005D6261"/>
    <w:rsid w:val="005D6649"/>
    <w:rsid w:val="005D6764"/>
    <w:rsid w:val="005D699A"/>
    <w:rsid w:val="005E33ED"/>
    <w:rsid w:val="005E3BB2"/>
    <w:rsid w:val="005E3D48"/>
    <w:rsid w:val="005E3DEC"/>
    <w:rsid w:val="005E40A0"/>
    <w:rsid w:val="005E4AC8"/>
    <w:rsid w:val="005E52BB"/>
    <w:rsid w:val="005E549B"/>
    <w:rsid w:val="005E58E6"/>
    <w:rsid w:val="005E5A67"/>
    <w:rsid w:val="005E5F76"/>
    <w:rsid w:val="005E6F49"/>
    <w:rsid w:val="005E6F54"/>
    <w:rsid w:val="005E7DC3"/>
    <w:rsid w:val="005F24C4"/>
    <w:rsid w:val="005F39CB"/>
    <w:rsid w:val="005F3D97"/>
    <w:rsid w:val="005F4BFF"/>
    <w:rsid w:val="005F4C70"/>
    <w:rsid w:val="005F4E6A"/>
    <w:rsid w:val="005F6D63"/>
    <w:rsid w:val="005F756A"/>
    <w:rsid w:val="00600197"/>
    <w:rsid w:val="0060026D"/>
    <w:rsid w:val="006008A4"/>
    <w:rsid w:val="00601674"/>
    <w:rsid w:val="00602A59"/>
    <w:rsid w:val="00603002"/>
    <w:rsid w:val="006031F0"/>
    <w:rsid w:val="006036FD"/>
    <w:rsid w:val="00604AE7"/>
    <w:rsid w:val="00604FF3"/>
    <w:rsid w:val="0060542F"/>
    <w:rsid w:val="006055DB"/>
    <w:rsid w:val="00605E43"/>
    <w:rsid w:val="006066F5"/>
    <w:rsid w:val="00606DF8"/>
    <w:rsid w:val="00606FB5"/>
    <w:rsid w:val="00607497"/>
    <w:rsid w:val="006079B5"/>
    <w:rsid w:val="00607E77"/>
    <w:rsid w:val="00610842"/>
    <w:rsid w:val="00610879"/>
    <w:rsid w:val="00610FDE"/>
    <w:rsid w:val="0061136C"/>
    <w:rsid w:val="00611C9E"/>
    <w:rsid w:val="00612A79"/>
    <w:rsid w:val="00612C41"/>
    <w:rsid w:val="006134CC"/>
    <w:rsid w:val="006140A9"/>
    <w:rsid w:val="00614B90"/>
    <w:rsid w:val="00614C75"/>
    <w:rsid w:val="00614D13"/>
    <w:rsid w:val="00615042"/>
    <w:rsid w:val="006150E0"/>
    <w:rsid w:val="0061541C"/>
    <w:rsid w:val="00615484"/>
    <w:rsid w:val="0061552F"/>
    <w:rsid w:val="006159BF"/>
    <w:rsid w:val="00615C9D"/>
    <w:rsid w:val="00615E47"/>
    <w:rsid w:val="00616D77"/>
    <w:rsid w:val="00616F45"/>
    <w:rsid w:val="00617009"/>
    <w:rsid w:val="00617070"/>
    <w:rsid w:val="006172F0"/>
    <w:rsid w:val="00617C5E"/>
    <w:rsid w:val="0062022A"/>
    <w:rsid w:val="00620464"/>
    <w:rsid w:val="00620573"/>
    <w:rsid w:val="0062079E"/>
    <w:rsid w:val="006209DB"/>
    <w:rsid w:val="006210FE"/>
    <w:rsid w:val="006217D8"/>
    <w:rsid w:val="00621F7C"/>
    <w:rsid w:val="00623495"/>
    <w:rsid w:val="006243C2"/>
    <w:rsid w:val="00624711"/>
    <w:rsid w:val="00624B7C"/>
    <w:rsid w:val="00625173"/>
    <w:rsid w:val="0062523B"/>
    <w:rsid w:val="00625897"/>
    <w:rsid w:val="00626529"/>
    <w:rsid w:val="00626C70"/>
    <w:rsid w:val="00626C90"/>
    <w:rsid w:val="00626DE3"/>
    <w:rsid w:val="00627203"/>
    <w:rsid w:val="00627A54"/>
    <w:rsid w:val="00627E6B"/>
    <w:rsid w:val="006301AA"/>
    <w:rsid w:val="006309E0"/>
    <w:rsid w:val="00630E97"/>
    <w:rsid w:val="00631049"/>
    <w:rsid w:val="006310C1"/>
    <w:rsid w:val="006322DD"/>
    <w:rsid w:val="00632771"/>
    <w:rsid w:val="00632E1B"/>
    <w:rsid w:val="00632E4C"/>
    <w:rsid w:val="00633584"/>
    <w:rsid w:val="0063393C"/>
    <w:rsid w:val="00633CA3"/>
    <w:rsid w:val="006342FB"/>
    <w:rsid w:val="00634B7B"/>
    <w:rsid w:val="00634E32"/>
    <w:rsid w:val="0063567E"/>
    <w:rsid w:val="00635EAA"/>
    <w:rsid w:val="0063624A"/>
    <w:rsid w:val="006363DC"/>
    <w:rsid w:val="00636DD4"/>
    <w:rsid w:val="00637089"/>
    <w:rsid w:val="00637B24"/>
    <w:rsid w:val="00637B88"/>
    <w:rsid w:val="006404C4"/>
    <w:rsid w:val="00640556"/>
    <w:rsid w:val="0064056F"/>
    <w:rsid w:val="00640DB8"/>
    <w:rsid w:val="00640DD6"/>
    <w:rsid w:val="00641029"/>
    <w:rsid w:val="00641185"/>
    <w:rsid w:val="00643E88"/>
    <w:rsid w:val="00644B2C"/>
    <w:rsid w:val="00645890"/>
    <w:rsid w:val="0064683C"/>
    <w:rsid w:val="00646ED3"/>
    <w:rsid w:val="0064724F"/>
    <w:rsid w:val="00647D52"/>
    <w:rsid w:val="00647F9E"/>
    <w:rsid w:val="00650421"/>
    <w:rsid w:val="0065090F"/>
    <w:rsid w:val="00650EAB"/>
    <w:rsid w:val="00651E9D"/>
    <w:rsid w:val="00652ECB"/>
    <w:rsid w:val="006540B8"/>
    <w:rsid w:val="006543B8"/>
    <w:rsid w:val="0065480E"/>
    <w:rsid w:val="0065496E"/>
    <w:rsid w:val="00654CE4"/>
    <w:rsid w:val="00656550"/>
    <w:rsid w:val="00656D1F"/>
    <w:rsid w:val="00656DDD"/>
    <w:rsid w:val="00656F40"/>
    <w:rsid w:val="0065742F"/>
    <w:rsid w:val="0065755C"/>
    <w:rsid w:val="006576AB"/>
    <w:rsid w:val="006600DC"/>
    <w:rsid w:val="006601AE"/>
    <w:rsid w:val="00660639"/>
    <w:rsid w:val="00661779"/>
    <w:rsid w:val="00661D51"/>
    <w:rsid w:val="00661F4A"/>
    <w:rsid w:val="006621B2"/>
    <w:rsid w:val="0066354F"/>
    <w:rsid w:val="00664A69"/>
    <w:rsid w:val="00666019"/>
    <w:rsid w:val="006664D7"/>
    <w:rsid w:val="00667654"/>
    <w:rsid w:val="0067009A"/>
    <w:rsid w:val="006707C4"/>
    <w:rsid w:val="00670920"/>
    <w:rsid w:val="00670CA6"/>
    <w:rsid w:val="00670DE7"/>
    <w:rsid w:val="006712E3"/>
    <w:rsid w:val="006714B3"/>
    <w:rsid w:val="00671DB2"/>
    <w:rsid w:val="00672010"/>
    <w:rsid w:val="00672C18"/>
    <w:rsid w:val="00673083"/>
    <w:rsid w:val="0067329B"/>
    <w:rsid w:val="00674215"/>
    <w:rsid w:val="006743F3"/>
    <w:rsid w:val="00674943"/>
    <w:rsid w:val="00674A3F"/>
    <w:rsid w:val="00675A22"/>
    <w:rsid w:val="00675E79"/>
    <w:rsid w:val="00675ED9"/>
    <w:rsid w:val="00676A0A"/>
    <w:rsid w:val="00676A72"/>
    <w:rsid w:val="00676CE7"/>
    <w:rsid w:val="00676CF3"/>
    <w:rsid w:val="0067724B"/>
    <w:rsid w:val="00680392"/>
    <w:rsid w:val="0068110F"/>
    <w:rsid w:val="00681172"/>
    <w:rsid w:val="00681851"/>
    <w:rsid w:val="006819E3"/>
    <w:rsid w:val="00681A74"/>
    <w:rsid w:val="00682139"/>
    <w:rsid w:val="006823BD"/>
    <w:rsid w:val="00682478"/>
    <w:rsid w:val="006825DF"/>
    <w:rsid w:val="006826B9"/>
    <w:rsid w:val="00682AA3"/>
    <w:rsid w:val="00682D28"/>
    <w:rsid w:val="00683BF1"/>
    <w:rsid w:val="00684093"/>
    <w:rsid w:val="00684265"/>
    <w:rsid w:val="00684860"/>
    <w:rsid w:val="00684E4F"/>
    <w:rsid w:val="00685099"/>
    <w:rsid w:val="006856D1"/>
    <w:rsid w:val="00685D74"/>
    <w:rsid w:val="0068600B"/>
    <w:rsid w:val="00686811"/>
    <w:rsid w:val="00686A9C"/>
    <w:rsid w:val="00686BA0"/>
    <w:rsid w:val="00687081"/>
    <w:rsid w:val="006872E7"/>
    <w:rsid w:val="00687430"/>
    <w:rsid w:val="0068775F"/>
    <w:rsid w:val="006878DE"/>
    <w:rsid w:val="00690366"/>
    <w:rsid w:val="00690A3B"/>
    <w:rsid w:val="00692CEB"/>
    <w:rsid w:val="006943B6"/>
    <w:rsid w:val="0069452A"/>
    <w:rsid w:val="00694863"/>
    <w:rsid w:val="00695358"/>
    <w:rsid w:val="006955AE"/>
    <w:rsid w:val="00695BDB"/>
    <w:rsid w:val="00696162"/>
    <w:rsid w:val="00696A51"/>
    <w:rsid w:val="006974C5"/>
    <w:rsid w:val="00697524"/>
    <w:rsid w:val="0069760A"/>
    <w:rsid w:val="00697FA4"/>
    <w:rsid w:val="006A086D"/>
    <w:rsid w:val="006A1E79"/>
    <w:rsid w:val="006A3884"/>
    <w:rsid w:val="006A3F89"/>
    <w:rsid w:val="006A4718"/>
    <w:rsid w:val="006A4956"/>
    <w:rsid w:val="006A49C3"/>
    <w:rsid w:val="006A59ED"/>
    <w:rsid w:val="006A5A59"/>
    <w:rsid w:val="006A5EED"/>
    <w:rsid w:val="006A6227"/>
    <w:rsid w:val="006A6489"/>
    <w:rsid w:val="006A7532"/>
    <w:rsid w:val="006A7607"/>
    <w:rsid w:val="006A7EB9"/>
    <w:rsid w:val="006B098B"/>
    <w:rsid w:val="006B0E70"/>
    <w:rsid w:val="006B1629"/>
    <w:rsid w:val="006B1705"/>
    <w:rsid w:val="006B2376"/>
    <w:rsid w:val="006B2EF5"/>
    <w:rsid w:val="006B2F9D"/>
    <w:rsid w:val="006B32AE"/>
    <w:rsid w:val="006B394D"/>
    <w:rsid w:val="006B41CE"/>
    <w:rsid w:val="006B42B9"/>
    <w:rsid w:val="006B4DB2"/>
    <w:rsid w:val="006B4DBD"/>
    <w:rsid w:val="006B4E09"/>
    <w:rsid w:val="006B50A5"/>
    <w:rsid w:val="006B5336"/>
    <w:rsid w:val="006B57EB"/>
    <w:rsid w:val="006B634F"/>
    <w:rsid w:val="006B64E0"/>
    <w:rsid w:val="006B68EA"/>
    <w:rsid w:val="006C0072"/>
    <w:rsid w:val="006C0621"/>
    <w:rsid w:val="006C0C31"/>
    <w:rsid w:val="006C123F"/>
    <w:rsid w:val="006C1396"/>
    <w:rsid w:val="006C148D"/>
    <w:rsid w:val="006C1621"/>
    <w:rsid w:val="006C2413"/>
    <w:rsid w:val="006C26D2"/>
    <w:rsid w:val="006C387D"/>
    <w:rsid w:val="006C4DF0"/>
    <w:rsid w:val="006C4E43"/>
    <w:rsid w:val="006C5577"/>
    <w:rsid w:val="006C6533"/>
    <w:rsid w:val="006C65AD"/>
    <w:rsid w:val="006C6FF1"/>
    <w:rsid w:val="006C75B7"/>
    <w:rsid w:val="006C7ABA"/>
    <w:rsid w:val="006D11E8"/>
    <w:rsid w:val="006D1F77"/>
    <w:rsid w:val="006D2088"/>
    <w:rsid w:val="006D231B"/>
    <w:rsid w:val="006D23CB"/>
    <w:rsid w:val="006D265B"/>
    <w:rsid w:val="006D2D45"/>
    <w:rsid w:val="006D308E"/>
    <w:rsid w:val="006D3132"/>
    <w:rsid w:val="006D31FE"/>
    <w:rsid w:val="006D3F27"/>
    <w:rsid w:val="006D50A6"/>
    <w:rsid w:val="006D594B"/>
    <w:rsid w:val="006D5E7F"/>
    <w:rsid w:val="006D6885"/>
    <w:rsid w:val="006D6AC7"/>
    <w:rsid w:val="006D7305"/>
    <w:rsid w:val="006E03BF"/>
    <w:rsid w:val="006E067E"/>
    <w:rsid w:val="006E096B"/>
    <w:rsid w:val="006E0C96"/>
    <w:rsid w:val="006E1246"/>
    <w:rsid w:val="006E1414"/>
    <w:rsid w:val="006E1F31"/>
    <w:rsid w:val="006E20A1"/>
    <w:rsid w:val="006E21D2"/>
    <w:rsid w:val="006E2CD5"/>
    <w:rsid w:val="006E448A"/>
    <w:rsid w:val="006E488B"/>
    <w:rsid w:val="006E579C"/>
    <w:rsid w:val="006E62C2"/>
    <w:rsid w:val="006E7325"/>
    <w:rsid w:val="006E7939"/>
    <w:rsid w:val="006E799E"/>
    <w:rsid w:val="006E7BC9"/>
    <w:rsid w:val="006E7D44"/>
    <w:rsid w:val="006F022A"/>
    <w:rsid w:val="006F03BC"/>
    <w:rsid w:val="006F08A2"/>
    <w:rsid w:val="006F0E70"/>
    <w:rsid w:val="006F1E23"/>
    <w:rsid w:val="006F32CA"/>
    <w:rsid w:val="006F4DC4"/>
    <w:rsid w:val="006F6831"/>
    <w:rsid w:val="006F697E"/>
    <w:rsid w:val="006F6B10"/>
    <w:rsid w:val="006F73FC"/>
    <w:rsid w:val="006F754E"/>
    <w:rsid w:val="007006EC"/>
    <w:rsid w:val="007013E1"/>
    <w:rsid w:val="007027D5"/>
    <w:rsid w:val="00703383"/>
    <w:rsid w:val="007036E5"/>
    <w:rsid w:val="00703B81"/>
    <w:rsid w:val="007053D6"/>
    <w:rsid w:val="00705B5E"/>
    <w:rsid w:val="007064E2"/>
    <w:rsid w:val="00706E35"/>
    <w:rsid w:val="00707E16"/>
    <w:rsid w:val="007105D6"/>
    <w:rsid w:val="00710850"/>
    <w:rsid w:val="00710C7D"/>
    <w:rsid w:val="007117D5"/>
    <w:rsid w:val="00711E9F"/>
    <w:rsid w:val="0071248F"/>
    <w:rsid w:val="00712ED4"/>
    <w:rsid w:val="007137F6"/>
    <w:rsid w:val="007138C0"/>
    <w:rsid w:val="007147E1"/>
    <w:rsid w:val="00714B6E"/>
    <w:rsid w:val="00715A6C"/>
    <w:rsid w:val="00715D27"/>
    <w:rsid w:val="00716B8C"/>
    <w:rsid w:val="00716BF8"/>
    <w:rsid w:val="007172AE"/>
    <w:rsid w:val="00717954"/>
    <w:rsid w:val="00717AF4"/>
    <w:rsid w:val="00717CFF"/>
    <w:rsid w:val="00720908"/>
    <w:rsid w:val="007209F8"/>
    <w:rsid w:val="00720E38"/>
    <w:rsid w:val="00720F1C"/>
    <w:rsid w:val="00721D17"/>
    <w:rsid w:val="007220AE"/>
    <w:rsid w:val="007228EF"/>
    <w:rsid w:val="00722BFD"/>
    <w:rsid w:val="00722DEB"/>
    <w:rsid w:val="00722E8A"/>
    <w:rsid w:val="00722FE9"/>
    <w:rsid w:val="00723115"/>
    <w:rsid w:val="007231AB"/>
    <w:rsid w:val="0072355D"/>
    <w:rsid w:val="007235A8"/>
    <w:rsid w:val="007235AD"/>
    <w:rsid w:val="007248EF"/>
    <w:rsid w:val="00726E98"/>
    <w:rsid w:val="00727986"/>
    <w:rsid w:val="00727CE3"/>
    <w:rsid w:val="00727EDB"/>
    <w:rsid w:val="00730449"/>
    <w:rsid w:val="007312B3"/>
    <w:rsid w:val="00731F7F"/>
    <w:rsid w:val="0073236D"/>
    <w:rsid w:val="00732907"/>
    <w:rsid w:val="00732E79"/>
    <w:rsid w:val="0073365B"/>
    <w:rsid w:val="007348DB"/>
    <w:rsid w:val="00734D7E"/>
    <w:rsid w:val="007355D4"/>
    <w:rsid w:val="00735919"/>
    <w:rsid w:val="00735B29"/>
    <w:rsid w:val="0073615C"/>
    <w:rsid w:val="007362C1"/>
    <w:rsid w:val="007366C2"/>
    <w:rsid w:val="00736C28"/>
    <w:rsid w:val="007371CF"/>
    <w:rsid w:val="00737A4F"/>
    <w:rsid w:val="00737F09"/>
    <w:rsid w:val="00737F41"/>
    <w:rsid w:val="0074041A"/>
    <w:rsid w:val="00740774"/>
    <w:rsid w:val="00740962"/>
    <w:rsid w:val="00740E3A"/>
    <w:rsid w:val="00741B58"/>
    <w:rsid w:val="00742116"/>
    <w:rsid w:val="007422F5"/>
    <w:rsid w:val="00742451"/>
    <w:rsid w:val="00742741"/>
    <w:rsid w:val="007428CF"/>
    <w:rsid w:val="00742CE9"/>
    <w:rsid w:val="00742F90"/>
    <w:rsid w:val="0074397D"/>
    <w:rsid w:val="00744569"/>
    <w:rsid w:val="007445F6"/>
    <w:rsid w:val="0074550C"/>
    <w:rsid w:val="00745E9B"/>
    <w:rsid w:val="007464EF"/>
    <w:rsid w:val="007467D5"/>
    <w:rsid w:val="00747263"/>
    <w:rsid w:val="00747A97"/>
    <w:rsid w:val="00747C2F"/>
    <w:rsid w:val="00750304"/>
    <w:rsid w:val="0075039D"/>
    <w:rsid w:val="00750D94"/>
    <w:rsid w:val="00751909"/>
    <w:rsid w:val="00752421"/>
    <w:rsid w:val="00752589"/>
    <w:rsid w:val="00752591"/>
    <w:rsid w:val="00754651"/>
    <w:rsid w:val="00754D82"/>
    <w:rsid w:val="0075641B"/>
    <w:rsid w:val="007572D2"/>
    <w:rsid w:val="00757526"/>
    <w:rsid w:val="00757E53"/>
    <w:rsid w:val="00760D1F"/>
    <w:rsid w:val="007619BF"/>
    <w:rsid w:val="007625F0"/>
    <w:rsid w:val="00762E98"/>
    <w:rsid w:val="00763150"/>
    <w:rsid w:val="00763676"/>
    <w:rsid w:val="0076380A"/>
    <w:rsid w:val="007644F8"/>
    <w:rsid w:val="00764C8E"/>
    <w:rsid w:val="00765103"/>
    <w:rsid w:val="0076585D"/>
    <w:rsid w:val="0076591B"/>
    <w:rsid w:val="007666EF"/>
    <w:rsid w:val="00767A22"/>
    <w:rsid w:val="00767BE0"/>
    <w:rsid w:val="00767C71"/>
    <w:rsid w:val="00770377"/>
    <w:rsid w:val="007705DC"/>
    <w:rsid w:val="00771536"/>
    <w:rsid w:val="0077161B"/>
    <w:rsid w:val="0077195F"/>
    <w:rsid w:val="00771AE4"/>
    <w:rsid w:val="00771B1B"/>
    <w:rsid w:val="00771E2C"/>
    <w:rsid w:val="00772273"/>
    <w:rsid w:val="00772AF0"/>
    <w:rsid w:val="00773297"/>
    <w:rsid w:val="007735F0"/>
    <w:rsid w:val="0077382B"/>
    <w:rsid w:val="00773989"/>
    <w:rsid w:val="00773E13"/>
    <w:rsid w:val="00773E69"/>
    <w:rsid w:val="00774893"/>
    <w:rsid w:val="0077623C"/>
    <w:rsid w:val="00777594"/>
    <w:rsid w:val="00777BB8"/>
    <w:rsid w:val="007801E2"/>
    <w:rsid w:val="007805EB"/>
    <w:rsid w:val="007827DD"/>
    <w:rsid w:val="00782BED"/>
    <w:rsid w:val="00782C5A"/>
    <w:rsid w:val="00782CB2"/>
    <w:rsid w:val="00783623"/>
    <w:rsid w:val="00783675"/>
    <w:rsid w:val="00784345"/>
    <w:rsid w:val="0078470D"/>
    <w:rsid w:val="0078478A"/>
    <w:rsid w:val="00785204"/>
    <w:rsid w:val="007861CA"/>
    <w:rsid w:val="007862CE"/>
    <w:rsid w:val="00786C5C"/>
    <w:rsid w:val="00787021"/>
    <w:rsid w:val="0078708E"/>
    <w:rsid w:val="00787CFE"/>
    <w:rsid w:val="00787D01"/>
    <w:rsid w:val="0079019D"/>
    <w:rsid w:val="00790D02"/>
    <w:rsid w:val="007915CD"/>
    <w:rsid w:val="00791DF5"/>
    <w:rsid w:val="00792D83"/>
    <w:rsid w:val="0079346D"/>
    <w:rsid w:val="0079374E"/>
    <w:rsid w:val="00793AA7"/>
    <w:rsid w:val="00793D26"/>
    <w:rsid w:val="0079469A"/>
    <w:rsid w:val="00794706"/>
    <w:rsid w:val="00794FA4"/>
    <w:rsid w:val="00795188"/>
    <w:rsid w:val="00796298"/>
    <w:rsid w:val="00796394"/>
    <w:rsid w:val="00796C70"/>
    <w:rsid w:val="00796FCA"/>
    <w:rsid w:val="0079747E"/>
    <w:rsid w:val="00797CEB"/>
    <w:rsid w:val="007A1366"/>
    <w:rsid w:val="007A157E"/>
    <w:rsid w:val="007A18B0"/>
    <w:rsid w:val="007A1C02"/>
    <w:rsid w:val="007A1FED"/>
    <w:rsid w:val="007A55CA"/>
    <w:rsid w:val="007A5A0C"/>
    <w:rsid w:val="007A5B86"/>
    <w:rsid w:val="007A67AA"/>
    <w:rsid w:val="007A6D98"/>
    <w:rsid w:val="007A79F7"/>
    <w:rsid w:val="007A7B77"/>
    <w:rsid w:val="007B0CEB"/>
    <w:rsid w:val="007B0F10"/>
    <w:rsid w:val="007B1167"/>
    <w:rsid w:val="007B1308"/>
    <w:rsid w:val="007B18AB"/>
    <w:rsid w:val="007B2202"/>
    <w:rsid w:val="007B233F"/>
    <w:rsid w:val="007B2F37"/>
    <w:rsid w:val="007B396C"/>
    <w:rsid w:val="007B3B30"/>
    <w:rsid w:val="007B4256"/>
    <w:rsid w:val="007B5C30"/>
    <w:rsid w:val="007B67E3"/>
    <w:rsid w:val="007B6936"/>
    <w:rsid w:val="007B724F"/>
    <w:rsid w:val="007C02AC"/>
    <w:rsid w:val="007C0F6E"/>
    <w:rsid w:val="007C0FF3"/>
    <w:rsid w:val="007C15D2"/>
    <w:rsid w:val="007C22B7"/>
    <w:rsid w:val="007C23AA"/>
    <w:rsid w:val="007C34CC"/>
    <w:rsid w:val="007C49CC"/>
    <w:rsid w:val="007C4F8A"/>
    <w:rsid w:val="007C615E"/>
    <w:rsid w:val="007C6799"/>
    <w:rsid w:val="007C6D4C"/>
    <w:rsid w:val="007C79CB"/>
    <w:rsid w:val="007D1CD5"/>
    <w:rsid w:val="007D2868"/>
    <w:rsid w:val="007D2877"/>
    <w:rsid w:val="007D3505"/>
    <w:rsid w:val="007D371B"/>
    <w:rsid w:val="007D381A"/>
    <w:rsid w:val="007D3D38"/>
    <w:rsid w:val="007D4264"/>
    <w:rsid w:val="007D48D2"/>
    <w:rsid w:val="007D5FE4"/>
    <w:rsid w:val="007D651F"/>
    <w:rsid w:val="007D685A"/>
    <w:rsid w:val="007D69C2"/>
    <w:rsid w:val="007D6A6B"/>
    <w:rsid w:val="007D7A18"/>
    <w:rsid w:val="007D7CE6"/>
    <w:rsid w:val="007E0BB2"/>
    <w:rsid w:val="007E0C23"/>
    <w:rsid w:val="007E0C91"/>
    <w:rsid w:val="007E1A08"/>
    <w:rsid w:val="007E1A97"/>
    <w:rsid w:val="007E2005"/>
    <w:rsid w:val="007E36A0"/>
    <w:rsid w:val="007E3766"/>
    <w:rsid w:val="007E3897"/>
    <w:rsid w:val="007E3A63"/>
    <w:rsid w:val="007E408A"/>
    <w:rsid w:val="007E41B1"/>
    <w:rsid w:val="007E43F0"/>
    <w:rsid w:val="007E46FF"/>
    <w:rsid w:val="007E4ACE"/>
    <w:rsid w:val="007E5386"/>
    <w:rsid w:val="007E5F81"/>
    <w:rsid w:val="007E6196"/>
    <w:rsid w:val="007E661C"/>
    <w:rsid w:val="007E6765"/>
    <w:rsid w:val="007E6A16"/>
    <w:rsid w:val="007E7507"/>
    <w:rsid w:val="007E752C"/>
    <w:rsid w:val="007E7E57"/>
    <w:rsid w:val="007E7FC9"/>
    <w:rsid w:val="007F0416"/>
    <w:rsid w:val="007F0EEC"/>
    <w:rsid w:val="007F1013"/>
    <w:rsid w:val="007F160B"/>
    <w:rsid w:val="007F254C"/>
    <w:rsid w:val="007F26E2"/>
    <w:rsid w:val="007F29C4"/>
    <w:rsid w:val="007F2A8D"/>
    <w:rsid w:val="007F32DA"/>
    <w:rsid w:val="007F3324"/>
    <w:rsid w:val="007F5ADF"/>
    <w:rsid w:val="007F6514"/>
    <w:rsid w:val="007F6D4A"/>
    <w:rsid w:val="007F6E0B"/>
    <w:rsid w:val="007F7545"/>
    <w:rsid w:val="007F7ACB"/>
    <w:rsid w:val="007F7BC9"/>
    <w:rsid w:val="007F7E1A"/>
    <w:rsid w:val="007F7F9D"/>
    <w:rsid w:val="008000C5"/>
    <w:rsid w:val="0080078E"/>
    <w:rsid w:val="00801630"/>
    <w:rsid w:val="008021E7"/>
    <w:rsid w:val="008024A7"/>
    <w:rsid w:val="008028D4"/>
    <w:rsid w:val="00803055"/>
    <w:rsid w:val="008033C7"/>
    <w:rsid w:val="00803E67"/>
    <w:rsid w:val="00804171"/>
    <w:rsid w:val="00804670"/>
    <w:rsid w:val="0080481B"/>
    <w:rsid w:val="008059DB"/>
    <w:rsid w:val="00805B2B"/>
    <w:rsid w:val="00805F74"/>
    <w:rsid w:val="00806262"/>
    <w:rsid w:val="00806433"/>
    <w:rsid w:val="00806A4F"/>
    <w:rsid w:val="00806E01"/>
    <w:rsid w:val="00807D72"/>
    <w:rsid w:val="00810476"/>
    <w:rsid w:val="00810749"/>
    <w:rsid w:val="00810919"/>
    <w:rsid w:val="00810BA1"/>
    <w:rsid w:val="00810C69"/>
    <w:rsid w:val="00811043"/>
    <w:rsid w:val="0081106D"/>
    <w:rsid w:val="0081107A"/>
    <w:rsid w:val="008114FF"/>
    <w:rsid w:val="00812174"/>
    <w:rsid w:val="008125CD"/>
    <w:rsid w:val="00813E4A"/>
    <w:rsid w:val="00814353"/>
    <w:rsid w:val="008143FC"/>
    <w:rsid w:val="00814B3D"/>
    <w:rsid w:val="00814F2D"/>
    <w:rsid w:val="008151CD"/>
    <w:rsid w:val="00816258"/>
    <w:rsid w:val="008165BA"/>
    <w:rsid w:val="008165EF"/>
    <w:rsid w:val="00820D9F"/>
    <w:rsid w:val="00821789"/>
    <w:rsid w:val="008220C0"/>
    <w:rsid w:val="008233C7"/>
    <w:rsid w:val="008236A9"/>
    <w:rsid w:val="00824793"/>
    <w:rsid w:val="00824CEC"/>
    <w:rsid w:val="0082628A"/>
    <w:rsid w:val="0082711D"/>
    <w:rsid w:val="00827299"/>
    <w:rsid w:val="00831227"/>
    <w:rsid w:val="00831268"/>
    <w:rsid w:val="008321D7"/>
    <w:rsid w:val="008322BB"/>
    <w:rsid w:val="00832376"/>
    <w:rsid w:val="008325E4"/>
    <w:rsid w:val="00832BE9"/>
    <w:rsid w:val="00833FA0"/>
    <w:rsid w:val="00834255"/>
    <w:rsid w:val="00834EBF"/>
    <w:rsid w:val="00835014"/>
    <w:rsid w:val="0083537B"/>
    <w:rsid w:val="00835814"/>
    <w:rsid w:val="008361BC"/>
    <w:rsid w:val="008364D4"/>
    <w:rsid w:val="00836733"/>
    <w:rsid w:val="0083707C"/>
    <w:rsid w:val="0084000B"/>
    <w:rsid w:val="00840E1E"/>
    <w:rsid w:val="00841656"/>
    <w:rsid w:val="00841918"/>
    <w:rsid w:val="008424E1"/>
    <w:rsid w:val="00842861"/>
    <w:rsid w:val="00842A85"/>
    <w:rsid w:val="00843410"/>
    <w:rsid w:val="008436C4"/>
    <w:rsid w:val="008438C6"/>
    <w:rsid w:val="008438F4"/>
    <w:rsid w:val="00844895"/>
    <w:rsid w:val="00844EFE"/>
    <w:rsid w:val="00845267"/>
    <w:rsid w:val="00845555"/>
    <w:rsid w:val="008456D7"/>
    <w:rsid w:val="00846969"/>
    <w:rsid w:val="00846A3C"/>
    <w:rsid w:val="00846B1A"/>
    <w:rsid w:val="00847395"/>
    <w:rsid w:val="008473AB"/>
    <w:rsid w:val="008474B2"/>
    <w:rsid w:val="008478D5"/>
    <w:rsid w:val="00847B4B"/>
    <w:rsid w:val="00847EFA"/>
    <w:rsid w:val="00851472"/>
    <w:rsid w:val="00851927"/>
    <w:rsid w:val="00852131"/>
    <w:rsid w:val="008526E5"/>
    <w:rsid w:val="00852BE6"/>
    <w:rsid w:val="00852F55"/>
    <w:rsid w:val="00853880"/>
    <w:rsid w:val="008538DB"/>
    <w:rsid w:val="00853BC2"/>
    <w:rsid w:val="008542A7"/>
    <w:rsid w:val="008545F9"/>
    <w:rsid w:val="008548BA"/>
    <w:rsid w:val="008549B6"/>
    <w:rsid w:val="008550AB"/>
    <w:rsid w:val="008555B9"/>
    <w:rsid w:val="00855E5E"/>
    <w:rsid w:val="008565B5"/>
    <w:rsid w:val="00857A31"/>
    <w:rsid w:val="00857E62"/>
    <w:rsid w:val="0086013F"/>
    <w:rsid w:val="00860942"/>
    <w:rsid w:val="00860A4E"/>
    <w:rsid w:val="00860D2D"/>
    <w:rsid w:val="00861AA7"/>
    <w:rsid w:val="00861C2C"/>
    <w:rsid w:val="00862C59"/>
    <w:rsid w:val="008633FF"/>
    <w:rsid w:val="00864016"/>
    <w:rsid w:val="0086438F"/>
    <w:rsid w:val="00864496"/>
    <w:rsid w:val="008648E9"/>
    <w:rsid w:val="0086569B"/>
    <w:rsid w:val="00865FDC"/>
    <w:rsid w:val="00866794"/>
    <w:rsid w:val="00867B0E"/>
    <w:rsid w:val="00867BF2"/>
    <w:rsid w:val="008703EB"/>
    <w:rsid w:val="008704D1"/>
    <w:rsid w:val="00870A1D"/>
    <w:rsid w:val="00870AF9"/>
    <w:rsid w:val="00871329"/>
    <w:rsid w:val="00871850"/>
    <w:rsid w:val="008723E0"/>
    <w:rsid w:val="00873E54"/>
    <w:rsid w:val="00873FE3"/>
    <w:rsid w:val="00875490"/>
    <w:rsid w:val="00875C09"/>
    <w:rsid w:val="00875DAC"/>
    <w:rsid w:val="00875F83"/>
    <w:rsid w:val="00876920"/>
    <w:rsid w:val="00876BE9"/>
    <w:rsid w:val="00876BF5"/>
    <w:rsid w:val="00876D6A"/>
    <w:rsid w:val="0087716C"/>
    <w:rsid w:val="008773BF"/>
    <w:rsid w:val="008775DF"/>
    <w:rsid w:val="00877CD0"/>
    <w:rsid w:val="008800DE"/>
    <w:rsid w:val="008801DE"/>
    <w:rsid w:val="00881852"/>
    <w:rsid w:val="00882B6C"/>
    <w:rsid w:val="00882B9D"/>
    <w:rsid w:val="00882DC5"/>
    <w:rsid w:val="00882F74"/>
    <w:rsid w:val="008839C7"/>
    <w:rsid w:val="00883EAF"/>
    <w:rsid w:val="00884EEA"/>
    <w:rsid w:val="00885088"/>
    <w:rsid w:val="008854DF"/>
    <w:rsid w:val="00885CE4"/>
    <w:rsid w:val="0088652D"/>
    <w:rsid w:val="00886CA9"/>
    <w:rsid w:val="00886E68"/>
    <w:rsid w:val="008903A1"/>
    <w:rsid w:val="0089041C"/>
    <w:rsid w:val="00890C9D"/>
    <w:rsid w:val="00891533"/>
    <w:rsid w:val="00891739"/>
    <w:rsid w:val="00891C1F"/>
    <w:rsid w:val="00891CE8"/>
    <w:rsid w:val="008925D0"/>
    <w:rsid w:val="00892AE5"/>
    <w:rsid w:val="00892BA7"/>
    <w:rsid w:val="00892F67"/>
    <w:rsid w:val="008937EA"/>
    <w:rsid w:val="008937FB"/>
    <w:rsid w:val="0089473C"/>
    <w:rsid w:val="00894B65"/>
    <w:rsid w:val="00894C01"/>
    <w:rsid w:val="0089505E"/>
    <w:rsid w:val="00895A0F"/>
    <w:rsid w:val="00895AB7"/>
    <w:rsid w:val="00895DE4"/>
    <w:rsid w:val="00895E77"/>
    <w:rsid w:val="008963B0"/>
    <w:rsid w:val="00896565"/>
    <w:rsid w:val="0089684D"/>
    <w:rsid w:val="0089766D"/>
    <w:rsid w:val="00897895"/>
    <w:rsid w:val="008A0067"/>
    <w:rsid w:val="008A02E6"/>
    <w:rsid w:val="008A0D91"/>
    <w:rsid w:val="008A151E"/>
    <w:rsid w:val="008A1BB1"/>
    <w:rsid w:val="008A216D"/>
    <w:rsid w:val="008A27F6"/>
    <w:rsid w:val="008A2907"/>
    <w:rsid w:val="008A303C"/>
    <w:rsid w:val="008A324A"/>
    <w:rsid w:val="008A3BBA"/>
    <w:rsid w:val="008A3CE8"/>
    <w:rsid w:val="008A5307"/>
    <w:rsid w:val="008A5B61"/>
    <w:rsid w:val="008A5C0B"/>
    <w:rsid w:val="008A5E99"/>
    <w:rsid w:val="008A640E"/>
    <w:rsid w:val="008A694D"/>
    <w:rsid w:val="008A716E"/>
    <w:rsid w:val="008A7429"/>
    <w:rsid w:val="008A7DFB"/>
    <w:rsid w:val="008B1733"/>
    <w:rsid w:val="008B1DDC"/>
    <w:rsid w:val="008B2035"/>
    <w:rsid w:val="008B2718"/>
    <w:rsid w:val="008B2F47"/>
    <w:rsid w:val="008B3246"/>
    <w:rsid w:val="008B3CA5"/>
    <w:rsid w:val="008B3E7B"/>
    <w:rsid w:val="008B4747"/>
    <w:rsid w:val="008B522A"/>
    <w:rsid w:val="008B56E3"/>
    <w:rsid w:val="008B58BA"/>
    <w:rsid w:val="008B5F7A"/>
    <w:rsid w:val="008B63A5"/>
    <w:rsid w:val="008B72B0"/>
    <w:rsid w:val="008C1A51"/>
    <w:rsid w:val="008C265A"/>
    <w:rsid w:val="008C2BCD"/>
    <w:rsid w:val="008C331F"/>
    <w:rsid w:val="008C362E"/>
    <w:rsid w:val="008C3F72"/>
    <w:rsid w:val="008C40DE"/>
    <w:rsid w:val="008C414A"/>
    <w:rsid w:val="008C4157"/>
    <w:rsid w:val="008C41F0"/>
    <w:rsid w:val="008C4623"/>
    <w:rsid w:val="008C5315"/>
    <w:rsid w:val="008C53A8"/>
    <w:rsid w:val="008C6452"/>
    <w:rsid w:val="008C6A91"/>
    <w:rsid w:val="008D056E"/>
    <w:rsid w:val="008D0E0F"/>
    <w:rsid w:val="008D182C"/>
    <w:rsid w:val="008D196F"/>
    <w:rsid w:val="008D1BD8"/>
    <w:rsid w:val="008D1CDD"/>
    <w:rsid w:val="008D1D33"/>
    <w:rsid w:val="008D2750"/>
    <w:rsid w:val="008D28A6"/>
    <w:rsid w:val="008D2B40"/>
    <w:rsid w:val="008D2F2F"/>
    <w:rsid w:val="008D2FA5"/>
    <w:rsid w:val="008D3047"/>
    <w:rsid w:val="008D3362"/>
    <w:rsid w:val="008D3CCC"/>
    <w:rsid w:val="008D475D"/>
    <w:rsid w:val="008D48D3"/>
    <w:rsid w:val="008D4B0D"/>
    <w:rsid w:val="008D4CF8"/>
    <w:rsid w:val="008D4D67"/>
    <w:rsid w:val="008D50DE"/>
    <w:rsid w:val="008D5874"/>
    <w:rsid w:val="008D7295"/>
    <w:rsid w:val="008D7CD1"/>
    <w:rsid w:val="008D7E48"/>
    <w:rsid w:val="008D7F69"/>
    <w:rsid w:val="008E0436"/>
    <w:rsid w:val="008E0D69"/>
    <w:rsid w:val="008E0EDC"/>
    <w:rsid w:val="008E103D"/>
    <w:rsid w:val="008E1606"/>
    <w:rsid w:val="008E1FD6"/>
    <w:rsid w:val="008E2126"/>
    <w:rsid w:val="008E2BF7"/>
    <w:rsid w:val="008E2DB7"/>
    <w:rsid w:val="008E3402"/>
    <w:rsid w:val="008E3666"/>
    <w:rsid w:val="008E3A35"/>
    <w:rsid w:val="008E3AF1"/>
    <w:rsid w:val="008E3B25"/>
    <w:rsid w:val="008E3B57"/>
    <w:rsid w:val="008E3BE9"/>
    <w:rsid w:val="008E3CF2"/>
    <w:rsid w:val="008E3F5D"/>
    <w:rsid w:val="008E4E84"/>
    <w:rsid w:val="008E53B3"/>
    <w:rsid w:val="008E627C"/>
    <w:rsid w:val="008E63DA"/>
    <w:rsid w:val="008E6A1C"/>
    <w:rsid w:val="008E7383"/>
    <w:rsid w:val="008E77F4"/>
    <w:rsid w:val="008E7DD5"/>
    <w:rsid w:val="008F045B"/>
    <w:rsid w:val="008F0627"/>
    <w:rsid w:val="008F062F"/>
    <w:rsid w:val="008F0FF0"/>
    <w:rsid w:val="008F110E"/>
    <w:rsid w:val="008F156B"/>
    <w:rsid w:val="008F174B"/>
    <w:rsid w:val="008F21FA"/>
    <w:rsid w:val="008F22EE"/>
    <w:rsid w:val="008F28CA"/>
    <w:rsid w:val="008F2FCF"/>
    <w:rsid w:val="008F3298"/>
    <w:rsid w:val="008F394D"/>
    <w:rsid w:val="008F4248"/>
    <w:rsid w:val="008F5021"/>
    <w:rsid w:val="008F6B4A"/>
    <w:rsid w:val="008F6B55"/>
    <w:rsid w:val="008F6B9D"/>
    <w:rsid w:val="008F71FD"/>
    <w:rsid w:val="00900BCA"/>
    <w:rsid w:val="00900FA5"/>
    <w:rsid w:val="009010F3"/>
    <w:rsid w:val="009017E3"/>
    <w:rsid w:val="00901A31"/>
    <w:rsid w:val="00902282"/>
    <w:rsid w:val="00902F6F"/>
    <w:rsid w:val="0090306F"/>
    <w:rsid w:val="009033D5"/>
    <w:rsid w:val="00903911"/>
    <w:rsid w:val="00903B52"/>
    <w:rsid w:val="00904394"/>
    <w:rsid w:val="00904424"/>
    <w:rsid w:val="009048A4"/>
    <w:rsid w:val="009048E5"/>
    <w:rsid w:val="00904BB1"/>
    <w:rsid w:val="00904E02"/>
    <w:rsid w:val="00904E71"/>
    <w:rsid w:val="009055CB"/>
    <w:rsid w:val="0090630F"/>
    <w:rsid w:val="00906348"/>
    <w:rsid w:val="00906C21"/>
    <w:rsid w:val="00906F78"/>
    <w:rsid w:val="00910663"/>
    <w:rsid w:val="00910741"/>
    <w:rsid w:val="00910970"/>
    <w:rsid w:val="0091157F"/>
    <w:rsid w:val="00911A6E"/>
    <w:rsid w:val="00911CB2"/>
    <w:rsid w:val="009123DC"/>
    <w:rsid w:val="00913689"/>
    <w:rsid w:val="009138FE"/>
    <w:rsid w:val="00913A45"/>
    <w:rsid w:val="00914131"/>
    <w:rsid w:val="00914DFC"/>
    <w:rsid w:val="0091538D"/>
    <w:rsid w:val="009158CD"/>
    <w:rsid w:val="00915BB7"/>
    <w:rsid w:val="00915DD5"/>
    <w:rsid w:val="00915EAC"/>
    <w:rsid w:val="00916614"/>
    <w:rsid w:val="00916B9F"/>
    <w:rsid w:val="00916C9F"/>
    <w:rsid w:val="00917289"/>
    <w:rsid w:val="0091733D"/>
    <w:rsid w:val="009205C6"/>
    <w:rsid w:val="00920B21"/>
    <w:rsid w:val="00921439"/>
    <w:rsid w:val="00921852"/>
    <w:rsid w:val="0092185E"/>
    <w:rsid w:val="009220F7"/>
    <w:rsid w:val="0092261B"/>
    <w:rsid w:val="00922A3B"/>
    <w:rsid w:val="0092313D"/>
    <w:rsid w:val="00923346"/>
    <w:rsid w:val="00924F10"/>
    <w:rsid w:val="0092532E"/>
    <w:rsid w:val="00925E80"/>
    <w:rsid w:val="009261EB"/>
    <w:rsid w:val="0092647A"/>
    <w:rsid w:val="00926A30"/>
    <w:rsid w:val="00926A7B"/>
    <w:rsid w:val="00927167"/>
    <w:rsid w:val="00927DE0"/>
    <w:rsid w:val="00930FA4"/>
    <w:rsid w:val="009315E7"/>
    <w:rsid w:val="00931E81"/>
    <w:rsid w:val="00932F00"/>
    <w:rsid w:val="0093321D"/>
    <w:rsid w:val="009335ED"/>
    <w:rsid w:val="00933CDF"/>
    <w:rsid w:val="009346E5"/>
    <w:rsid w:val="009358E6"/>
    <w:rsid w:val="00935AB3"/>
    <w:rsid w:val="0093647C"/>
    <w:rsid w:val="00937B34"/>
    <w:rsid w:val="00937C90"/>
    <w:rsid w:val="00937ECC"/>
    <w:rsid w:val="009404A4"/>
    <w:rsid w:val="00940873"/>
    <w:rsid w:val="00941C61"/>
    <w:rsid w:val="00941EFB"/>
    <w:rsid w:val="009426E2"/>
    <w:rsid w:val="00942C22"/>
    <w:rsid w:val="0094338C"/>
    <w:rsid w:val="00943B06"/>
    <w:rsid w:val="00945025"/>
    <w:rsid w:val="00945FA7"/>
    <w:rsid w:val="0094602B"/>
    <w:rsid w:val="009467D4"/>
    <w:rsid w:val="009470E7"/>
    <w:rsid w:val="0094728F"/>
    <w:rsid w:val="00947330"/>
    <w:rsid w:val="00947C73"/>
    <w:rsid w:val="00950495"/>
    <w:rsid w:val="009505A2"/>
    <w:rsid w:val="00950F7B"/>
    <w:rsid w:val="00951759"/>
    <w:rsid w:val="0095194C"/>
    <w:rsid w:val="00951A6E"/>
    <w:rsid w:val="00951C19"/>
    <w:rsid w:val="00951E0F"/>
    <w:rsid w:val="009526E9"/>
    <w:rsid w:val="00952BA9"/>
    <w:rsid w:val="00952BED"/>
    <w:rsid w:val="00954503"/>
    <w:rsid w:val="0095572F"/>
    <w:rsid w:val="00955C0E"/>
    <w:rsid w:val="00955CAF"/>
    <w:rsid w:val="0095629E"/>
    <w:rsid w:val="00956663"/>
    <w:rsid w:val="0095668D"/>
    <w:rsid w:val="00956929"/>
    <w:rsid w:val="009569D7"/>
    <w:rsid w:val="0095724F"/>
    <w:rsid w:val="0095750D"/>
    <w:rsid w:val="009617BE"/>
    <w:rsid w:val="00961E99"/>
    <w:rsid w:val="009622A2"/>
    <w:rsid w:val="00963695"/>
    <w:rsid w:val="00963BE7"/>
    <w:rsid w:val="00964119"/>
    <w:rsid w:val="00964474"/>
    <w:rsid w:val="00964B0C"/>
    <w:rsid w:val="00964DA2"/>
    <w:rsid w:val="00965258"/>
    <w:rsid w:val="00965C21"/>
    <w:rsid w:val="009660A0"/>
    <w:rsid w:val="00966590"/>
    <w:rsid w:val="00967428"/>
    <w:rsid w:val="00967AEC"/>
    <w:rsid w:val="0097008B"/>
    <w:rsid w:val="0097031F"/>
    <w:rsid w:val="009717C4"/>
    <w:rsid w:val="00971973"/>
    <w:rsid w:val="00972811"/>
    <w:rsid w:val="00973F5B"/>
    <w:rsid w:val="009750A4"/>
    <w:rsid w:val="00975444"/>
    <w:rsid w:val="009755AD"/>
    <w:rsid w:val="00975BB0"/>
    <w:rsid w:val="00975E47"/>
    <w:rsid w:val="00976068"/>
    <w:rsid w:val="009761D8"/>
    <w:rsid w:val="00976396"/>
    <w:rsid w:val="009763C5"/>
    <w:rsid w:val="0097673A"/>
    <w:rsid w:val="00976FB7"/>
    <w:rsid w:val="00977BFF"/>
    <w:rsid w:val="00977CAA"/>
    <w:rsid w:val="0098014D"/>
    <w:rsid w:val="0098072A"/>
    <w:rsid w:val="00980761"/>
    <w:rsid w:val="009807F1"/>
    <w:rsid w:val="00980857"/>
    <w:rsid w:val="00980DE5"/>
    <w:rsid w:val="009812BA"/>
    <w:rsid w:val="00981B25"/>
    <w:rsid w:val="00983329"/>
    <w:rsid w:val="0098393C"/>
    <w:rsid w:val="009843F7"/>
    <w:rsid w:val="009844E7"/>
    <w:rsid w:val="00984643"/>
    <w:rsid w:val="00984B64"/>
    <w:rsid w:val="009858DB"/>
    <w:rsid w:val="00985979"/>
    <w:rsid w:val="009859CE"/>
    <w:rsid w:val="00985C4E"/>
    <w:rsid w:val="00985F88"/>
    <w:rsid w:val="0098654A"/>
    <w:rsid w:val="00986766"/>
    <w:rsid w:val="00990441"/>
    <w:rsid w:val="009907F7"/>
    <w:rsid w:val="00990800"/>
    <w:rsid w:val="00990F9B"/>
    <w:rsid w:val="009910C4"/>
    <w:rsid w:val="00991637"/>
    <w:rsid w:val="00991C1A"/>
    <w:rsid w:val="00992174"/>
    <w:rsid w:val="00992365"/>
    <w:rsid w:val="00993328"/>
    <w:rsid w:val="009934C6"/>
    <w:rsid w:val="009936BD"/>
    <w:rsid w:val="009936CA"/>
    <w:rsid w:val="009941C7"/>
    <w:rsid w:val="00994753"/>
    <w:rsid w:val="00994854"/>
    <w:rsid w:val="00994D9F"/>
    <w:rsid w:val="00995002"/>
    <w:rsid w:val="00995201"/>
    <w:rsid w:val="0099681E"/>
    <w:rsid w:val="00997B8A"/>
    <w:rsid w:val="009A16D7"/>
    <w:rsid w:val="009A1B28"/>
    <w:rsid w:val="009A22C0"/>
    <w:rsid w:val="009A2334"/>
    <w:rsid w:val="009A305A"/>
    <w:rsid w:val="009A4099"/>
    <w:rsid w:val="009A4548"/>
    <w:rsid w:val="009A483C"/>
    <w:rsid w:val="009A48D5"/>
    <w:rsid w:val="009A6094"/>
    <w:rsid w:val="009A61BE"/>
    <w:rsid w:val="009A676B"/>
    <w:rsid w:val="009A69B0"/>
    <w:rsid w:val="009A7434"/>
    <w:rsid w:val="009A79ED"/>
    <w:rsid w:val="009A7B4F"/>
    <w:rsid w:val="009A7CC0"/>
    <w:rsid w:val="009A7DA5"/>
    <w:rsid w:val="009B00FE"/>
    <w:rsid w:val="009B099C"/>
    <w:rsid w:val="009B0ED6"/>
    <w:rsid w:val="009B14B5"/>
    <w:rsid w:val="009B15BE"/>
    <w:rsid w:val="009B16B3"/>
    <w:rsid w:val="009B185C"/>
    <w:rsid w:val="009B2247"/>
    <w:rsid w:val="009B26BA"/>
    <w:rsid w:val="009B34AB"/>
    <w:rsid w:val="009B37ED"/>
    <w:rsid w:val="009B43F1"/>
    <w:rsid w:val="009B50C4"/>
    <w:rsid w:val="009B5253"/>
    <w:rsid w:val="009B5257"/>
    <w:rsid w:val="009B5F50"/>
    <w:rsid w:val="009B6475"/>
    <w:rsid w:val="009B668E"/>
    <w:rsid w:val="009B6A76"/>
    <w:rsid w:val="009B6BEA"/>
    <w:rsid w:val="009B7115"/>
    <w:rsid w:val="009B76CD"/>
    <w:rsid w:val="009B7A1A"/>
    <w:rsid w:val="009C0334"/>
    <w:rsid w:val="009C0CF8"/>
    <w:rsid w:val="009C1464"/>
    <w:rsid w:val="009C1529"/>
    <w:rsid w:val="009C159E"/>
    <w:rsid w:val="009C2393"/>
    <w:rsid w:val="009C26CB"/>
    <w:rsid w:val="009C31F4"/>
    <w:rsid w:val="009C3670"/>
    <w:rsid w:val="009C41D6"/>
    <w:rsid w:val="009C454E"/>
    <w:rsid w:val="009C4A3A"/>
    <w:rsid w:val="009C5306"/>
    <w:rsid w:val="009C5612"/>
    <w:rsid w:val="009C57FB"/>
    <w:rsid w:val="009C5E61"/>
    <w:rsid w:val="009C611B"/>
    <w:rsid w:val="009C6506"/>
    <w:rsid w:val="009C655F"/>
    <w:rsid w:val="009C68D8"/>
    <w:rsid w:val="009C6A87"/>
    <w:rsid w:val="009C70DF"/>
    <w:rsid w:val="009C74DF"/>
    <w:rsid w:val="009D0568"/>
    <w:rsid w:val="009D0B1A"/>
    <w:rsid w:val="009D13DF"/>
    <w:rsid w:val="009D203D"/>
    <w:rsid w:val="009D2194"/>
    <w:rsid w:val="009D2AF3"/>
    <w:rsid w:val="009D2F96"/>
    <w:rsid w:val="009D32F1"/>
    <w:rsid w:val="009D3483"/>
    <w:rsid w:val="009D361C"/>
    <w:rsid w:val="009D36C4"/>
    <w:rsid w:val="009D3BED"/>
    <w:rsid w:val="009D4CFE"/>
    <w:rsid w:val="009D538C"/>
    <w:rsid w:val="009D5494"/>
    <w:rsid w:val="009D592F"/>
    <w:rsid w:val="009D7C6A"/>
    <w:rsid w:val="009E0115"/>
    <w:rsid w:val="009E1935"/>
    <w:rsid w:val="009E23D7"/>
    <w:rsid w:val="009E295E"/>
    <w:rsid w:val="009E39F0"/>
    <w:rsid w:val="009E3CC5"/>
    <w:rsid w:val="009E3F9E"/>
    <w:rsid w:val="009E47FE"/>
    <w:rsid w:val="009E492C"/>
    <w:rsid w:val="009E4F16"/>
    <w:rsid w:val="009E5638"/>
    <w:rsid w:val="009E5825"/>
    <w:rsid w:val="009E5B6C"/>
    <w:rsid w:val="009E5E17"/>
    <w:rsid w:val="009E6256"/>
    <w:rsid w:val="009E6A25"/>
    <w:rsid w:val="009E7488"/>
    <w:rsid w:val="009E7BDB"/>
    <w:rsid w:val="009F00BB"/>
    <w:rsid w:val="009F0B46"/>
    <w:rsid w:val="009F177E"/>
    <w:rsid w:val="009F1F69"/>
    <w:rsid w:val="009F22E9"/>
    <w:rsid w:val="009F25C9"/>
    <w:rsid w:val="009F2C99"/>
    <w:rsid w:val="009F2D13"/>
    <w:rsid w:val="009F3117"/>
    <w:rsid w:val="009F34D9"/>
    <w:rsid w:val="009F4B63"/>
    <w:rsid w:val="009F5006"/>
    <w:rsid w:val="009F5E5F"/>
    <w:rsid w:val="009F672D"/>
    <w:rsid w:val="009F6838"/>
    <w:rsid w:val="009F698B"/>
    <w:rsid w:val="009F6AA4"/>
    <w:rsid w:val="009F7236"/>
    <w:rsid w:val="009F752F"/>
    <w:rsid w:val="009F788C"/>
    <w:rsid w:val="009F7A1A"/>
    <w:rsid w:val="009F7F3A"/>
    <w:rsid w:val="00A011E1"/>
    <w:rsid w:val="00A01C32"/>
    <w:rsid w:val="00A02232"/>
    <w:rsid w:val="00A022E0"/>
    <w:rsid w:val="00A0239F"/>
    <w:rsid w:val="00A028A3"/>
    <w:rsid w:val="00A02998"/>
    <w:rsid w:val="00A04EF0"/>
    <w:rsid w:val="00A05120"/>
    <w:rsid w:val="00A057A2"/>
    <w:rsid w:val="00A05D8A"/>
    <w:rsid w:val="00A075E6"/>
    <w:rsid w:val="00A07726"/>
    <w:rsid w:val="00A07B70"/>
    <w:rsid w:val="00A104C0"/>
    <w:rsid w:val="00A10760"/>
    <w:rsid w:val="00A10919"/>
    <w:rsid w:val="00A10DE6"/>
    <w:rsid w:val="00A10F24"/>
    <w:rsid w:val="00A11FAC"/>
    <w:rsid w:val="00A121F9"/>
    <w:rsid w:val="00A12601"/>
    <w:rsid w:val="00A12708"/>
    <w:rsid w:val="00A12913"/>
    <w:rsid w:val="00A134F9"/>
    <w:rsid w:val="00A13883"/>
    <w:rsid w:val="00A148F9"/>
    <w:rsid w:val="00A15854"/>
    <w:rsid w:val="00A159CC"/>
    <w:rsid w:val="00A15ECC"/>
    <w:rsid w:val="00A16033"/>
    <w:rsid w:val="00A1616E"/>
    <w:rsid w:val="00A16882"/>
    <w:rsid w:val="00A16888"/>
    <w:rsid w:val="00A17AB7"/>
    <w:rsid w:val="00A21197"/>
    <w:rsid w:val="00A21AD0"/>
    <w:rsid w:val="00A21DB1"/>
    <w:rsid w:val="00A22CBC"/>
    <w:rsid w:val="00A22CDE"/>
    <w:rsid w:val="00A22DFE"/>
    <w:rsid w:val="00A23C11"/>
    <w:rsid w:val="00A2473D"/>
    <w:rsid w:val="00A249C0"/>
    <w:rsid w:val="00A24ABF"/>
    <w:rsid w:val="00A24C02"/>
    <w:rsid w:val="00A25770"/>
    <w:rsid w:val="00A25B16"/>
    <w:rsid w:val="00A25DE7"/>
    <w:rsid w:val="00A26BAC"/>
    <w:rsid w:val="00A2792C"/>
    <w:rsid w:val="00A27DA4"/>
    <w:rsid w:val="00A27F66"/>
    <w:rsid w:val="00A27FE8"/>
    <w:rsid w:val="00A30251"/>
    <w:rsid w:val="00A30454"/>
    <w:rsid w:val="00A3098D"/>
    <w:rsid w:val="00A30A56"/>
    <w:rsid w:val="00A31046"/>
    <w:rsid w:val="00A31972"/>
    <w:rsid w:val="00A31FA2"/>
    <w:rsid w:val="00A32073"/>
    <w:rsid w:val="00A3294A"/>
    <w:rsid w:val="00A32C07"/>
    <w:rsid w:val="00A32C5E"/>
    <w:rsid w:val="00A34A5C"/>
    <w:rsid w:val="00A35649"/>
    <w:rsid w:val="00A35A9D"/>
    <w:rsid w:val="00A36D9B"/>
    <w:rsid w:val="00A373C8"/>
    <w:rsid w:val="00A37B1A"/>
    <w:rsid w:val="00A37D84"/>
    <w:rsid w:val="00A40A46"/>
    <w:rsid w:val="00A40CB3"/>
    <w:rsid w:val="00A40FA2"/>
    <w:rsid w:val="00A4114B"/>
    <w:rsid w:val="00A415CB"/>
    <w:rsid w:val="00A418FE"/>
    <w:rsid w:val="00A428F2"/>
    <w:rsid w:val="00A4301F"/>
    <w:rsid w:val="00A43B4A"/>
    <w:rsid w:val="00A44066"/>
    <w:rsid w:val="00A441B9"/>
    <w:rsid w:val="00A4424A"/>
    <w:rsid w:val="00A443CE"/>
    <w:rsid w:val="00A44A7D"/>
    <w:rsid w:val="00A44DA1"/>
    <w:rsid w:val="00A468E1"/>
    <w:rsid w:val="00A46D46"/>
    <w:rsid w:val="00A46F23"/>
    <w:rsid w:val="00A473D1"/>
    <w:rsid w:val="00A476BE"/>
    <w:rsid w:val="00A47DB9"/>
    <w:rsid w:val="00A50785"/>
    <w:rsid w:val="00A5078B"/>
    <w:rsid w:val="00A50F3D"/>
    <w:rsid w:val="00A5175C"/>
    <w:rsid w:val="00A51EF2"/>
    <w:rsid w:val="00A525A6"/>
    <w:rsid w:val="00A52E35"/>
    <w:rsid w:val="00A52ED2"/>
    <w:rsid w:val="00A53411"/>
    <w:rsid w:val="00A56400"/>
    <w:rsid w:val="00A5748D"/>
    <w:rsid w:val="00A57643"/>
    <w:rsid w:val="00A600C9"/>
    <w:rsid w:val="00A60D4C"/>
    <w:rsid w:val="00A6192F"/>
    <w:rsid w:val="00A6196B"/>
    <w:rsid w:val="00A62551"/>
    <w:rsid w:val="00A636D2"/>
    <w:rsid w:val="00A63EF0"/>
    <w:rsid w:val="00A64604"/>
    <w:rsid w:val="00A64C1B"/>
    <w:rsid w:val="00A651EF"/>
    <w:rsid w:val="00A651FF"/>
    <w:rsid w:val="00A65D62"/>
    <w:rsid w:val="00A66A5C"/>
    <w:rsid w:val="00A66C58"/>
    <w:rsid w:val="00A66FF8"/>
    <w:rsid w:val="00A676A2"/>
    <w:rsid w:val="00A67939"/>
    <w:rsid w:val="00A67E7F"/>
    <w:rsid w:val="00A71C02"/>
    <w:rsid w:val="00A72588"/>
    <w:rsid w:val="00A74D79"/>
    <w:rsid w:val="00A758C5"/>
    <w:rsid w:val="00A75F03"/>
    <w:rsid w:val="00A75FEC"/>
    <w:rsid w:val="00A776E1"/>
    <w:rsid w:val="00A77726"/>
    <w:rsid w:val="00A77AE9"/>
    <w:rsid w:val="00A77C02"/>
    <w:rsid w:val="00A77D4C"/>
    <w:rsid w:val="00A80743"/>
    <w:rsid w:val="00A80A17"/>
    <w:rsid w:val="00A815A6"/>
    <w:rsid w:val="00A81709"/>
    <w:rsid w:val="00A81BF5"/>
    <w:rsid w:val="00A81DE9"/>
    <w:rsid w:val="00A82167"/>
    <w:rsid w:val="00A824DD"/>
    <w:rsid w:val="00A82713"/>
    <w:rsid w:val="00A827E9"/>
    <w:rsid w:val="00A83160"/>
    <w:rsid w:val="00A84060"/>
    <w:rsid w:val="00A8457A"/>
    <w:rsid w:val="00A84609"/>
    <w:rsid w:val="00A8480F"/>
    <w:rsid w:val="00A84AF7"/>
    <w:rsid w:val="00A85F4F"/>
    <w:rsid w:val="00A86667"/>
    <w:rsid w:val="00A86999"/>
    <w:rsid w:val="00A86AA2"/>
    <w:rsid w:val="00A86B0B"/>
    <w:rsid w:val="00A86C7D"/>
    <w:rsid w:val="00A871AB"/>
    <w:rsid w:val="00A871B9"/>
    <w:rsid w:val="00A87755"/>
    <w:rsid w:val="00A87CAF"/>
    <w:rsid w:val="00A9094C"/>
    <w:rsid w:val="00A90B3E"/>
    <w:rsid w:val="00A90CEB"/>
    <w:rsid w:val="00A91476"/>
    <w:rsid w:val="00A91733"/>
    <w:rsid w:val="00A91ABE"/>
    <w:rsid w:val="00A9275D"/>
    <w:rsid w:val="00A9280C"/>
    <w:rsid w:val="00A92B2B"/>
    <w:rsid w:val="00A92D1F"/>
    <w:rsid w:val="00A9302F"/>
    <w:rsid w:val="00A934AA"/>
    <w:rsid w:val="00A93651"/>
    <w:rsid w:val="00A937E3"/>
    <w:rsid w:val="00A939C9"/>
    <w:rsid w:val="00A93B52"/>
    <w:rsid w:val="00A948D9"/>
    <w:rsid w:val="00A94935"/>
    <w:rsid w:val="00A94AB3"/>
    <w:rsid w:val="00A94C85"/>
    <w:rsid w:val="00A95D69"/>
    <w:rsid w:val="00A95F2D"/>
    <w:rsid w:val="00A96754"/>
    <w:rsid w:val="00A96B8A"/>
    <w:rsid w:val="00A976F2"/>
    <w:rsid w:val="00A97897"/>
    <w:rsid w:val="00AA0285"/>
    <w:rsid w:val="00AA0DA7"/>
    <w:rsid w:val="00AA1747"/>
    <w:rsid w:val="00AA1B02"/>
    <w:rsid w:val="00AA1EB6"/>
    <w:rsid w:val="00AA2150"/>
    <w:rsid w:val="00AA2CD3"/>
    <w:rsid w:val="00AA324E"/>
    <w:rsid w:val="00AA37E8"/>
    <w:rsid w:val="00AA396C"/>
    <w:rsid w:val="00AA39AA"/>
    <w:rsid w:val="00AA3C11"/>
    <w:rsid w:val="00AA4345"/>
    <w:rsid w:val="00AA50E5"/>
    <w:rsid w:val="00AA64C1"/>
    <w:rsid w:val="00AA659F"/>
    <w:rsid w:val="00AA6E1B"/>
    <w:rsid w:val="00AA7041"/>
    <w:rsid w:val="00AA7088"/>
    <w:rsid w:val="00AA74B2"/>
    <w:rsid w:val="00AA7689"/>
    <w:rsid w:val="00AB01E2"/>
    <w:rsid w:val="00AB032A"/>
    <w:rsid w:val="00AB0C84"/>
    <w:rsid w:val="00AB176E"/>
    <w:rsid w:val="00AB1EC6"/>
    <w:rsid w:val="00AB232C"/>
    <w:rsid w:val="00AB2436"/>
    <w:rsid w:val="00AB2BAA"/>
    <w:rsid w:val="00AB3392"/>
    <w:rsid w:val="00AB3FFB"/>
    <w:rsid w:val="00AB4955"/>
    <w:rsid w:val="00AB5D46"/>
    <w:rsid w:val="00AB5DCE"/>
    <w:rsid w:val="00AB5F12"/>
    <w:rsid w:val="00AB6236"/>
    <w:rsid w:val="00AB65C0"/>
    <w:rsid w:val="00AB6662"/>
    <w:rsid w:val="00AB66B6"/>
    <w:rsid w:val="00AB6E57"/>
    <w:rsid w:val="00AB7A6D"/>
    <w:rsid w:val="00AC04FA"/>
    <w:rsid w:val="00AC05D7"/>
    <w:rsid w:val="00AC0A87"/>
    <w:rsid w:val="00AC1F70"/>
    <w:rsid w:val="00AC29D2"/>
    <w:rsid w:val="00AC2DB9"/>
    <w:rsid w:val="00AC2FAD"/>
    <w:rsid w:val="00AC324F"/>
    <w:rsid w:val="00AC32F4"/>
    <w:rsid w:val="00AC3529"/>
    <w:rsid w:val="00AC3962"/>
    <w:rsid w:val="00AC39E3"/>
    <w:rsid w:val="00AC3B3F"/>
    <w:rsid w:val="00AC3C77"/>
    <w:rsid w:val="00AC3FFD"/>
    <w:rsid w:val="00AC446C"/>
    <w:rsid w:val="00AC533D"/>
    <w:rsid w:val="00AC566B"/>
    <w:rsid w:val="00AC56F9"/>
    <w:rsid w:val="00AC58AF"/>
    <w:rsid w:val="00AC59A9"/>
    <w:rsid w:val="00AC5ECC"/>
    <w:rsid w:val="00AC628E"/>
    <w:rsid w:val="00AC6401"/>
    <w:rsid w:val="00AC6E7B"/>
    <w:rsid w:val="00AC7375"/>
    <w:rsid w:val="00AC741D"/>
    <w:rsid w:val="00AD0D4D"/>
    <w:rsid w:val="00AD11D9"/>
    <w:rsid w:val="00AD130A"/>
    <w:rsid w:val="00AD18DD"/>
    <w:rsid w:val="00AD1E20"/>
    <w:rsid w:val="00AD1F3C"/>
    <w:rsid w:val="00AD2120"/>
    <w:rsid w:val="00AD2E54"/>
    <w:rsid w:val="00AD3477"/>
    <w:rsid w:val="00AD44B3"/>
    <w:rsid w:val="00AD4837"/>
    <w:rsid w:val="00AD4B57"/>
    <w:rsid w:val="00AD5E71"/>
    <w:rsid w:val="00AD67F9"/>
    <w:rsid w:val="00AD7113"/>
    <w:rsid w:val="00AD717B"/>
    <w:rsid w:val="00AD731B"/>
    <w:rsid w:val="00AD7C35"/>
    <w:rsid w:val="00AE1103"/>
    <w:rsid w:val="00AE15E1"/>
    <w:rsid w:val="00AE18F9"/>
    <w:rsid w:val="00AE198B"/>
    <w:rsid w:val="00AE1E83"/>
    <w:rsid w:val="00AE2274"/>
    <w:rsid w:val="00AE22C4"/>
    <w:rsid w:val="00AE2F6D"/>
    <w:rsid w:val="00AE2F80"/>
    <w:rsid w:val="00AE2FF6"/>
    <w:rsid w:val="00AE30B2"/>
    <w:rsid w:val="00AE39FC"/>
    <w:rsid w:val="00AE3ED1"/>
    <w:rsid w:val="00AE3FFD"/>
    <w:rsid w:val="00AE4C24"/>
    <w:rsid w:val="00AE5EA9"/>
    <w:rsid w:val="00AE675B"/>
    <w:rsid w:val="00AE76A1"/>
    <w:rsid w:val="00AE79D3"/>
    <w:rsid w:val="00AF058B"/>
    <w:rsid w:val="00AF107A"/>
    <w:rsid w:val="00AF2905"/>
    <w:rsid w:val="00AF4081"/>
    <w:rsid w:val="00AF44FC"/>
    <w:rsid w:val="00AF4FD6"/>
    <w:rsid w:val="00AF560A"/>
    <w:rsid w:val="00AF570F"/>
    <w:rsid w:val="00AF5FC2"/>
    <w:rsid w:val="00AF6C8D"/>
    <w:rsid w:val="00AF73CA"/>
    <w:rsid w:val="00AF7BDA"/>
    <w:rsid w:val="00B00751"/>
    <w:rsid w:val="00B0105F"/>
    <w:rsid w:val="00B01285"/>
    <w:rsid w:val="00B01579"/>
    <w:rsid w:val="00B01762"/>
    <w:rsid w:val="00B02263"/>
    <w:rsid w:val="00B033DA"/>
    <w:rsid w:val="00B036C2"/>
    <w:rsid w:val="00B036E7"/>
    <w:rsid w:val="00B037DF"/>
    <w:rsid w:val="00B043B5"/>
    <w:rsid w:val="00B0488C"/>
    <w:rsid w:val="00B04A0A"/>
    <w:rsid w:val="00B04A5E"/>
    <w:rsid w:val="00B05095"/>
    <w:rsid w:val="00B053CA"/>
    <w:rsid w:val="00B0570C"/>
    <w:rsid w:val="00B061F8"/>
    <w:rsid w:val="00B06480"/>
    <w:rsid w:val="00B068DC"/>
    <w:rsid w:val="00B07CDD"/>
    <w:rsid w:val="00B07E69"/>
    <w:rsid w:val="00B10A90"/>
    <w:rsid w:val="00B10BB3"/>
    <w:rsid w:val="00B11C89"/>
    <w:rsid w:val="00B123A3"/>
    <w:rsid w:val="00B12802"/>
    <w:rsid w:val="00B128F6"/>
    <w:rsid w:val="00B13309"/>
    <w:rsid w:val="00B13C28"/>
    <w:rsid w:val="00B142D1"/>
    <w:rsid w:val="00B143F0"/>
    <w:rsid w:val="00B144CC"/>
    <w:rsid w:val="00B14A6D"/>
    <w:rsid w:val="00B15770"/>
    <w:rsid w:val="00B15A13"/>
    <w:rsid w:val="00B15EC6"/>
    <w:rsid w:val="00B16323"/>
    <w:rsid w:val="00B16736"/>
    <w:rsid w:val="00B16803"/>
    <w:rsid w:val="00B16DDE"/>
    <w:rsid w:val="00B177FB"/>
    <w:rsid w:val="00B207BD"/>
    <w:rsid w:val="00B21034"/>
    <w:rsid w:val="00B21477"/>
    <w:rsid w:val="00B224BD"/>
    <w:rsid w:val="00B23098"/>
    <w:rsid w:val="00B238C7"/>
    <w:rsid w:val="00B23B9C"/>
    <w:rsid w:val="00B24A53"/>
    <w:rsid w:val="00B24D04"/>
    <w:rsid w:val="00B24D32"/>
    <w:rsid w:val="00B25129"/>
    <w:rsid w:val="00B25284"/>
    <w:rsid w:val="00B257A0"/>
    <w:rsid w:val="00B2580A"/>
    <w:rsid w:val="00B25D34"/>
    <w:rsid w:val="00B26891"/>
    <w:rsid w:val="00B30E57"/>
    <w:rsid w:val="00B3112C"/>
    <w:rsid w:val="00B31869"/>
    <w:rsid w:val="00B3221E"/>
    <w:rsid w:val="00B326DB"/>
    <w:rsid w:val="00B326DD"/>
    <w:rsid w:val="00B329D8"/>
    <w:rsid w:val="00B32EDA"/>
    <w:rsid w:val="00B3349E"/>
    <w:rsid w:val="00B33945"/>
    <w:rsid w:val="00B345BF"/>
    <w:rsid w:val="00B34F26"/>
    <w:rsid w:val="00B3595F"/>
    <w:rsid w:val="00B3635E"/>
    <w:rsid w:val="00B367CA"/>
    <w:rsid w:val="00B36B88"/>
    <w:rsid w:val="00B401C2"/>
    <w:rsid w:val="00B40663"/>
    <w:rsid w:val="00B41529"/>
    <w:rsid w:val="00B41992"/>
    <w:rsid w:val="00B4248D"/>
    <w:rsid w:val="00B42D20"/>
    <w:rsid w:val="00B42E4A"/>
    <w:rsid w:val="00B434E2"/>
    <w:rsid w:val="00B44295"/>
    <w:rsid w:val="00B4447C"/>
    <w:rsid w:val="00B44756"/>
    <w:rsid w:val="00B44BFF"/>
    <w:rsid w:val="00B44D98"/>
    <w:rsid w:val="00B45826"/>
    <w:rsid w:val="00B45BB3"/>
    <w:rsid w:val="00B461C0"/>
    <w:rsid w:val="00B46420"/>
    <w:rsid w:val="00B46787"/>
    <w:rsid w:val="00B4716C"/>
    <w:rsid w:val="00B47282"/>
    <w:rsid w:val="00B506E0"/>
    <w:rsid w:val="00B50F78"/>
    <w:rsid w:val="00B5203D"/>
    <w:rsid w:val="00B52A58"/>
    <w:rsid w:val="00B53023"/>
    <w:rsid w:val="00B531E1"/>
    <w:rsid w:val="00B53367"/>
    <w:rsid w:val="00B534FB"/>
    <w:rsid w:val="00B54881"/>
    <w:rsid w:val="00B5518A"/>
    <w:rsid w:val="00B557EB"/>
    <w:rsid w:val="00B573BB"/>
    <w:rsid w:val="00B5797D"/>
    <w:rsid w:val="00B57D1D"/>
    <w:rsid w:val="00B60CCC"/>
    <w:rsid w:val="00B6147F"/>
    <w:rsid w:val="00B61B6B"/>
    <w:rsid w:val="00B61D12"/>
    <w:rsid w:val="00B6228B"/>
    <w:rsid w:val="00B6254A"/>
    <w:rsid w:val="00B62931"/>
    <w:rsid w:val="00B639DE"/>
    <w:rsid w:val="00B64330"/>
    <w:rsid w:val="00B64AFD"/>
    <w:rsid w:val="00B64B5F"/>
    <w:rsid w:val="00B6554C"/>
    <w:rsid w:val="00B6645B"/>
    <w:rsid w:val="00B66A92"/>
    <w:rsid w:val="00B671DD"/>
    <w:rsid w:val="00B673FF"/>
    <w:rsid w:val="00B70E58"/>
    <w:rsid w:val="00B7184D"/>
    <w:rsid w:val="00B71B53"/>
    <w:rsid w:val="00B734C2"/>
    <w:rsid w:val="00B737A9"/>
    <w:rsid w:val="00B7419D"/>
    <w:rsid w:val="00B74644"/>
    <w:rsid w:val="00B7535D"/>
    <w:rsid w:val="00B75653"/>
    <w:rsid w:val="00B765B3"/>
    <w:rsid w:val="00B76B0F"/>
    <w:rsid w:val="00B76C45"/>
    <w:rsid w:val="00B76FA5"/>
    <w:rsid w:val="00B770D2"/>
    <w:rsid w:val="00B7762B"/>
    <w:rsid w:val="00B779AC"/>
    <w:rsid w:val="00B81237"/>
    <w:rsid w:val="00B81371"/>
    <w:rsid w:val="00B81A23"/>
    <w:rsid w:val="00B81D5F"/>
    <w:rsid w:val="00B81ED5"/>
    <w:rsid w:val="00B82284"/>
    <w:rsid w:val="00B82B7B"/>
    <w:rsid w:val="00B831B4"/>
    <w:rsid w:val="00B836CD"/>
    <w:rsid w:val="00B8413C"/>
    <w:rsid w:val="00B8418F"/>
    <w:rsid w:val="00B84AD2"/>
    <w:rsid w:val="00B85099"/>
    <w:rsid w:val="00B85BD4"/>
    <w:rsid w:val="00B86155"/>
    <w:rsid w:val="00B86BB4"/>
    <w:rsid w:val="00B873A6"/>
    <w:rsid w:val="00B875F8"/>
    <w:rsid w:val="00B877A8"/>
    <w:rsid w:val="00B907F4"/>
    <w:rsid w:val="00B90DF5"/>
    <w:rsid w:val="00B90F8E"/>
    <w:rsid w:val="00B9272F"/>
    <w:rsid w:val="00B9347A"/>
    <w:rsid w:val="00B93984"/>
    <w:rsid w:val="00B93BBB"/>
    <w:rsid w:val="00B94CDC"/>
    <w:rsid w:val="00B95494"/>
    <w:rsid w:val="00B958C0"/>
    <w:rsid w:val="00B976D2"/>
    <w:rsid w:val="00BA0009"/>
    <w:rsid w:val="00BA020B"/>
    <w:rsid w:val="00BA021F"/>
    <w:rsid w:val="00BA045A"/>
    <w:rsid w:val="00BA05D4"/>
    <w:rsid w:val="00BA13A3"/>
    <w:rsid w:val="00BA1525"/>
    <w:rsid w:val="00BA1C42"/>
    <w:rsid w:val="00BA1DD0"/>
    <w:rsid w:val="00BA1F6E"/>
    <w:rsid w:val="00BA23BA"/>
    <w:rsid w:val="00BA27C2"/>
    <w:rsid w:val="00BA2BAB"/>
    <w:rsid w:val="00BA3AC7"/>
    <w:rsid w:val="00BA4C63"/>
    <w:rsid w:val="00BA555E"/>
    <w:rsid w:val="00BA5700"/>
    <w:rsid w:val="00BA60B2"/>
    <w:rsid w:val="00BA6F1F"/>
    <w:rsid w:val="00BA6F6E"/>
    <w:rsid w:val="00BA7519"/>
    <w:rsid w:val="00BB03A8"/>
    <w:rsid w:val="00BB0594"/>
    <w:rsid w:val="00BB07C4"/>
    <w:rsid w:val="00BB0D5D"/>
    <w:rsid w:val="00BB1986"/>
    <w:rsid w:val="00BB1BA1"/>
    <w:rsid w:val="00BB1DC7"/>
    <w:rsid w:val="00BB2204"/>
    <w:rsid w:val="00BB26A4"/>
    <w:rsid w:val="00BB3802"/>
    <w:rsid w:val="00BB39D2"/>
    <w:rsid w:val="00BB432A"/>
    <w:rsid w:val="00BB4C16"/>
    <w:rsid w:val="00BB5D1C"/>
    <w:rsid w:val="00BB6FC4"/>
    <w:rsid w:val="00BB76A2"/>
    <w:rsid w:val="00BC02C1"/>
    <w:rsid w:val="00BC04B4"/>
    <w:rsid w:val="00BC0756"/>
    <w:rsid w:val="00BC0793"/>
    <w:rsid w:val="00BC0883"/>
    <w:rsid w:val="00BC11A8"/>
    <w:rsid w:val="00BC2B6B"/>
    <w:rsid w:val="00BC3A2F"/>
    <w:rsid w:val="00BC4421"/>
    <w:rsid w:val="00BC46B0"/>
    <w:rsid w:val="00BC5434"/>
    <w:rsid w:val="00BC5539"/>
    <w:rsid w:val="00BC5BFE"/>
    <w:rsid w:val="00BC5FA9"/>
    <w:rsid w:val="00BC6F82"/>
    <w:rsid w:val="00BC71FA"/>
    <w:rsid w:val="00BC7665"/>
    <w:rsid w:val="00BD04A9"/>
    <w:rsid w:val="00BD053F"/>
    <w:rsid w:val="00BD055D"/>
    <w:rsid w:val="00BD0D51"/>
    <w:rsid w:val="00BD1312"/>
    <w:rsid w:val="00BD1BB2"/>
    <w:rsid w:val="00BD20DE"/>
    <w:rsid w:val="00BD2A79"/>
    <w:rsid w:val="00BD3753"/>
    <w:rsid w:val="00BD414E"/>
    <w:rsid w:val="00BD4206"/>
    <w:rsid w:val="00BD4872"/>
    <w:rsid w:val="00BD4971"/>
    <w:rsid w:val="00BD4B64"/>
    <w:rsid w:val="00BD5A80"/>
    <w:rsid w:val="00BD5AA7"/>
    <w:rsid w:val="00BD6227"/>
    <w:rsid w:val="00BD7CCB"/>
    <w:rsid w:val="00BE0EFB"/>
    <w:rsid w:val="00BE14D3"/>
    <w:rsid w:val="00BE1A32"/>
    <w:rsid w:val="00BE2D6B"/>
    <w:rsid w:val="00BE2DB1"/>
    <w:rsid w:val="00BE2EC5"/>
    <w:rsid w:val="00BE328B"/>
    <w:rsid w:val="00BE3BAA"/>
    <w:rsid w:val="00BE3E2A"/>
    <w:rsid w:val="00BE4296"/>
    <w:rsid w:val="00BE4C5F"/>
    <w:rsid w:val="00BE4F7C"/>
    <w:rsid w:val="00BE4FDF"/>
    <w:rsid w:val="00BE5607"/>
    <w:rsid w:val="00BE5F37"/>
    <w:rsid w:val="00BE64C5"/>
    <w:rsid w:val="00BE6915"/>
    <w:rsid w:val="00BE6C77"/>
    <w:rsid w:val="00BE6CE0"/>
    <w:rsid w:val="00BE737C"/>
    <w:rsid w:val="00BF031E"/>
    <w:rsid w:val="00BF2246"/>
    <w:rsid w:val="00BF245E"/>
    <w:rsid w:val="00BF2A41"/>
    <w:rsid w:val="00BF3373"/>
    <w:rsid w:val="00BF39D5"/>
    <w:rsid w:val="00BF4313"/>
    <w:rsid w:val="00BF4574"/>
    <w:rsid w:val="00BF4F29"/>
    <w:rsid w:val="00BF50F9"/>
    <w:rsid w:val="00BF5A15"/>
    <w:rsid w:val="00BF5AE9"/>
    <w:rsid w:val="00BF5C61"/>
    <w:rsid w:val="00BF680B"/>
    <w:rsid w:val="00BF681B"/>
    <w:rsid w:val="00BF71A4"/>
    <w:rsid w:val="00BF79AE"/>
    <w:rsid w:val="00BF79F7"/>
    <w:rsid w:val="00BF7DBD"/>
    <w:rsid w:val="00BF7E78"/>
    <w:rsid w:val="00C00986"/>
    <w:rsid w:val="00C0137C"/>
    <w:rsid w:val="00C01785"/>
    <w:rsid w:val="00C021FD"/>
    <w:rsid w:val="00C02E29"/>
    <w:rsid w:val="00C03136"/>
    <w:rsid w:val="00C03541"/>
    <w:rsid w:val="00C03CDF"/>
    <w:rsid w:val="00C04408"/>
    <w:rsid w:val="00C04706"/>
    <w:rsid w:val="00C04ADA"/>
    <w:rsid w:val="00C056BF"/>
    <w:rsid w:val="00C0604E"/>
    <w:rsid w:val="00C06376"/>
    <w:rsid w:val="00C06BA5"/>
    <w:rsid w:val="00C06C12"/>
    <w:rsid w:val="00C07089"/>
    <w:rsid w:val="00C07107"/>
    <w:rsid w:val="00C07F41"/>
    <w:rsid w:val="00C1075A"/>
    <w:rsid w:val="00C115EE"/>
    <w:rsid w:val="00C1186D"/>
    <w:rsid w:val="00C11ABD"/>
    <w:rsid w:val="00C11E16"/>
    <w:rsid w:val="00C12A24"/>
    <w:rsid w:val="00C133A3"/>
    <w:rsid w:val="00C134CC"/>
    <w:rsid w:val="00C1376D"/>
    <w:rsid w:val="00C143CB"/>
    <w:rsid w:val="00C14DF4"/>
    <w:rsid w:val="00C14E20"/>
    <w:rsid w:val="00C1514F"/>
    <w:rsid w:val="00C15A8D"/>
    <w:rsid w:val="00C160B0"/>
    <w:rsid w:val="00C16215"/>
    <w:rsid w:val="00C163E8"/>
    <w:rsid w:val="00C169A2"/>
    <w:rsid w:val="00C1715B"/>
    <w:rsid w:val="00C1747B"/>
    <w:rsid w:val="00C17525"/>
    <w:rsid w:val="00C201F0"/>
    <w:rsid w:val="00C21466"/>
    <w:rsid w:val="00C22052"/>
    <w:rsid w:val="00C22988"/>
    <w:rsid w:val="00C22A97"/>
    <w:rsid w:val="00C235EE"/>
    <w:rsid w:val="00C25E32"/>
    <w:rsid w:val="00C25EC7"/>
    <w:rsid w:val="00C27E6C"/>
    <w:rsid w:val="00C3073D"/>
    <w:rsid w:val="00C32EB7"/>
    <w:rsid w:val="00C33D31"/>
    <w:rsid w:val="00C33E7D"/>
    <w:rsid w:val="00C33F88"/>
    <w:rsid w:val="00C3478A"/>
    <w:rsid w:val="00C34805"/>
    <w:rsid w:val="00C34A3C"/>
    <w:rsid w:val="00C34B97"/>
    <w:rsid w:val="00C34DCF"/>
    <w:rsid w:val="00C34E37"/>
    <w:rsid w:val="00C353FD"/>
    <w:rsid w:val="00C354AD"/>
    <w:rsid w:val="00C36316"/>
    <w:rsid w:val="00C375E3"/>
    <w:rsid w:val="00C37646"/>
    <w:rsid w:val="00C37A4E"/>
    <w:rsid w:val="00C400E1"/>
    <w:rsid w:val="00C40119"/>
    <w:rsid w:val="00C4037D"/>
    <w:rsid w:val="00C409F9"/>
    <w:rsid w:val="00C409FF"/>
    <w:rsid w:val="00C4246A"/>
    <w:rsid w:val="00C4283D"/>
    <w:rsid w:val="00C435DC"/>
    <w:rsid w:val="00C452AA"/>
    <w:rsid w:val="00C45BB7"/>
    <w:rsid w:val="00C4619E"/>
    <w:rsid w:val="00C46992"/>
    <w:rsid w:val="00C46C17"/>
    <w:rsid w:val="00C46E64"/>
    <w:rsid w:val="00C47938"/>
    <w:rsid w:val="00C47B89"/>
    <w:rsid w:val="00C50127"/>
    <w:rsid w:val="00C50766"/>
    <w:rsid w:val="00C50AE6"/>
    <w:rsid w:val="00C51147"/>
    <w:rsid w:val="00C518C3"/>
    <w:rsid w:val="00C51D2B"/>
    <w:rsid w:val="00C53578"/>
    <w:rsid w:val="00C535A1"/>
    <w:rsid w:val="00C53719"/>
    <w:rsid w:val="00C53A5C"/>
    <w:rsid w:val="00C54283"/>
    <w:rsid w:val="00C55938"/>
    <w:rsid w:val="00C5639E"/>
    <w:rsid w:val="00C56847"/>
    <w:rsid w:val="00C56A1F"/>
    <w:rsid w:val="00C605AE"/>
    <w:rsid w:val="00C60C03"/>
    <w:rsid w:val="00C61D31"/>
    <w:rsid w:val="00C61DF5"/>
    <w:rsid w:val="00C61EFA"/>
    <w:rsid w:val="00C61F4F"/>
    <w:rsid w:val="00C62091"/>
    <w:rsid w:val="00C63360"/>
    <w:rsid w:val="00C63541"/>
    <w:rsid w:val="00C63897"/>
    <w:rsid w:val="00C63D47"/>
    <w:rsid w:val="00C63FB0"/>
    <w:rsid w:val="00C64037"/>
    <w:rsid w:val="00C6443E"/>
    <w:rsid w:val="00C645BE"/>
    <w:rsid w:val="00C645D0"/>
    <w:rsid w:val="00C649C4"/>
    <w:rsid w:val="00C64A5D"/>
    <w:rsid w:val="00C65722"/>
    <w:rsid w:val="00C6621A"/>
    <w:rsid w:val="00C663C3"/>
    <w:rsid w:val="00C66622"/>
    <w:rsid w:val="00C67205"/>
    <w:rsid w:val="00C67BEA"/>
    <w:rsid w:val="00C70F7F"/>
    <w:rsid w:val="00C714E4"/>
    <w:rsid w:val="00C71D73"/>
    <w:rsid w:val="00C71DC1"/>
    <w:rsid w:val="00C71DFE"/>
    <w:rsid w:val="00C72A73"/>
    <w:rsid w:val="00C741B8"/>
    <w:rsid w:val="00C74412"/>
    <w:rsid w:val="00C761D5"/>
    <w:rsid w:val="00C76360"/>
    <w:rsid w:val="00C76385"/>
    <w:rsid w:val="00C764E1"/>
    <w:rsid w:val="00C76B7D"/>
    <w:rsid w:val="00C7712C"/>
    <w:rsid w:val="00C806EA"/>
    <w:rsid w:val="00C8105A"/>
    <w:rsid w:val="00C81360"/>
    <w:rsid w:val="00C81702"/>
    <w:rsid w:val="00C82057"/>
    <w:rsid w:val="00C824B9"/>
    <w:rsid w:val="00C82CBD"/>
    <w:rsid w:val="00C82F53"/>
    <w:rsid w:val="00C83838"/>
    <w:rsid w:val="00C83DD1"/>
    <w:rsid w:val="00C8413D"/>
    <w:rsid w:val="00C8460B"/>
    <w:rsid w:val="00C847E6"/>
    <w:rsid w:val="00C8597D"/>
    <w:rsid w:val="00C85B5A"/>
    <w:rsid w:val="00C85BE0"/>
    <w:rsid w:val="00C86CEE"/>
    <w:rsid w:val="00C87082"/>
    <w:rsid w:val="00C87306"/>
    <w:rsid w:val="00C874A8"/>
    <w:rsid w:val="00C90028"/>
    <w:rsid w:val="00C904D9"/>
    <w:rsid w:val="00C91900"/>
    <w:rsid w:val="00C920C4"/>
    <w:rsid w:val="00C92757"/>
    <w:rsid w:val="00C9305E"/>
    <w:rsid w:val="00C938B0"/>
    <w:rsid w:val="00C93A0C"/>
    <w:rsid w:val="00C941F8"/>
    <w:rsid w:val="00C94A39"/>
    <w:rsid w:val="00C94E23"/>
    <w:rsid w:val="00C951A0"/>
    <w:rsid w:val="00C9543A"/>
    <w:rsid w:val="00C95981"/>
    <w:rsid w:val="00C9685E"/>
    <w:rsid w:val="00C96911"/>
    <w:rsid w:val="00C96BD7"/>
    <w:rsid w:val="00C96F4F"/>
    <w:rsid w:val="00C96F65"/>
    <w:rsid w:val="00C978C1"/>
    <w:rsid w:val="00C97A1B"/>
    <w:rsid w:val="00C97A24"/>
    <w:rsid w:val="00C97B46"/>
    <w:rsid w:val="00C97D00"/>
    <w:rsid w:val="00C97D6F"/>
    <w:rsid w:val="00CA0421"/>
    <w:rsid w:val="00CA0569"/>
    <w:rsid w:val="00CA1845"/>
    <w:rsid w:val="00CA1D40"/>
    <w:rsid w:val="00CA22F3"/>
    <w:rsid w:val="00CA3135"/>
    <w:rsid w:val="00CA3F94"/>
    <w:rsid w:val="00CA4228"/>
    <w:rsid w:val="00CA45F8"/>
    <w:rsid w:val="00CA4691"/>
    <w:rsid w:val="00CA5E68"/>
    <w:rsid w:val="00CA6602"/>
    <w:rsid w:val="00CA67CD"/>
    <w:rsid w:val="00CA6910"/>
    <w:rsid w:val="00CA6D54"/>
    <w:rsid w:val="00CA7C6C"/>
    <w:rsid w:val="00CA7C79"/>
    <w:rsid w:val="00CB0867"/>
    <w:rsid w:val="00CB0F37"/>
    <w:rsid w:val="00CB1F66"/>
    <w:rsid w:val="00CB250D"/>
    <w:rsid w:val="00CB2B42"/>
    <w:rsid w:val="00CB2FE3"/>
    <w:rsid w:val="00CB300F"/>
    <w:rsid w:val="00CB384B"/>
    <w:rsid w:val="00CB3D12"/>
    <w:rsid w:val="00CB3E9E"/>
    <w:rsid w:val="00CB4122"/>
    <w:rsid w:val="00CB420B"/>
    <w:rsid w:val="00CB4DCB"/>
    <w:rsid w:val="00CB539F"/>
    <w:rsid w:val="00CB58A0"/>
    <w:rsid w:val="00CB5CC3"/>
    <w:rsid w:val="00CB5CE9"/>
    <w:rsid w:val="00CB60D5"/>
    <w:rsid w:val="00CB60F0"/>
    <w:rsid w:val="00CB75EE"/>
    <w:rsid w:val="00CB763E"/>
    <w:rsid w:val="00CC0128"/>
    <w:rsid w:val="00CC085D"/>
    <w:rsid w:val="00CC0A68"/>
    <w:rsid w:val="00CC0D82"/>
    <w:rsid w:val="00CC0EEE"/>
    <w:rsid w:val="00CC13DF"/>
    <w:rsid w:val="00CC14BF"/>
    <w:rsid w:val="00CC157A"/>
    <w:rsid w:val="00CC1C73"/>
    <w:rsid w:val="00CC1F37"/>
    <w:rsid w:val="00CC21E7"/>
    <w:rsid w:val="00CC2BE8"/>
    <w:rsid w:val="00CC331A"/>
    <w:rsid w:val="00CC3930"/>
    <w:rsid w:val="00CC3CCD"/>
    <w:rsid w:val="00CC4F5B"/>
    <w:rsid w:val="00CC514D"/>
    <w:rsid w:val="00CC558F"/>
    <w:rsid w:val="00CC625A"/>
    <w:rsid w:val="00CC6564"/>
    <w:rsid w:val="00CC677C"/>
    <w:rsid w:val="00CC73E1"/>
    <w:rsid w:val="00CC7FA1"/>
    <w:rsid w:val="00CD1484"/>
    <w:rsid w:val="00CD14DA"/>
    <w:rsid w:val="00CD1BF1"/>
    <w:rsid w:val="00CD1CD3"/>
    <w:rsid w:val="00CD2BF5"/>
    <w:rsid w:val="00CD3680"/>
    <w:rsid w:val="00CD4031"/>
    <w:rsid w:val="00CD424C"/>
    <w:rsid w:val="00CD4823"/>
    <w:rsid w:val="00CD4A64"/>
    <w:rsid w:val="00CD5041"/>
    <w:rsid w:val="00CD5071"/>
    <w:rsid w:val="00CD5165"/>
    <w:rsid w:val="00CD5D66"/>
    <w:rsid w:val="00CD6CB2"/>
    <w:rsid w:val="00CD6CE4"/>
    <w:rsid w:val="00CD7169"/>
    <w:rsid w:val="00CD7221"/>
    <w:rsid w:val="00CD7277"/>
    <w:rsid w:val="00CD73B4"/>
    <w:rsid w:val="00CD7513"/>
    <w:rsid w:val="00CD7886"/>
    <w:rsid w:val="00CD79BF"/>
    <w:rsid w:val="00CE00A9"/>
    <w:rsid w:val="00CE0868"/>
    <w:rsid w:val="00CE0AC4"/>
    <w:rsid w:val="00CE0E51"/>
    <w:rsid w:val="00CE1F9D"/>
    <w:rsid w:val="00CE22CC"/>
    <w:rsid w:val="00CE3002"/>
    <w:rsid w:val="00CE3C1A"/>
    <w:rsid w:val="00CE3F8A"/>
    <w:rsid w:val="00CE536D"/>
    <w:rsid w:val="00CE54EF"/>
    <w:rsid w:val="00CE5647"/>
    <w:rsid w:val="00CE579E"/>
    <w:rsid w:val="00CE5FA0"/>
    <w:rsid w:val="00CE772F"/>
    <w:rsid w:val="00CF02F9"/>
    <w:rsid w:val="00CF0873"/>
    <w:rsid w:val="00CF0961"/>
    <w:rsid w:val="00CF12DC"/>
    <w:rsid w:val="00CF18EB"/>
    <w:rsid w:val="00CF1AEC"/>
    <w:rsid w:val="00CF1E1E"/>
    <w:rsid w:val="00CF2017"/>
    <w:rsid w:val="00CF2358"/>
    <w:rsid w:val="00CF23E4"/>
    <w:rsid w:val="00CF2B84"/>
    <w:rsid w:val="00CF2DEE"/>
    <w:rsid w:val="00CF2E0D"/>
    <w:rsid w:val="00CF2EA9"/>
    <w:rsid w:val="00CF35BF"/>
    <w:rsid w:val="00CF3CFE"/>
    <w:rsid w:val="00CF457A"/>
    <w:rsid w:val="00CF48BE"/>
    <w:rsid w:val="00CF4979"/>
    <w:rsid w:val="00CF55DA"/>
    <w:rsid w:val="00CF5661"/>
    <w:rsid w:val="00CF7271"/>
    <w:rsid w:val="00CF73F9"/>
    <w:rsid w:val="00D01BDC"/>
    <w:rsid w:val="00D021A7"/>
    <w:rsid w:val="00D026D7"/>
    <w:rsid w:val="00D04339"/>
    <w:rsid w:val="00D04A13"/>
    <w:rsid w:val="00D053D4"/>
    <w:rsid w:val="00D05513"/>
    <w:rsid w:val="00D05960"/>
    <w:rsid w:val="00D05AEA"/>
    <w:rsid w:val="00D05B51"/>
    <w:rsid w:val="00D06146"/>
    <w:rsid w:val="00D068EA"/>
    <w:rsid w:val="00D06C8F"/>
    <w:rsid w:val="00D06CFF"/>
    <w:rsid w:val="00D072F9"/>
    <w:rsid w:val="00D07825"/>
    <w:rsid w:val="00D0790E"/>
    <w:rsid w:val="00D07C08"/>
    <w:rsid w:val="00D07F06"/>
    <w:rsid w:val="00D10204"/>
    <w:rsid w:val="00D10275"/>
    <w:rsid w:val="00D106A8"/>
    <w:rsid w:val="00D10FB4"/>
    <w:rsid w:val="00D1119E"/>
    <w:rsid w:val="00D11E17"/>
    <w:rsid w:val="00D11E34"/>
    <w:rsid w:val="00D11FB6"/>
    <w:rsid w:val="00D12402"/>
    <w:rsid w:val="00D128F7"/>
    <w:rsid w:val="00D129A8"/>
    <w:rsid w:val="00D12FA1"/>
    <w:rsid w:val="00D1443D"/>
    <w:rsid w:val="00D1453D"/>
    <w:rsid w:val="00D14BA9"/>
    <w:rsid w:val="00D15229"/>
    <w:rsid w:val="00D15364"/>
    <w:rsid w:val="00D157F9"/>
    <w:rsid w:val="00D168F7"/>
    <w:rsid w:val="00D16BE4"/>
    <w:rsid w:val="00D16D95"/>
    <w:rsid w:val="00D17974"/>
    <w:rsid w:val="00D179C6"/>
    <w:rsid w:val="00D17C5D"/>
    <w:rsid w:val="00D208BA"/>
    <w:rsid w:val="00D20FE0"/>
    <w:rsid w:val="00D21D3B"/>
    <w:rsid w:val="00D22469"/>
    <w:rsid w:val="00D24081"/>
    <w:rsid w:val="00D24360"/>
    <w:rsid w:val="00D24ABC"/>
    <w:rsid w:val="00D261EC"/>
    <w:rsid w:val="00D3019A"/>
    <w:rsid w:val="00D30249"/>
    <w:rsid w:val="00D30A48"/>
    <w:rsid w:val="00D30CB1"/>
    <w:rsid w:val="00D3102C"/>
    <w:rsid w:val="00D3151E"/>
    <w:rsid w:val="00D31A6A"/>
    <w:rsid w:val="00D31CD1"/>
    <w:rsid w:val="00D32124"/>
    <w:rsid w:val="00D327C9"/>
    <w:rsid w:val="00D327DD"/>
    <w:rsid w:val="00D33B9C"/>
    <w:rsid w:val="00D342F6"/>
    <w:rsid w:val="00D34340"/>
    <w:rsid w:val="00D34AE3"/>
    <w:rsid w:val="00D35764"/>
    <w:rsid w:val="00D357DB"/>
    <w:rsid w:val="00D3641E"/>
    <w:rsid w:val="00D36667"/>
    <w:rsid w:val="00D36DC8"/>
    <w:rsid w:val="00D37267"/>
    <w:rsid w:val="00D37A10"/>
    <w:rsid w:val="00D37FD8"/>
    <w:rsid w:val="00D40DEE"/>
    <w:rsid w:val="00D41408"/>
    <w:rsid w:val="00D414F5"/>
    <w:rsid w:val="00D41702"/>
    <w:rsid w:val="00D41A75"/>
    <w:rsid w:val="00D42103"/>
    <w:rsid w:val="00D427C3"/>
    <w:rsid w:val="00D42875"/>
    <w:rsid w:val="00D428D1"/>
    <w:rsid w:val="00D439A0"/>
    <w:rsid w:val="00D43D36"/>
    <w:rsid w:val="00D44C6B"/>
    <w:rsid w:val="00D44F14"/>
    <w:rsid w:val="00D450C4"/>
    <w:rsid w:val="00D45108"/>
    <w:rsid w:val="00D45390"/>
    <w:rsid w:val="00D4548B"/>
    <w:rsid w:val="00D46225"/>
    <w:rsid w:val="00D462F1"/>
    <w:rsid w:val="00D46930"/>
    <w:rsid w:val="00D46DE9"/>
    <w:rsid w:val="00D46F13"/>
    <w:rsid w:val="00D47EC5"/>
    <w:rsid w:val="00D47F56"/>
    <w:rsid w:val="00D5088F"/>
    <w:rsid w:val="00D508C6"/>
    <w:rsid w:val="00D5250C"/>
    <w:rsid w:val="00D52853"/>
    <w:rsid w:val="00D52911"/>
    <w:rsid w:val="00D5375F"/>
    <w:rsid w:val="00D53C68"/>
    <w:rsid w:val="00D54126"/>
    <w:rsid w:val="00D54133"/>
    <w:rsid w:val="00D54723"/>
    <w:rsid w:val="00D548C2"/>
    <w:rsid w:val="00D54F4E"/>
    <w:rsid w:val="00D550F0"/>
    <w:rsid w:val="00D5538E"/>
    <w:rsid w:val="00D558C3"/>
    <w:rsid w:val="00D563A9"/>
    <w:rsid w:val="00D5669B"/>
    <w:rsid w:val="00D569A3"/>
    <w:rsid w:val="00D56C96"/>
    <w:rsid w:val="00D56D53"/>
    <w:rsid w:val="00D57213"/>
    <w:rsid w:val="00D60430"/>
    <w:rsid w:val="00D609B7"/>
    <w:rsid w:val="00D60D5D"/>
    <w:rsid w:val="00D60E26"/>
    <w:rsid w:val="00D61E74"/>
    <w:rsid w:val="00D62382"/>
    <w:rsid w:val="00D62D9E"/>
    <w:rsid w:val="00D6366C"/>
    <w:rsid w:val="00D641FD"/>
    <w:rsid w:val="00D657E1"/>
    <w:rsid w:val="00D659FF"/>
    <w:rsid w:val="00D66B2D"/>
    <w:rsid w:val="00D66D42"/>
    <w:rsid w:val="00D70B1B"/>
    <w:rsid w:val="00D710D2"/>
    <w:rsid w:val="00D71251"/>
    <w:rsid w:val="00D71B17"/>
    <w:rsid w:val="00D72806"/>
    <w:rsid w:val="00D72E50"/>
    <w:rsid w:val="00D73CEF"/>
    <w:rsid w:val="00D742D5"/>
    <w:rsid w:val="00D7456B"/>
    <w:rsid w:val="00D745EA"/>
    <w:rsid w:val="00D74DF9"/>
    <w:rsid w:val="00D75854"/>
    <w:rsid w:val="00D75B66"/>
    <w:rsid w:val="00D75ED4"/>
    <w:rsid w:val="00D760FD"/>
    <w:rsid w:val="00D76180"/>
    <w:rsid w:val="00D768BA"/>
    <w:rsid w:val="00D76927"/>
    <w:rsid w:val="00D80050"/>
    <w:rsid w:val="00D80995"/>
    <w:rsid w:val="00D81316"/>
    <w:rsid w:val="00D81A7C"/>
    <w:rsid w:val="00D81B80"/>
    <w:rsid w:val="00D82DA7"/>
    <w:rsid w:val="00D83130"/>
    <w:rsid w:val="00D847E8"/>
    <w:rsid w:val="00D84B22"/>
    <w:rsid w:val="00D84B2F"/>
    <w:rsid w:val="00D856E1"/>
    <w:rsid w:val="00D857AD"/>
    <w:rsid w:val="00D85A00"/>
    <w:rsid w:val="00D877C3"/>
    <w:rsid w:val="00D87916"/>
    <w:rsid w:val="00D9021D"/>
    <w:rsid w:val="00D908FE"/>
    <w:rsid w:val="00D90AEE"/>
    <w:rsid w:val="00D916CC"/>
    <w:rsid w:val="00D91986"/>
    <w:rsid w:val="00D91D1D"/>
    <w:rsid w:val="00D92100"/>
    <w:rsid w:val="00D924B8"/>
    <w:rsid w:val="00D93791"/>
    <w:rsid w:val="00D93C59"/>
    <w:rsid w:val="00D93DCC"/>
    <w:rsid w:val="00D94051"/>
    <w:rsid w:val="00D94132"/>
    <w:rsid w:val="00D94C2A"/>
    <w:rsid w:val="00D952FD"/>
    <w:rsid w:val="00D9554F"/>
    <w:rsid w:val="00D96598"/>
    <w:rsid w:val="00D966C6"/>
    <w:rsid w:val="00D9708D"/>
    <w:rsid w:val="00D97C28"/>
    <w:rsid w:val="00D97EB7"/>
    <w:rsid w:val="00DA0687"/>
    <w:rsid w:val="00DA09EA"/>
    <w:rsid w:val="00DA1404"/>
    <w:rsid w:val="00DA3A95"/>
    <w:rsid w:val="00DA40DE"/>
    <w:rsid w:val="00DA422F"/>
    <w:rsid w:val="00DA4917"/>
    <w:rsid w:val="00DA4BA8"/>
    <w:rsid w:val="00DA4BD3"/>
    <w:rsid w:val="00DA4E11"/>
    <w:rsid w:val="00DA5D43"/>
    <w:rsid w:val="00DA6248"/>
    <w:rsid w:val="00DA6F10"/>
    <w:rsid w:val="00DA762F"/>
    <w:rsid w:val="00DB05DC"/>
    <w:rsid w:val="00DB072E"/>
    <w:rsid w:val="00DB0943"/>
    <w:rsid w:val="00DB096C"/>
    <w:rsid w:val="00DB15E8"/>
    <w:rsid w:val="00DB17B2"/>
    <w:rsid w:val="00DB201C"/>
    <w:rsid w:val="00DB293F"/>
    <w:rsid w:val="00DB3464"/>
    <w:rsid w:val="00DB3914"/>
    <w:rsid w:val="00DB3FB0"/>
    <w:rsid w:val="00DB5353"/>
    <w:rsid w:val="00DB5903"/>
    <w:rsid w:val="00DB5C56"/>
    <w:rsid w:val="00DB5C68"/>
    <w:rsid w:val="00DB61F9"/>
    <w:rsid w:val="00DB63B2"/>
    <w:rsid w:val="00DB714C"/>
    <w:rsid w:val="00DC0761"/>
    <w:rsid w:val="00DC0BC4"/>
    <w:rsid w:val="00DC11A4"/>
    <w:rsid w:val="00DC1858"/>
    <w:rsid w:val="00DC18EE"/>
    <w:rsid w:val="00DC18F0"/>
    <w:rsid w:val="00DC388B"/>
    <w:rsid w:val="00DC43BE"/>
    <w:rsid w:val="00DC4712"/>
    <w:rsid w:val="00DC4F50"/>
    <w:rsid w:val="00DC5056"/>
    <w:rsid w:val="00DC52A2"/>
    <w:rsid w:val="00DC5F2B"/>
    <w:rsid w:val="00DC6595"/>
    <w:rsid w:val="00DC6EBE"/>
    <w:rsid w:val="00DC75DA"/>
    <w:rsid w:val="00DC76AE"/>
    <w:rsid w:val="00DC786B"/>
    <w:rsid w:val="00DC7C9E"/>
    <w:rsid w:val="00DD01F2"/>
    <w:rsid w:val="00DD0268"/>
    <w:rsid w:val="00DD0D56"/>
    <w:rsid w:val="00DD1A40"/>
    <w:rsid w:val="00DD2B1F"/>
    <w:rsid w:val="00DD2B21"/>
    <w:rsid w:val="00DD3044"/>
    <w:rsid w:val="00DD32FF"/>
    <w:rsid w:val="00DD3A1A"/>
    <w:rsid w:val="00DD3B43"/>
    <w:rsid w:val="00DD3F2B"/>
    <w:rsid w:val="00DD4656"/>
    <w:rsid w:val="00DD54B6"/>
    <w:rsid w:val="00DD5C35"/>
    <w:rsid w:val="00DD60FA"/>
    <w:rsid w:val="00DD64B6"/>
    <w:rsid w:val="00DD6778"/>
    <w:rsid w:val="00DD6782"/>
    <w:rsid w:val="00DD6E69"/>
    <w:rsid w:val="00DD73F2"/>
    <w:rsid w:val="00DE0087"/>
    <w:rsid w:val="00DE0684"/>
    <w:rsid w:val="00DE11D6"/>
    <w:rsid w:val="00DE135E"/>
    <w:rsid w:val="00DE22CA"/>
    <w:rsid w:val="00DE24E7"/>
    <w:rsid w:val="00DE3FD2"/>
    <w:rsid w:val="00DE5211"/>
    <w:rsid w:val="00DE530B"/>
    <w:rsid w:val="00DE55A4"/>
    <w:rsid w:val="00DE5B05"/>
    <w:rsid w:val="00DE66AD"/>
    <w:rsid w:val="00DE6E47"/>
    <w:rsid w:val="00DE6F7A"/>
    <w:rsid w:val="00DE7254"/>
    <w:rsid w:val="00DE7DB2"/>
    <w:rsid w:val="00DF1E18"/>
    <w:rsid w:val="00DF2CAD"/>
    <w:rsid w:val="00DF384F"/>
    <w:rsid w:val="00DF3A70"/>
    <w:rsid w:val="00DF3E50"/>
    <w:rsid w:val="00DF42C5"/>
    <w:rsid w:val="00DF4357"/>
    <w:rsid w:val="00DF5AA3"/>
    <w:rsid w:val="00DF5C7C"/>
    <w:rsid w:val="00DF5EAB"/>
    <w:rsid w:val="00DF6129"/>
    <w:rsid w:val="00DF63DE"/>
    <w:rsid w:val="00DF6606"/>
    <w:rsid w:val="00DF68C6"/>
    <w:rsid w:val="00DF74D1"/>
    <w:rsid w:val="00DF75A6"/>
    <w:rsid w:val="00DF7B41"/>
    <w:rsid w:val="00E00070"/>
    <w:rsid w:val="00E0063D"/>
    <w:rsid w:val="00E01340"/>
    <w:rsid w:val="00E01950"/>
    <w:rsid w:val="00E01C55"/>
    <w:rsid w:val="00E01D21"/>
    <w:rsid w:val="00E02112"/>
    <w:rsid w:val="00E025AC"/>
    <w:rsid w:val="00E02EB7"/>
    <w:rsid w:val="00E0336F"/>
    <w:rsid w:val="00E03CA4"/>
    <w:rsid w:val="00E046D4"/>
    <w:rsid w:val="00E04E6D"/>
    <w:rsid w:val="00E0566A"/>
    <w:rsid w:val="00E06D76"/>
    <w:rsid w:val="00E06F57"/>
    <w:rsid w:val="00E104CD"/>
    <w:rsid w:val="00E10828"/>
    <w:rsid w:val="00E10C37"/>
    <w:rsid w:val="00E10D62"/>
    <w:rsid w:val="00E111BF"/>
    <w:rsid w:val="00E1124D"/>
    <w:rsid w:val="00E11D7B"/>
    <w:rsid w:val="00E11EE7"/>
    <w:rsid w:val="00E12204"/>
    <w:rsid w:val="00E12370"/>
    <w:rsid w:val="00E129D2"/>
    <w:rsid w:val="00E12AC9"/>
    <w:rsid w:val="00E12C69"/>
    <w:rsid w:val="00E12F01"/>
    <w:rsid w:val="00E13241"/>
    <w:rsid w:val="00E13254"/>
    <w:rsid w:val="00E1417A"/>
    <w:rsid w:val="00E14299"/>
    <w:rsid w:val="00E14442"/>
    <w:rsid w:val="00E14859"/>
    <w:rsid w:val="00E15F5A"/>
    <w:rsid w:val="00E163F8"/>
    <w:rsid w:val="00E167F0"/>
    <w:rsid w:val="00E1698C"/>
    <w:rsid w:val="00E16AA0"/>
    <w:rsid w:val="00E200CA"/>
    <w:rsid w:val="00E20AAD"/>
    <w:rsid w:val="00E21557"/>
    <w:rsid w:val="00E22062"/>
    <w:rsid w:val="00E230AC"/>
    <w:rsid w:val="00E23752"/>
    <w:rsid w:val="00E23D75"/>
    <w:rsid w:val="00E24155"/>
    <w:rsid w:val="00E2446E"/>
    <w:rsid w:val="00E2468E"/>
    <w:rsid w:val="00E24699"/>
    <w:rsid w:val="00E24D16"/>
    <w:rsid w:val="00E26147"/>
    <w:rsid w:val="00E261A2"/>
    <w:rsid w:val="00E26773"/>
    <w:rsid w:val="00E278E2"/>
    <w:rsid w:val="00E27C4E"/>
    <w:rsid w:val="00E303C5"/>
    <w:rsid w:val="00E30BEE"/>
    <w:rsid w:val="00E30DEC"/>
    <w:rsid w:val="00E31380"/>
    <w:rsid w:val="00E31CB9"/>
    <w:rsid w:val="00E31F27"/>
    <w:rsid w:val="00E31F6F"/>
    <w:rsid w:val="00E31FB3"/>
    <w:rsid w:val="00E3278A"/>
    <w:rsid w:val="00E32EA4"/>
    <w:rsid w:val="00E33547"/>
    <w:rsid w:val="00E33D16"/>
    <w:rsid w:val="00E34046"/>
    <w:rsid w:val="00E346ED"/>
    <w:rsid w:val="00E34C00"/>
    <w:rsid w:val="00E3516E"/>
    <w:rsid w:val="00E3553F"/>
    <w:rsid w:val="00E35561"/>
    <w:rsid w:val="00E3583E"/>
    <w:rsid w:val="00E35F78"/>
    <w:rsid w:val="00E363F5"/>
    <w:rsid w:val="00E37512"/>
    <w:rsid w:val="00E3766B"/>
    <w:rsid w:val="00E378D3"/>
    <w:rsid w:val="00E37955"/>
    <w:rsid w:val="00E4022A"/>
    <w:rsid w:val="00E40AE7"/>
    <w:rsid w:val="00E40E72"/>
    <w:rsid w:val="00E41142"/>
    <w:rsid w:val="00E430B4"/>
    <w:rsid w:val="00E436D8"/>
    <w:rsid w:val="00E43CE3"/>
    <w:rsid w:val="00E440CC"/>
    <w:rsid w:val="00E4414F"/>
    <w:rsid w:val="00E453B4"/>
    <w:rsid w:val="00E47093"/>
    <w:rsid w:val="00E47281"/>
    <w:rsid w:val="00E47598"/>
    <w:rsid w:val="00E47CFA"/>
    <w:rsid w:val="00E51221"/>
    <w:rsid w:val="00E51B02"/>
    <w:rsid w:val="00E52843"/>
    <w:rsid w:val="00E52BB2"/>
    <w:rsid w:val="00E532FA"/>
    <w:rsid w:val="00E533C5"/>
    <w:rsid w:val="00E535A4"/>
    <w:rsid w:val="00E53FB2"/>
    <w:rsid w:val="00E54202"/>
    <w:rsid w:val="00E546E9"/>
    <w:rsid w:val="00E5471C"/>
    <w:rsid w:val="00E54DA5"/>
    <w:rsid w:val="00E54E14"/>
    <w:rsid w:val="00E55016"/>
    <w:rsid w:val="00E552C0"/>
    <w:rsid w:val="00E55889"/>
    <w:rsid w:val="00E55A01"/>
    <w:rsid w:val="00E55B14"/>
    <w:rsid w:val="00E566EF"/>
    <w:rsid w:val="00E569DB"/>
    <w:rsid w:val="00E57748"/>
    <w:rsid w:val="00E5780D"/>
    <w:rsid w:val="00E57A14"/>
    <w:rsid w:val="00E57C8D"/>
    <w:rsid w:val="00E57EBD"/>
    <w:rsid w:val="00E603F2"/>
    <w:rsid w:val="00E61244"/>
    <w:rsid w:val="00E614DA"/>
    <w:rsid w:val="00E61E8A"/>
    <w:rsid w:val="00E61F6B"/>
    <w:rsid w:val="00E61FD6"/>
    <w:rsid w:val="00E62741"/>
    <w:rsid w:val="00E62744"/>
    <w:rsid w:val="00E62E54"/>
    <w:rsid w:val="00E6323B"/>
    <w:rsid w:val="00E63C2F"/>
    <w:rsid w:val="00E6431E"/>
    <w:rsid w:val="00E645B1"/>
    <w:rsid w:val="00E64FB0"/>
    <w:rsid w:val="00E653A2"/>
    <w:rsid w:val="00E66070"/>
    <w:rsid w:val="00E663FA"/>
    <w:rsid w:val="00E6643E"/>
    <w:rsid w:val="00E6796C"/>
    <w:rsid w:val="00E713F1"/>
    <w:rsid w:val="00E7220C"/>
    <w:rsid w:val="00E72406"/>
    <w:rsid w:val="00E725AF"/>
    <w:rsid w:val="00E7328E"/>
    <w:rsid w:val="00E73B0E"/>
    <w:rsid w:val="00E73BEC"/>
    <w:rsid w:val="00E73FA0"/>
    <w:rsid w:val="00E74111"/>
    <w:rsid w:val="00E744F9"/>
    <w:rsid w:val="00E7469D"/>
    <w:rsid w:val="00E7489D"/>
    <w:rsid w:val="00E74FB6"/>
    <w:rsid w:val="00E75641"/>
    <w:rsid w:val="00E75E68"/>
    <w:rsid w:val="00E763E3"/>
    <w:rsid w:val="00E76E53"/>
    <w:rsid w:val="00E779A3"/>
    <w:rsid w:val="00E77B35"/>
    <w:rsid w:val="00E8011E"/>
    <w:rsid w:val="00E80287"/>
    <w:rsid w:val="00E807F0"/>
    <w:rsid w:val="00E8134C"/>
    <w:rsid w:val="00E816FE"/>
    <w:rsid w:val="00E81703"/>
    <w:rsid w:val="00E8220A"/>
    <w:rsid w:val="00E826C4"/>
    <w:rsid w:val="00E8279D"/>
    <w:rsid w:val="00E83765"/>
    <w:rsid w:val="00E83859"/>
    <w:rsid w:val="00E83C39"/>
    <w:rsid w:val="00E84083"/>
    <w:rsid w:val="00E8459C"/>
    <w:rsid w:val="00E845EF"/>
    <w:rsid w:val="00E84B8F"/>
    <w:rsid w:val="00E84E85"/>
    <w:rsid w:val="00E84EE9"/>
    <w:rsid w:val="00E85BD8"/>
    <w:rsid w:val="00E85CAD"/>
    <w:rsid w:val="00E85E18"/>
    <w:rsid w:val="00E860CB"/>
    <w:rsid w:val="00E865C6"/>
    <w:rsid w:val="00E87352"/>
    <w:rsid w:val="00E877C2"/>
    <w:rsid w:val="00E87C0B"/>
    <w:rsid w:val="00E9031C"/>
    <w:rsid w:val="00E90B46"/>
    <w:rsid w:val="00E9146A"/>
    <w:rsid w:val="00E92368"/>
    <w:rsid w:val="00E9247A"/>
    <w:rsid w:val="00E92C60"/>
    <w:rsid w:val="00E92F9C"/>
    <w:rsid w:val="00E93477"/>
    <w:rsid w:val="00E93D61"/>
    <w:rsid w:val="00E94164"/>
    <w:rsid w:val="00E95490"/>
    <w:rsid w:val="00E9566B"/>
    <w:rsid w:val="00E95911"/>
    <w:rsid w:val="00E96408"/>
    <w:rsid w:val="00E96CBC"/>
    <w:rsid w:val="00E9723C"/>
    <w:rsid w:val="00E9753D"/>
    <w:rsid w:val="00E97BC5"/>
    <w:rsid w:val="00E97DEC"/>
    <w:rsid w:val="00EA033E"/>
    <w:rsid w:val="00EA0752"/>
    <w:rsid w:val="00EA1409"/>
    <w:rsid w:val="00EA14F8"/>
    <w:rsid w:val="00EA17B8"/>
    <w:rsid w:val="00EA17F1"/>
    <w:rsid w:val="00EA1815"/>
    <w:rsid w:val="00EA204D"/>
    <w:rsid w:val="00EA2CE3"/>
    <w:rsid w:val="00EA2D40"/>
    <w:rsid w:val="00EA31A4"/>
    <w:rsid w:val="00EA3E94"/>
    <w:rsid w:val="00EA50CB"/>
    <w:rsid w:val="00EA681A"/>
    <w:rsid w:val="00EA7575"/>
    <w:rsid w:val="00EA7691"/>
    <w:rsid w:val="00EA7C05"/>
    <w:rsid w:val="00EB0F15"/>
    <w:rsid w:val="00EB2D54"/>
    <w:rsid w:val="00EB3153"/>
    <w:rsid w:val="00EB44FF"/>
    <w:rsid w:val="00EB4662"/>
    <w:rsid w:val="00EB469C"/>
    <w:rsid w:val="00EB4A18"/>
    <w:rsid w:val="00EB670C"/>
    <w:rsid w:val="00EB6918"/>
    <w:rsid w:val="00EB72D6"/>
    <w:rsid w:val="00EB7E61"/>
    <w:rsid w:val="00EC03BA"/>
    <w:rsid w:val="00EC1126"/>
    <w:rsid w:val="00EC128F"/>
    <w:rsid w:val="00EC19E2"/>
    <w:rsid w:val="00EC3755"/>
    <w:rsid w:val="00EC3CDC"/>
    <w:rsid w:val="00EC3E57"/>
    <w:rsid w:val="00EC4573"/>
    <w:rsid w:val="00EC5255"/>
    <w:rsid w:val="00EC5C17"/>
    <w:rsid w:val="00EC5D33"/>
    <w:rsid w:val="00EC696F"/>
    <w:rsid w:val="00ED0930"/>
    <w:rsid w:val="00ED0ABD"/>
    <w:rsid w:val="00ED19BD"/>
    <w:rsid w:val="00ED2F09"/>
    <w:rsid w:val="00ED3F54"/>
    <w:rsid w:val="00ED4376"/>
    <w:rsid w:val="00ED49A6"/>
    <w:rsid w:val="00ED536B"/>
    <w:rsid w:val="00ED57EF"/>
    <w:rsid w:val="00ED5858"/>
    <w:rsid w:val="00ED5E52"/>
    <w:rsid w:val="00ED5FC6"/>
    <w:rsid w:val="00ED6999"/>
    <w:rsid w:val="00ED6A20"/>
    <w:rsid w:val="00ED6AF5"/>
    <w:rsid w:val="00ED76CD"/>
    <w:rsid w:val="00EE01A7"/>
    <w:rsid w:val="00EE01DA"/>
    <w:rsid w:val="00EE0276"/>
    <w:rsid w:val="00EE0B87"/>
    <w:rsid w:val="00EE0FA5"/>
    <w:rsid w:val="00EE12A6"/>
    <w:rsid w:val="00EE1BC7"/>
    <w:rsid w:val="00EE2A57"/>
    <w:rsid w:val="00EE2A67"/>
    <w:rsid w:val="00EE2CD7"/>
    <w:rsid w:val="00EE39A1"/>
    <w:rsid w:val="00EE462C"/>
    <w:rsid w:val="00EE4691"/>
    <w:rsid w:val="00EE54E8"/>
    <w:rsid w:val="00EE6366"/>
    <w:rsid w:val="00EE748C"/>
    <w:rsid w:val="00EE7A31"/>
    <w:rsid w:val="00EE7DC3"/>
    <w:rsid w:val="00EF0A86"/>
    <w:rsid w:val="00EF1174"/>
    <w:rsid w:val="00EF140D"/>
    <w:rsid w:val="00EF18A8"/>
    <w:rsid w:val="00EF1F55"/>
    <w:rsid w:val="00EF2132"/>
    <w:rsid w:val="00EF22DF"/>
    <w:rsid w:val="00EF230B"/>
    <w:rsid w:val="00EF247E"/>
    <w:rsid w:val="00EF27DE"/>
    <w:rsid w:val="00EF4510"/>
    <w:rsid w:val="00EF4894"/>
    <w:rsid w:val="00EF4ACE"/>
    <w:rsid w:val="00EF5996"/>
    <w:rsid w:val="00EF5A1D"/>
    <w:rsid w:val="00EF601F"/>
    <w:rsid w:val="00EF6516"/>
    <w:rsid w:val="00EF678A"/>
    <w:rsid w:val="00EF6F9A"/>
    <w:rsid w:val="00EF7F88"/>
    <w:rsid w:val="00F00826"/>
    <w:rsid w:val="00F0087A"/>
    <w:rsid w:val="00F011EF"/>
    <w:rsid w:val="00F01429"/>
    <w:rsid w:val="00F0191E"/>
    <w:rsid w:val="00F01F22"/>
    <w:rsid w:val="00F02943"/>
    <w:rsid w:val="00F02E21"/>
    <w:rsid w:val="00F03742"/>
    <w:rsid w:val="00F03764"/>
    <w:rsid w:val="00F03C04"/>
    <w:rsid w:val="00F03E80"/>
    <w:rsid w:val="00F03EF2"/>
    <w:rsid w:val="00F04329"/>
    <w:rsid w:val="00F04867"/>
    <w:rsid w:val="00F04B7D"/>
    <w:rsid w:val="00F04D7B"/>
    <w:rsid w:val="00F06F8E"/>
    <w:rsid w:val="00F077A0"/>
    <w:rsid w:val="00F07F64"/>
    <w:rsid w:val="00F10238"/>
    <w:rsid w:val="00F104EF"/>
    <w:rsid w:val="00F12665"/>
    <w:rsid w:val="00F131DF"/>
    <w:rsid w:val="00F13E05"/>
    <w:rsid w:val="00F1417C"/>
    <w:rsid w:val="00F148CF"/>
    <w:rsid w:val="00F1525B"/>
    <w:rsid w:val="00F15517"/>
    <w:rsid w:val="00F162EF"/>
    <w:rsid w:val="00F1688D"/>
    <w:rsid w:val="00F16896"/>
    <w:rsid w:val="00F1749F"/>
    <w:rsid w:val="00F1753E"/>
    <w:rsid w:val="00F17957"/>
    <w:rsid w:val="00F205AA"/>
    <w:rsid w:val="00F20F25"/>
    <w:rsid w:val="00F212DA"/>
    <w:rsid w:val="00F214A9"/>
    <w:rsid w:val="00F219E6"/>
    <w:rsid w:val="00F21A5A"/>
    <w:rsid w:val="00F21BAE"/>
    <w:rsid w:val="00F21FB8"/>
    <w:rsid w:val="00F22045"/>
    <w:rsid w:val="00F22263"/>
    <w:rsid w:val="00F22BE8"/>
    <w:rsid w:val="00F230AE"/>
    <w:rsid w:val="00F230B6"/>
    <w:rsid w:val="00F2345D"/>
    <w:rsid w:val="00F23706"/>
    <w:rsid w:val="00F23FD8"/>
    <w:rsid w:val="00F2414D"/>
    <w:rsid w:val="00F2459A"/>
    <w:rsid w:val="00F255D2"/>
    <w:rsid w:val="00F256AB"/>
    <w:rsid w:val="00F25D3C"/>
    <w:rsid w:val="00F26687"/>
    <w:rsid w:val="00F27E17"/>
    <w:rsid w:val="00F313EA"/>
    <w:rsid w:val="00F3160A"/>
    <w:rsid w:val="00F31A4A"/>
    <w:rsid w:val="00F32487"/>
    <w:rsid w:val="00F32536"/>
    <w:rsid w:val="00F32A19"/>
    <w:rsid w:val="00F339D8"/>
    <w:rsid w:val="00F35526"/>
    <w:rsid w:val="00F35F39"/>
    <w:rsid w:val="00F36D56"/>
    <w:rsid w:val="00F36F76"/>
    <w:rsid w:val="00F37043"/>
    <w:rsid w:val="00F412A0"/>
    <w:rsid w:val="00F41C18"/>
    <w:rsid w:val="00F41C9D"/>
    <w:rsid w:val="00F41FC2"/>
    <w:rsid w:val="00F422AF"/>
    <w:rsid w:val="00F42F3F"/>
    <w:rsid w:val="00F434EB"/>
    <w:rsid w:val="00F43C80"/>
    <w:rsid w:val="00F43EF9"/>
    <w:rsid w:val="00F450D4"/>
    <w:rsid w:val="00F4532A"/>
    <w:rsid w:val="00F457F9"/>
    <w:rsid w:val="00F45850"/>
    <w:rsid w:val="00F46123"/>
    <w:rsid w:val="00F463B7"/>
    <w:rsid w:val="00F46B3E"/>
    <w:rsid w:val="00F47A22"/>
    <w:rsid w:val="00F47B12"/>
    <w:rsid w:val="00F51E33"/>
    <w:rsid w:val="00F528C8"/>
    <w:rsid w:val="00F52A04"/>
    <w:rsid w:val="00F53013"/>
    <w:rsid w:val="00F535CA"/>
    <w:rsid w:val="00F5373D"/>
    <w:rsid w:val="00F53CB8"/>
    <w:rsid w:val="00F5448B"/>
    <w:rsid w:val="00F54599"/>
    <w:rsid w:val="00F54A8C"/>
    <w:rsid w:val="00F55109"/>
    <w:rsid w:val="00F553AB"/>
    <w:rsid w:val="00F554BD"/>
    <w:rsid w:val="00F555FF"/>
    <w:rsid w:val="00F557C8"/>
    <w:rsid w:val="00F56CC0"/>
    <w:rsid w:val="00F57B48"/>
    <w:rsid w:val="00F57F9C"/>
    <w:rsid w:val="00F57FE9"/>
    <w:rsid w:val="00F6004D"/>
    <w:rsid w:val="00F612FA"/>
    <w:rsid w:val="00F6157B"/>
    <w:rsid w:val="00F616B6"/>
    <w:rsid w:val="00F61A4F"/>
    <w:rsid w:val="00F62133"/>
    <w:rsid w:val="00F62441"/>
    <w:rsid w:val="00F6265F"/>
    <w:rsid w:val="00F62908"/>
    <w:rsid w:val="00F62C61"/>
    <w:rsid w:val="00F62D8E"/>
    <w:rsid w:val="00F633B1"/>
    <w:rsid w:val="00F6371E"/>
    <w:rsid w:val="00F63C96"/>
    <w:rsid w:val="00F63D68"/>
    <w:rsid w:val="00F64D7E"/>
    <w:rsid w:val="00F65583"/>
    <w:rsid w:val="00F65694"/>
    <w:rsid w:val="00F65EC5"/>
    <w:rsid w:val="00F66A89"/>
    <w:rsid w:val="00F671CE"/>
    <w:rsid w:val="00F67A6A"/>
    <w:rsid w:val="00F7015B"/>
    <w:rsid w:val="00F71AA6"/>
    <w:rsid w:val="00F72A9F"/>
    <w:rsid w:val="00F72BD9"/>
    <w:rsid w:val="00F73336"/>
    <w:rsid w:val="00F742ED"/>
    <w:rsid w:val="00F747AD"/>
    <w:rsid w:val="00F74D49"/>
    <w:rsid w:val="00F750AC"/>
    <w:rsid w:val="00F75372"/>
    <w:rsid w:val="00F758E6"/>
    <w:rsid w:val="00F76727"/>
    <w:rsid w:val="00F76958"/>
    <w:rsid w:val="00F76DF5"/>
    <w:rsid w:val="00F76E18"/>
    <w:rsid w:val="00F7765E"/>
    <w:rsid w:val="00F77F80"/>
    <w:rsid w:val="00F80048"/>
    <w:rsid w:val="00F804FD"/>
    <w:rsid w:val="00F80E8A"/>
    <w:rsid w:val="00F81490"/>
    <w:rsid w:val="00F81B8F"/>
    <w:rsid w:val="00F82265"/>
    <w:rsid w:val="00F82945"/>
    <w:rsid w:val="00F82CFB"/>
    <w:rsid w:val="00F84A33"/>
    <w:rsid w:val="00F84EE8"/>
    <w:rsid w:val="00F850FD"/>
    <w:rsid w:val="00F85BA1"/>
    <w:rsid w:val="00F85C7E"/>
    <w:rsid w:val="00F85F13"/>
    <w:rsid w:val="00F86489"/>
    <w:rsid w:val="00F86EE3"/>
    <w:rsid w:val="00F87042"/>
    <w:rsid w:val="00F873A3"/>
    <w:rsid w:val="00F87436"/>
    <w:rsid w:val="00F87683"/>
    <w:rsid w:val="00F87A31"/>
    <w:rsid w:val="00F87FA8"/>
    <w:rsid w:val="00F90077"/>
    <w:rsid w:val="00F903DC"/>
    <w:rsid w:val="00F9101D"/>
    <w:rsid w:val="00F917A6"/>
    <w:rsid w:val="00F91AE2"/>
    <w:rsid w:val="00F91EE2"/>
    <w:rsid w:val="00F91F51"/>
    <w:rsid w:val="00F929D0"/>
    <w:rsid w:val="00F931DE"/>
    <w:rsid w:val="00F93401"/>
    <w:rsid w:val="00F93B1C"/>
    <w:rsid w:val="00F9411D"/>
    <w:rsid w:val="00F94167"/>
    <w:rsid w:val="00F94172"/>
    <w:rsid w:val="00F946FF"/>
    <w:rsid w:val="00F952F7"/>
    <w:rsid w:val="00F95527"/>
    <w:rsid w:val="00F95D59"/>
    <w:rsid w:val="00F96083"/>
    <w:rsid w:val="00F966A6"/>
    <w:rsid w:val="00F96B61"/>
    <w:rsid w:val="00F97D02"/>
    <w:rsid w:val="00F97D3B"/>
    <w:rsid w:val="00F97E5C"/>
    <w:rsid w:val="00FA05A9"/>
    <w:rsid w:val="00FA0759"/>
    <w:rsid w:val="00FA0947"/>
    <w:rsid w:val="00FA0EE7"/>
    <w:rsid w:val="00FA127C"/>
    <w:rsid w:val="00FA2211"/>
    <w:rsid w:val="00FA2498"/>
    <w:rsid w:val="00FA26D8"/>
    <w:rsid w:val="00FA2BEF"/>
    <w:rsid w:val="00FA33FE"/>
    <w:rsid w:val="00FA34EE"/>
    <w:rsid w:val="00FA37FF"/>
    <w:rsid w:val="00FA5042"/>
    <w:rsid w:val="00FA567E"/>
    <w:rsid w:val="00FA63DA"/>
    <w:rsid w:val="00FA73E8"/>
    <w:rsid w:val="00FA7E1D"/>
    <w:rsid w:val="00FB0705"/>
    <w:rsid w:val="00FB108F"/>
    <w:rsid w:val="00FB1294"/>
    <w:rsid w:val="00FB1578"/>
    <w:rsid w:val="00FB1969"/>
    <w:rsid w:val="00FB1AD6"/>
    <w:rsid w:val="00FB2F35"/>
    <w:rsid w:val="00FB3774"/>
    <w:rsid w:val="00FB45B0"/>
    <w:rsid w:val="00FB4806"/>
    <w:rsid w:val="00FB4971"/>
    <w:rsid w:val="00FB4D18"/>
    <w:rsid w:val="00FB4EE0"/>
    <w:rsid w:val="00FB4F13"/>
    <w:rsid w:val="00FB5527"/>
    <w:rsid w:val="00FB598A"/>
    <w:rsid w:val="00FB5F7D"/>
    <w:rsid w:val="00FB7115"/>
    <w:rsid w:val="00FC04F1"/>
    <w:rsid w:val="00FC11AE"/>
    <w:rsid w:val="00FC1477"/>
    <w:rsid w:val="00FC1E65"/>
    <w:rsid w:val="00FC2082"/>
    <w:rsid w:val="00FC2A35"/>
    <w:rsid w:val="00FC3732"/>
    <w:rsid w:val="00FC38E5"/>
    <w:rsid w:val="00FC4811"/>
    <w:rsid w:val="00FC5125"/>
    <w:rsid w:val="00FC522C"/>
    <w:rsid w:val="00FC659E"/>
    <w:rsid w:val="00FC6C68"/>
    <w:rsid w:val="00FD0079"/>
    <w:rsid w:val="00FD02E0"/>
    <w:rsid w:val="00FD0494"/>
    <w:rsid w:val="00FD105C"/>
    <w:rsid w:val="00FD1354"/>
    <w:rsid w:val="00FD1840"/>
    <w:rsid w:val="00FD1DB0"/>
    <w:rsid w:val="00FD25EB"/>
    <w:rsid w:val="00FD3153"/>
    <w:rsid w:val="00FD39F0"/>
    <w:rsid w:val="00FD3B18"/>
    <w:rsid w:val="00FD3F3D"/>
    <w:rsid w:val="00FD58B1"/>
    <w:rsid w:val="00FD58DF"/>
    <w:rsid w:val="00FD5A9B"/>
    <w:rsid w:val="00FD605B"/>
    <w:rsid w:val="00FD609D"/>
    <w:rsid w:val="00FD6C63"/>
    <w:rsid w:val="00FD73F1"/>
    <w:rsid w:val="00FD7911"/>
    <w:rsid w:val="00FD7A7A"/>
    <w:rsid w:val="00FD7F9C"/>
    <w:rsid w:val="00FE0173"/>
    <w:rsid w:val="00FE04C7"/>
    <w:rsid w:val="00FE0D0D"/>
    <w:rsid w:val="00FE1904"/>
    <w:rsid w:val="00FE222D"/>
    <w:rsid w:val="00FE2D2D"/>
    <w:rsid w:val="00FE3EB7"/>
    <w:rsid w:val="00FE4D45"/>
    <w:rsid w:val="00FE5767"/>
    <w:rsid w:val="00FE666B"/>
    <w:rsid w:val="00FF064C"/>
    <w:rsid w:val="00FF1BAB"/>
    <w:rsid w:val="00FF2152"/>
    <w:rsid w:val="00FF279A"/>
    <w:rsid w:val="00FF28C3"/>
    <w:rsid w:val="00FF295D"/>
    <w:rsid w:val="00FF3E49"/>
    <w:rsid w:val="00FF47DB"/>
    <w:rsid w:val="00FF5231"/>
    <w:rsid w:val="00FF598A"/>
    <w:rsid w:val="00FF59F0"/>
    <w:rsid w:val="00FF660C"/>
    <w:rsid w:val="00FF66BA"/>
    <w:rsid w:val="00FF6AA8"/>
    <w:rsid w:val="00FF75A8"/>
    <w:rsid w:val="00FF76B5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5F217"/>
  <w15:chartTrackingRefBased/>
  <w15:docId w15:val="{F69C7EE3-A955-421E-B141-1E82579F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6E"/>
    <w:rPr>
      <w:sz w:val="28"/>
      <w:szCs w:val="28"/>
    </w:rPr>
  </w:style>
  <w:style w:type="paragraph" w:styleId="4">
    <w:name w:val="heading 4"/>
    <w:basedOn w:val="a"/>
    <w:next w:val="a"/>
    <w:qFormat/>
    <w:rsid w:val="003B44A8"/>
    <w:pPr>
      <w:keepNext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34079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44">
    <w:name w:val="rvts44"/>
    <w:basedOn w:val="a0"/>
    <w:rsid w:val="0034079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52">
    <w:name w:val="rvts52"/>
    <w:basedOn w:val="a0"/>
    <w:rsid w:val="0034079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32"/>
      <w:sz w:val="24"/>
      <w:szCs w:val="24"/>
      <w:u w:val="none"/>
      <w:effect w:val="none"/>
    </w:rPr>
  </w:style>
  <w:style w:type="character" w:customStyle="1" w:styleId="rvts66">
    <w:name w:val="rvts66"/>
    <w:basedOn w:val="a0"/>
    <w:rsid w:val="00340799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rvts70">
    <w:name w:val="rvts70"/>
    <w:basedOn w:val="a0"/>
    <w:rsid w:val="00340799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64"/>
      <w:sz w:val="36"/>
      <w:szCs w:val="36"/>
      <w:u w:val="none"/>
      <w:effect w:val="none"/>
    </w:rPr>
  </w:style>
  <w:style w:type="paragraph" w:customStyle="1" w:styleId="rvps71">
    <w:name w:val="rvps71"/>
    <w:basedOn w:val="a"/>
    <w:rsid w:val="00340799"/>
    <w:pPr>
      <w:spacing w:before="160" w:after="160"/>
      <w:ind w:left="480" w:right="480"/>
      <w:jc w:val="center"/>
    </w:pPr>
    <w:rPr>
      <w:sz w:val="24"/>
      <w:szCs w:val="24"/>
    </w:rPr>
  </w:style>
  <w:style w:type="paragraph" w:customStyle="1" w:styleId="rvps171">
    <w:name w:val="rvps171"/>
    <w:basedOn w:val="a"/>
    <w:rsid w:val="00340799"/>
    <w:pPr>
      <w:spacing w:before="320" w:after="160"/>
      <w:ind w:left="480" w:right="480"/>
      <w:jc w:val="center"/>
    </w:pPr>
    <w:rPr>
      <w:sz w:val="24"/>
      <w:szCs w:val="24"/>
    </w:rPr>
  </w:style>
  <w:style w:type="paragraph" w:customStyle="1" w:styleId="rvps61">
    <w:name w:val="rvps61"/>
    <w:basedOn w:val="a"/>
    <w:rsid w:val="00340799"/>
    <w:pPr>
      <w:spacing w:before="320" w:after="160"/>
      <w:ind w:left="480" w:right="480"/>
      <w:jc w:val="center"/>
    </w:pPr>
    <w:rPr>
      <w:sz w:val="24"/>
      <w:szCs w:val="24"/>
    </w:rPr>
  </w:style>
  <w:style w:type="paragraph" w:customStyle="1" w:styleId="rvps21">
    <w:name w:val="rvps21"/>
    <w:basedOn w:val="a"/>
    <w:rsid w:val="00340799"/>
    <w:pPr>
      <w:spacing w:after="160"/>
      <w:ind w:firstLine="480"/>
      <w:jc w:val="both"/>
    </w:pPr>
    <w:rPr>
      <w:sz w:val="24"/>
      <w:szCs w:val="24"/>
    </w:rPr>
  </w:style>
  <w:style w:type="paragraph" w:customStyle="1" w:styleId="rvps41">
    <w:name w:val="rvps41"/>
    <w:basedOn w:val="a"/>
    <w:rsid w:val="00340799"/>
    <w:pPr>
      <w:spacing w:before="320" w:after="160"/>
      <w:jc w:val="center"/>
    </w:pPr>
    <w:rPr>
      <w:sz w:val="24"/>
      <w:szCs w:val="24"/>
    </w:rPr>
  </w:style>
  <w:style w:type="paragraph" w:customStyle="1" w:styleId="rvps151">
    <w:name w:val="rvps151"/>
    <w:basedOn w:val="a"/>
    <w:rsid w:val="00340799"/>
    <w:pPr>
      <w:spacing w:before="320" w:after="160"/>
      <w:jc w:val="right"/>
    </w:pPr>
    <w:rPr>
      <w:sz w:val="24"/>
      <w:szCs w:val="24"/>
    </w:rPr>
  </w:style>
  <w:style w:type="paragraph" w:styleId="a3">
    <w:name w:val="footer"/>
    <w:basedOn w:val="a"/>
    <w:link w:val="a4"/>
    <w:uiPriority w:val="99"/>
    <w:rsid w:val="00002B32"/>
    <w:pPr>
      <w:tabs>
        <w:tab w:val="center" w:pos="4819"/>
        <w:tab w:val="right" w:pos="9639"/>
      </w:tabs>
    </w:pPr>
  </w:style>
  <w:style w:type="character" w:styleId="a5">
    <w:name w:val="page number"/>
    <w:basedOn w:val="a0"/>
    <w:uiPriority w:val="99"/>
    <w:rsid w:val="00002B32"/>
  </w:style>
  <w:style w:type="paragraph" w:styleId="a6">
    <w:name w:val="Balloon Text"/>
    <w:basedOn w:val="a"/>
    <w:semiHidden/>
    <w:rsid w:val="001C483D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link w:val="10"/>
    <w:rsid w:val="002F2982"/>
    <w:pPr>
      <w:spacing w:before="120"/>
      <w:ind w:firstLine="709"/>
      <w:jc w:val="both"/>
    </w:pPr>
    <w:rPr>
      <w:bCs/>
      <w:lang w:eastAsia="ru-RU"/>
    </w:rPr>
  </w:style>
  <w:style w:type="character" w:customStyle="1" w:styleId="10">
    <w:name w:val="Стиль 1 Знак"/>
    <w:basedOn w:val="a0"/>
    <w:link w:val="1"/>
    <w:rsid w:val="002F2982"/>
    <w:rPr>
      <w:bCs/>
      <w:sz w:val="28"/>
      <w:szCs w:val="28"/>
      <w:lang w:val="uk-UA" w:eastAsia="ru-RU" w:bidi="ar-SA"/>
    </w:rPr>
  </w:style>
  <w:style w:type="paragraph" w:styleId="a7">
    <w:name w:val="Body Text Indent"/>
    <w:basedOn w:val="a"/>
    <w:link w:val="a8"/>
    <w:uiPriority w:val="99"/>
    <w:rsid w:val="00C04706"/>
    <w:pPr>
      <w:ind w:firstLine="172"/>
    </w:pPr>
    <w:rPr>
      <w:sz w:val="24"/>
      <w:szCs w:val="24"/>
      <w:lang w:eastAsia="ru-RU"/>
    </w:rPr>
  </w:style>
  <w:style w:type="paragraph" w:styleId="HTML">
    <w:name w:val="HTML Preformatted"/>
    <w:basedOn w:val="a"/>
    <w:rsid w:val="00073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473D1"/>
  </w:style>
  <w:style w:type="character" w:customStyle="1" w:styleId="spelle">
    <w:name w:val="spelle"/>
    <w:basedOn w:val="a0"/>
    <w:rsid w:val="001D0BA8"/>
  </w:style>
  <w:style w:type="paragraph" w:customStyle="1" w:styleId="a9">
    <w:name w:val="a"/>
    <w:basedOn w:val="a"/>
    <w:rsid w:val="001D0BA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a">
    <w:name w:val="Hyperlink"/>
    <w:basedOn w:val="a0"/>
    <w:rsid w:val="001A7F1B"/>
    <w:rPr>
      <w:color w:val="0000FF"/>
      <w:u w:val="single"/>
    </w:rPr>
  </w:style>
  <w:style w:type="paragraph" w:styleId="ab">
    <w:name w:val="Body Text"/>
    <w:basedOn w:val="a"/>
    <w:rsid w:val="00904BB1"/>
    <w:pPr>
      <w:spacing w:after="120"/>
    </w:pPr>
  </w:style>
  <w:style w:type="paragraph" w:styleId="ac">
    <w:name w:val="Normal (Web)"/>
    <w:basedOn w:val="a"/>
    <w:rsid w:val="00943B0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11">
    <w:name w:val="Абзац списку1"/>
    <w:basedOn w:val="a"/>
    <w:rsid w:val="00407348"/>
    <w:pPr>
      <w:ind w:left="708"/>
    </w:pPr>
    <w:rPr>
      <w:sz w:val="24"/>
      <w:szCs w:val="24"/>
      <w:lang w:eastAsia="ru-RU"/>
    </w:rPr>
  </w:style>
  <w:style w:type="paragraph" w:styleId="2">
    <w:name w:val="Body Text 2"/>
    <w:basedOn w:val="a"/>
    <w:rsid w:val="004B684B"/>
    <w:pPr>
      <w:spacing w:after="120" w:line="480" w:lineRule="auto"/>
    </w:pPr>
  </w:style>
  <w:style w:type="character" w:customStyle="1" w:styleId="rvts0">
    <w:name w:val="rvts0"/>
    <w:basedOn w:val="a0"/>
    <w:rsid w:val="00D068EA"/>
  </w:style>
  <w:style w:type="character" w:customStyle="1" w:styleId="a4">
    <w:name w:val="Нижній колонтитул Знак"/>
    <w:basedOn w:val="a0"/>
    <w:link w:val="a3"/>
    <w:uiPriority w:val="99"/>
    <w:rsid w:val="00F230AE"/>
    <w:rPr>
      <w:sz w:val="28"/>
      <w:szCs w:val="28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AD717B"/>
    <w:rPr>
      <w:sz w:val="24"/>
      <w:szCs w:val="24"/>
      <w:lang w:eastAsia="ru-RU"/>
    </w:rPr>
  </w:style>
  <w:style w:type="paragraph" w:customStyle="1" w:styleId="rvps2">
    <w:name w:val="rvps2"/>
    <w:basedOn w:val="a"/>
    <w:rsid w:val="00380C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68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927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rada/show/2857-17" TargetMode="External"/><Relationship Id="rId13" Type="http://schemas.openxmlformats.org/officeDocument/2006/relationships/hyperlink" Target="http://zakon.rada.gov.ua/rada/show/2456-1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.rada.gov.ua/rada/show/2857-1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zakon.rada.gov.ua/rada/show/2456-1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rada.gov.ua/rada/show/2857-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rada.gov.ua/rada/show/2857-17" TargetMode="External"/><Relationship Id="rId10" Type="http://schemas.openxmlformats.org/officeDocument/2006/relationships/hyperlink" Target="http://zakon.rada.gov.ua/rada/show/2857-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rada/show/2857-17" TargetMode="External"/><Relationship Id="rId14" Type="http://schemas.openxmlformats.org/officeDocument/2006/relationships/hyperlink" Target="http://zakon.rada.gov.ua/rada/show/2857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184D-4BAA-44B7-872E-197C779A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22036</Words>
  <Characters>12561</Characters>
  <Application>Microsoft Office Word</Application>
  <DocSecurity>0</DocSecurity>
  <Lines>104</Lines>
  <Paragraphs>69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vru</Company>
  <LinksUpToDate>false</LinksUpToDate>
  <CharactersWithSpaces>34528</CharactersWithSpaces>
  <SharedDoc>false</SharedDoc>
  <HLinks>
    <vt:vector size="72" baseType="variant">
      <vt:variant>
        <vt:i4>7798882</vt:i4>
      </vt:variant>
      <vt:variant>
        <vt:i4>33</vt:i4>
      </vt:variant>
      <vt:variant>
        <vt:i4>0</vt:i4>
      </vt:variant>
      <vt:variant>
        <vt:i4>5</vt:i4>
      </vt:variant>
      <vt:variant>
        <vt:lpwstr>http://zakon.rada.gov.ua/rada/show/2456-17</vt:lpwstr>
      </vt:variant>
      <vt:variant>
        <vt:lpwstr/>
      </vt:variant>
      <vt:variant>
        <vt:i4>7798895</vt:i4>
      </vt:variant>
      <vt:variant>
        <vt:i4>30</vt:i4>
      </vt:variant>
      <vt:variant>
        <vt:i4>0</vt:i4>
      </vt:variant>
      <vt:variant>
        <vt:i4>5</vt:i4>
      </vt:variant>
      <vt:variant>
        <vt:lpwstr>http://zakon.rada.gov.ua/rada/show/2857-17</vt:lpwstr>
      </vt:variant>
      <vt:variant>
        <vt:lpwstr/>
      </vt:variant>
      <vt:variant>
        <vt:i4>7798895</vt:i4>
      </vt:variant>
      <vt:variant>
        <vt:i4>27</vt:i4>
      </vt:variant>
      <vt:variant>
        <vt:i4>0</vt:i4>
      </vt:variant>
      <vt:variant>
        <vt:i4>5</vt:i4>
      </vt:variant>
      <vt:variant>
        <vt:lpwstr>http://zakon.rada.gov.ua/rada/show/2857-17</vt:lpwstr>
      </vt:variant>
      <vt:variant>
        <vt:lpwstr/>
      </vt:variant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http://zakon.rada.gov.ua/rada/show/2456-17</vt:lpwstr>
      </vt:variant>
      <vt:variant>
        <vt:lpwstr/>
      </vt:variant>
      <vt:variant>
        <vt:i4>7798882</vt:i4>
      </vt:variant>
      <vt:variant>
        <vt:i4>21</vt:i4>
      </vt:variant>
      <vt:variant>
        <vt:i4>0</vt:i4>
      </vt:variant>
      <vt:variant>
        <vt:i4>5</vt:i4>
      </vt:variant>
      <vt:variant>
        <vt:lpwstr>http://zakon.rada.gov.ua/rada/show/2456-17</vt:lpwstr>
      </vt:variant>
      <vt:variant>
        <vt:lpwstr/>
      </vt:variant>
      <vt:variant>
        <vt:i4>7798882</vt:i4>
      </vt:variant>
      <vt:variant>
        <vt:i4>18</vt:i4>
      </vt:variant>
      <vt:variant>
        <vt:i4>0</vt:i4>
      </vt:variant>
      <vt:variant>
        <vt:i4>5</vt:i4>
      </vt:variant>
      <vt:variant>
        <vt:lpwstr>http://zakon.rada.gov.ua/rada/show/2456-17</vt:lpwstr>
      </vt:variant>
      <vt:variant>
        <vt:lpwstr/>
      </vt:variant>
      <vt:variant>
        <vt:i4>7798895</vt:i4>
      </vt:variant>
      <vt:variant>
        <vt:i4>15</vt:i4>
      </vt:variant>
      <vt:variant>
        <vt:i4>0</vt:i4>
      </vt:variant>
      <vt:variant>
        <vt:i4>5</vt:i4>
      </vt:variant>
      <vt:variant>
        <vt:lpwstr>http://zakon.rada.gov.ua/rada/show/2857-17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http://zakon4.rada.gov.ua/rada/show/1067-2014-%D1%80</vt:lpwstr>
      </vt:variant>
      <vt:variant>
        <vt:lpwstr/>
      </vt:variant>
      <vt:variant>
        <vt:i4>7798895</vt:i4>
      </vt:variant>
      <vt:variant>
        <vt:i4>9</vt:i4>
      </vt:variant>
      <vt:variant>
        <vt:i4>0</vt:i4>
      </vt:variant>
      <vt:variant>
        <vt:i4>5</vt:i4>
      </vt:variant>
      <vt:variant>
        <vt:lpwstr>http://zakon.rada.gov.ua/rada/show/2857-17</vt:lpwstr>
      </vt:variant>
      <vt:variant>
        <vt:lpwstr/>
      </vt:variant>
      <vt:variant>
        <vt:i4>7798895</vt:i4>
      </vt:variant>
      <vt:variant>
        <vt:i4>6</vt:i4>
      </vt:variant>
      <vt:variant>
        <vt:i4>0</vt:i4>
      </vt:variant>
      <vt:variant>
        <vt:i4>5</vt:i4>
      </vt:variant>
      <vt:variant>
        <vt:lpwstr>http://zakon.rada.gov.ua/rada/show/2857-17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http://zakon.rada.gov.ua/rada/show/2857-17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http://zakon.rada.gov.ua/rada/show/2857-17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Наталія Василівна Луценко</cp:lastModifiedBy>
  <cp:revision>3</cp:revision>
  <cp:lastPrinted>2016-05-13T11:04:00Z</cp:lastPrinted>
  <dcterms:created xsi:type="dcterms:W3CDTF">2016-06-01T13:18:00Z</dcterms:created>
  <dcterms:modified xsi:type="dcterms:W3CDTF">2016-06-01T13:21:00Z</dcterms:modified>
</cp:coreProperties>
</file>