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905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9B13E8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6905">
        <w:rPr>
          <w:rFonts w:ascii="Times New Roman" w:eastAsia="Calibri" w:hAnsi="Times New Roman" w:cs="Times New Roman"/>
          <w:b/>
          <w:sz w:val="28"/>
          <w:szCs w:val="28"/>
        </w:rPr>
        <w:t xml:space="preserve">про внесення змін до Конвенції між </w:t>
      </w:r>
      <w:r w:rsidR="009B13E8">
        <w:rPr>
          <w:rFonts w:ascii="Times New Roman" w:eastAsia="Calibri" w:hAnsi="Times New Roman" w:cs="Times New Roman"/>
          <w:b/>
          <w:sz w:val="28"/>
          <w:szCs w:val="28"/>
        </w:rPr>
        <w:t>Урядом України</w:t>
      </w:r>
      <w:r w:rsidR="009B13E8" w:rsidRPr="009B13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9230A4" w:rsidRPr="000D6905" w:rsidRDefault="009B13E8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і</w:t>
      </w:r>
      <w:r w:rsidRPr="000D69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289C" w:rsidRPr="000D6905">
        <w:rPr>
          <w:rFonts w:ascii="Times New Roman" w:eastAsia="Calibri" w:hAnsi="Times New Roman" w:cs="Times New Roman"/>
          <w:b/>
          <w:sz w:val="28"/>
          <w:szCs w:val="28"/>
        </w:rPr>
        <w:t>Урядом Республіки Кі</w:t>
      </w:r>
      <w:proofErr w:type="gramStart"/>
      <w:r w:rsidR="0081289C" w:rsidRPr="000D6905">
        <w:rPr>
          <w:rFonts w:ascii="Times New Roman" w:eastAsia="Calibri" w:hAnsi="Times New Roman" w:cs="Times New Roman"/>
          <w:b/>
          <w:sz w:val="28"/>
          <w:szCs w:val="28"/>
        </w:rPr>
        <w:t>пр</w:t>
      </w:r>
      <w:proofErr w:type="gramEnd"/>
      <w:r w:rsidR="0081289C" w:rsidRPr="000D69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30A4" w:rsidRPr="000D6905">
        <w:rPr>
          <w:rFonts w:ascii="Times New Roman" w:eastAsia="Calibri" w:hAnsi="Times New Roman" w:cs="Times New Roman"/>
          <w:b/>
          <w:sz w:val="28"/>
          <w:szCs w:val="28"/>
        </w:rPr>
        <w:t>про уникнення подвійного оподаткування та запобігання податковим ухиленням стосовно податків на доходи</w:t>
      </w: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0A4" w:rsidRPr="000D6905" w:rsidRDefault="009B13E8" w:rsidP="000D69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Уряд України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89C" w:rsidRPr="000D6905">
        <w:rPr>
          <w:rFonts w:ascii="Times New Roman" w:eastAsia="Calibri" w:hAnsi="Times New Roman" w:cs="Times New Roman"/>
          <w:sz w:val="28"/>
          <w:szCs w:val="28"/>
        </w:rPr>
        <w:t xml:space="preserve">Уряд  Республіки Кіпр </w:t>
      </w:r>
      <w:r w:rsidR="00ED564A" w:rsidRPr="000D6905">
        <w:rPr>
          <w:rFonts w:ascii="Times New Roman" w:eastAsia="Calibri" w:hAnsi="Times New Roman" w:cs="Times New Roman"/>
          <w:sz w:val="28"/>
          <w:szCs w:val="28"/>
        </w:rPr>
        <w:t>(далі – Договірні Сторони)</w:t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230A4" w:rsidRPr="000D6905" w:rsidRDefault="009230A4" w:rsidP="000D69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бажаючи укласти Протокол про внесення змін до Конвенції між </w:t>
      </w:r>
      <w:r w:rsidR="009B13E8">
        <w:rPr>
          <w:rFonts w:ascii="Times New Roman" w:eastAsia="Calibri" w:hAnsi="Times New Roman" w:cs="Times New Roman"/>
          <w:sz w:val="28"/>
          <w:szCs w:val="28"/>
        </w:rPr>
        <w:t>Урядом України і</w:t>
      </w:r>
      <w:r w:rsidR="009B13E8" w:rsidRPr="000D6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89C" w:rsidRPr="000D6905">
        <w:rPr>
          <w:rFonts w:ascii="Times New Roman" w:eastAsia="Calibri" w:hAnsi="Times New Roman" w:cs="Times New Roman"/>
          <w:sz w:val="28"/>
          <w:szCs w:val="28"/>
        </w:rPr>
        <w:t>Урядом Республіки Кіпр</w:t>
      </w:r>
      <w:r w:rsidR="00812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про уникнення подвійного оподаткування та запобігання податковим ухиленням стосовно податків на доходи, </w:t>
      </w:r>
      <w:r w:rsidR="00ED564A" w:rsidRPr="000D6905">
        <w:rPr>
          <w:rFonts w:ascii="Times New Roman" w:eastAsia="Calibri" w:hAnsi="Times New Roman" w:cs="Times New Roman"/>
          <w:sz w:val="28"/>
          <w:szCs w:val="28"/>
        </w:rPr>
        <w:t>вчине</w:t>
      </w:r>
      <w:r w:rsidRPr="000D6905">
        <w:rPr>
          <w:rFonts w:ascii="Times New Roman" w:eastAsia="Calibri" w:hAnsi="Times New Roman" w:cs="Times New Roman"/>
          <w:sz w:val="28"/>
          <w:szCs w:val="28"/>
        </w:rPr>
        <w:t>ної 8 листопада 2012 року в м. Нікосія</w:t>
      </w:r>
      <w:r w:rsidR="00ED564A" w:rsidRPr="000D690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230A4" w:rsidRPr="000D6905" w:rsidRDefault="009230A4" w:rsidP="000D69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домовилися про таке:</w:t>
      </w:r>
    </w:p>
    <w:p w:rsidR="00EF33B8" w:rsidRPr="0081289C" w:rsidRDefault="00EF33B8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905">
        <w:rPr>
          <w:rFonts w:ascii="Times New Roman" w:eastAsia="Calibri" w:hAnsi="Times New Roman" w:cs="Times New Roman"/>
          <w:b/>
          <w:sz w:val="28"/>
          <w:szCs w:val="28"/>
        </w:rPr>
        <w:t>Стаття 1</w:t>
      </w: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0A4" w:rsidRPr="000D6905" w:rsidRDefault="009230A4" w:rsidP="000D6905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Пункт 2 статті 10 «Дивіденди» </w:t>
      </w:r>
      <w:r w:rsidRPr="000D6905">
        <w:rPr>
          <w:rFonts w:ascii="Times New Roman" w:eastAsia="Calibri" w:hAnsi="Times New Roman" w:cs="Times New Roman"/>
          <w:color w:val="000000"/>
          <w:sz w:val="28"/>
          <w:szCs w:val="28"/>
        </w:rPr>
        <w:t>Конвенції замінити таким пунктом:</w:t>
      </w:r>
    </w:p>
    <w:p w:rsidR="009230A4" w:rsidRPr="000D6905" w:rsidRDefault="00247C74" w:rsidP="00247C74">
      <w:pPr>
        <w:widowControl w:val="0"/>
        <w:shd w:val="clear" w:color="auto" w:fill="FFFFFF"/>
        <w:tabs>
          <w:tab w:val="left" w:pos="-6237"/>
        </w:tabs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9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«2.</w:t>
      </w:r>
      <w:r w:rsidRPr="008128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>Однак такі дивіденди можуть також оподатковуватись у Договірній Державі, резидентом якої є компанія, що сплачує дивіденди, і відповідно до законодавства цієї Дер</w:t>
      </w:r>
      <w:r w:rsidR="00335852">
        <w:rPr>
          <w:rFonts w:ascii="Times New Roman" w:eastAsia="Calibri" w:hAnsi="Times New Roman" w:cs="Times New Roman"/>
          <w:sz w:val="28"/>
          <w:szCs w:val="28"/>
        </w:rPr>
        <w:t xml:space="preserve">жави, але якщо особа </w:t>
      </w:r>
      <w:r w:rsidR="00335852" w:rsidRPr="0081289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 xml:space="preserve"> фактичний власник дивідендів є резидентом іншої Договірної Держави, податок, що стягується таким чином, не повинен перевищувати:</w:t>
      </w:r>
    </w:p>
    <w:p w:rsidR="009230A4" w:rsidRPr="00247C74" w:rsidRDefault="009230A4" w:rsidP="00247C7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а) 5 відсотків від загальної суми дивідендів, якщо фактичним власником дивідендів є компанія (яка не є товариством), яка володіє безпосередньо принаймні 20 відсотками капіталу компанії, що</w:t>
      </w:r>
      <w:r w:rsidR="00AF7512" w:rsidRPr="000D6905">
        <w:rPr>
          <w:rFonts w:ascii="Times New Roman" w:eastAsia="Calibri" w:hAnsi="Times New Roman" w:cs="Times New Roman"/>
          <w:sz w:val="28"/>
          <w:szCs w:val="28"/>
        </w:rPr>
        <w:t xml:space="preserve"> сплачує дивіденди та інвестувала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 в придбання акцій чи інших прав компанії </w:t>
      </w:r>
      <w:r w:rsidR="00ED564A" w:rsidRPr="000D69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D6905">
        <w:rPr>
          <w:rFonts w:ascii="Times New Roman" w:eastAsia="Calibri" w:hAnsi="Times New Roman" w:cs="Times New Roman"/>
          <w:sz w:val="28"/>
          <w:szCs w:val="28"/>
        </w:rPr>
        <w:t>ек</w:t>
      </w:r>
      <w:r w:rsidR="00247C74">
        <w:rPr>
          <w:rFonts w:ascii="Times New Roman" w:eastAsia="Calibri" w:hAnsi="Times New Roman" w:cs="Times New Roman"/>
          <w:sz w:val="28"/>
          <w:szCs w:val="28"/>
        </w:rPr>
        <w:t>віваленті не менше 100 000 євро</w:t>
      </w:r>
      <w:r w:rsidR="00247C74" w:rsidRPr="00247C7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230A4" w:rsidRPr="000D6905" w:rsidRDefault="009230A4" w:rsidP="00247C7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b) 10  відсотків від загальної суми дивідендів у всіх інших випадках.».</w:t>
      </w:r>
    </w:p>
    <w:p w:rsidR="009230A4" w:rsidRPr="000D6905" w:rsidRDefault="009230A4" w:rsidP="000D6905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905">
        <w:rPr>
          <w:rFonts w:ascii="Times New Roman" w:eastAsia="Calibri" w:hAnsi="Times New Roman" w:cs="Times New Roman"/>
          <w:b/>
          <w:sz w:val="28"/>
          <w:szCs w:val="28"/>
        </w:rPr>
        <w:t xml:space="preserve"> Стаття 2</w:t>
      </w: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0A4" w:rsidRPr="000D6905" w:rsidRDefault="00247C74" w:rsidP="00247C74">
      <w:pPr>
        <w:widowControl w:val="0"/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9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>Пункт 2  статті 11 «Проценти» Конвенції замінити таким пунктом:</w:t>
      </w:r>
    </w:p>
    <w:p w:rsidR="009230A4" w:rsidRPr="000D6905" w:rsidRDefault="00335852" w:rsidP="00335852">
      <w:pPr>
        <w:widowControl w:val="0"/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9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«2.</w:t>
      </w:r>
      <w:r w:rsidRPr="003358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>Однак такі проценти можуть також оподатковуватись у Договірній Державі, в якій вони виникають, і відповідно до законодавства цієї Держави, але якщо особа - фактичний власник процентів є резидентом іншої Договірної Держави, податок, що стягується таким чином, н</w:t>
      </w:r>
      <w:r>
        <w:rPr>
          <w:rFonts w:ascii="Times New Roman" w:eastAsia="Calibri" w:hAnsi="Times New Roman" w:cs="Times New Roman"/>
          <w:sz w:val="28"/>
          <w:szCs w:val="28"/>
        </w:rPr>
        <w:t>е повинен перевищувати</w:t>
      </w:r>
      <w:r w:rsidRPr="003358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>5 відсотків від загальної суми процентів. Спосіб застосування цих обмежень встановлюється компетентними органами Договірних Держав за взаємною домовленістю.».</w:t>
      </w:r>
    </w:p>
    <w:p w:rsidR="00335852" w:rsidRPr="0081289C" w:rsidRDefault="00335852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905">
        <w:rPr>
          <w:rFonts w:ascii="Times New Roman" w:eastAsia="Calibri" w:hAnsi="Times New Roman" w:cs="Times New Roman"/>
          <w:b/>
          <w:sz w:val="28"/>
          <w:szCs w:val="28"/>
        </w:rPr>
        <w:t>Стаття 3</w:t>
      </w: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0A4" w:rsidRPr="000D6905" w:rsidRDefault="00475AF8" w:rsidP="000D6905">
      <w:pPr>
        <w:widowControl w:val="0"/>
        <w:shd w:val="clear" w:color="auto" w:fill="FFFFFF"/>
        <w:tabs>
          <w:tab w:val="left" w:pos="0"/>
        </w:tabs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ab/>
        <w:t>Статтю 13 «Доходи від відчуження майна»</w:t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 xml:space="preserve"> Конвенції</w:t>
      </w:r>
      <w:r w:rsidR="00335852" w:rsidRPr="003358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230A4" w:rsidRPr="000D6905">
        <w:rPr>
          <w:rFonts w:ascii="Times New Roman" w:eastAsia="Calibri" w:hAnsi="Times New Roman" w:cs="Times New Roman"/>
          <w:color w:val="000000"/>
          <w:sz w:val="28"/>
          <w:szCs w:val="28"/>
        </w:rPr>
        <w:t>замінити такою статтею</w:t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30A4" w:rsidRPr="000D6905" w:rsidRDefault="009230A4" w:rsidP="004D2F99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«1. Доходи, що одержуються резидентом Договірної Держави від відчуження нерухомого майна, яке згадується у статті 6 цієї Конвенції і яке </w:t>
      </w:r>
      <w:r w:rsidRPr="000D6905">
        <w:rPr>
          <w:rFonts w:ascii="Times New Roman" w:eastAsia="Calibri" w:hAnsi="Times New Roman" w:cs="Times New Roman"/>
          <w:sz w:val="28"/>
          <w:szCs w:val="28"/>
        </w:rPr>
        <w:lastRenderedPageBreak/>
        <w:t>знаходиться в іншій Договірній Державі, можуть оподатковуватись у цій іншій Державі.</w:t>
      </w:r>
    </w:p>
    <w:p w:rsidR="009230A4" w:rsidRPr="000D6905" w:rsidRDefault="004D2F99" w:rsidP="000D6905">
      <w:pPr>
        <w:shd w:val="clear" w:color="auto" w:fill="FFFFFF"/>
        <w:tabs>
          <w:tab w:val="left" w:pos="87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9C">
        <w:rPr>
          <w:rFonts w:ascii="Times New Roman" w:eastAsia="Calibri" w:hAnsi="Times New Roman" w:cs="Times New Roman"/>
          <w:sz w:val="28"/>
          <w:szCs w:val="28"/>
        </w:rPr>
        <w:tab/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>2. Доходи від відчуження рухомого майна, що формує частину майна постійного представництва, яке підприємство Договірної Держави має в іншій Договірній Державі, або рухомого майна, яке відноситься до постійної бази, що знаходиться в розпорядженні резидента Договірної Держави в іншій Договірній Державі для цілей надання незалежних особистих послуг, які включають такі доходи від відчуження такого постійного представництва (окремо чи в сукупності з цілим підприємством) або такої постійної бази, можуть оподатковуватись у цій іншій Державі.</w:t>
      </w:r>
    </w:p>
    <w:p w:rsidR="009230A4" w:rsidRPr="000D6905" w:rsidRDefault="002D1512" w:rsidP="002D1512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812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 xml:space="preserve">Доходи від відчуження морських або повітряних суден, що експлуатуються у міжнародних перевезеннях підприємством Договірної Держави, річкових суден, які відносяться до внутрішнього водного транспорту, або рухомого майна, що відноситься до експлуатації таких морських, повітряних суден або річкових суден, оподатковуються тільки в цій Договірній Державі. </w:t>
      </w:r>
    </w:p>
    <w:p w:rsidR="009230A4" w:rsidRPr="000D6905" w:rsidRDefault="009230A4" w:rsidP="002D1512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4. Доходи, одержувані резидентом Договірної Держави від відчуження акцій, які одержують більше ніж 50 відсотків їхньої вартості чи більшої частини вартості прямо або опосередковано від нерухомого майна, розташованого в іншій Договірній Державі, можуть оподатковуватись в іншій Державі.</w:t>
      </w:r>
    </w:p>
    <w:p w:rsidR="009230A4" w:rsidRPr="000D6905" w:rsidRDefault="009230A4" w:rsidP="002D1512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5. (а) Пункт 4 застосовується тільки для доходів, отриманих від нерухомого майна.</w:t>
      </w:r>
    </w:p>
    <w:p w:rsidR="009230A4" w:rsidRPr="000D6905" w:rsidRDefault="009230A4" w:rsidP="002D1512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(</w:t>
      </w:r>
      <w:r w:rsidRPr="000D6905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0D6905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 Пункт 4 не застосовується до доходів, отриманих від відчуження акцій:</w:t>
      </w:r>
    </w:p>
    <w:p w:rsidR="009230A4" w:rsidRPr="000D6905" w:rsidRDefault="00B97DDC" w:rsidP="00BE17F8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і)</w:t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 xml:space="preserve"> які котируються на визнаній фондовій біржі</w:t>
      </w:r>
      <w:r w:rsidRPr="000D69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30A4" w:rsidRPr="000D6905" w:rsidRDefault="009230A4" w:rsidP="00BE17F8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іі) у випадку реорганізації корпорації</w:t>
      </w:r>
      <w:r w:rsidR="00B97DDC" w:rsidRPr="000D69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30A4" w:rsidRPr="000D6905" w:rsidRDefault="009230A4" w:rsidP="00BE17F8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ііі) коли нерухоме майно, з якого акції отримали свою оцінку (ва</w:t>
      </w:r>
      <w:r w:rsidR="00B97DDC" w:rsidRPr="000D6905">
        <w:rPr>
          <w:rFonts w:ascii="Times New Roman" w:eastAsia="Calibri" w:hAnsi="Times New Roman" w:cs="Times New Roman"/>
          <w:sz w:val="28"/>
          <w:szCs w:val="28"/>
        </w:rPr>
        <w:t>ртість) є нерухомим майном, яке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 є об</w:t>
      </w:r>
      <w:r w:rsidR="00B97DDC" w:rsidRPr="000D6905">
        <w:rPr>
          <w:rFonts w:ascii="Times New Roman" w:eastAsia="Calibri" w:hAnsi="Times New Roman" w:cs="Times New Roman"/>
          <w:sz w:val="28"/>
          <w:szCs w:val="28"/>
        </w:rPr>
        <w:t>’єктом господарської діяльності;</w:t>
      </w:r>
    </w:p>
    <w:p w:rsidR="009230A4" w:rsidRPr="000D6905" w:rsidRDefault="009230A4" w:rsidP="00BE17F8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і</w:t>
      </w:r>
      <w:r w:rsidRPr="000D690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B97DDC" w:rsidRPr="000D6905">
        <w:rPr>
          <w:rFonts w:ascii="Times New Roman" w:eastAsia="Calibri" w:hAnsi="Times New Roman" w:cs="Times New Roman"/>
          <w:sz w:val="28"/>
          <w:szCs w:val="28"/>
        </w:rPr>
        <w:t>) відкритого акціонерного товариства</w:t>
      </w:r>
      <w:r w:rsidR="00BE17F8" w:rsidRPr="00BE17F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 та</w:t>
      </w:r>
    </w:p>
    <w:p w:rsidR="009230A4" w:rsidRPr="000D6905" w:rsidRDefault="009230A4" w:rsidP="00BE17F8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0D6905">
        <w:rPr>
          <w:rFonts w:ascii="Times New Roman" w:eastAsia="Calibri" w:hAnsi="Times New Roman" w:cs="Times New Roman"/>
          <w:sz w:val="28"/>
          <w:szCs w:val="28"/>
        </w:rPr>
        <w:t>подібні</w:t>
      </w:r>
      <w:proofErr w:type="gramEnd"/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 проценти у фондах нерухомості.</w:t>
      </w:r>
    </w:p>
    <w:p w:rsidR="009230A4" w:rsidRPr="000D6905" w:rsidRDefault="009230A4" w:rsidP="00BE17F8">
      <w:pPr>
        <w:shd w:val="clear" w:color="auto" w:fill="FFFFFF"/>
        <w:tabs>
          <w:tab w:val="left" w:pos="-6237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(с) Пункт 4 не застосовується до доходів, отриманих від відчуження акцій, коли особа, що відчужує майно є:</w:t>
      </w:r>
    </w:p>
    <w:p w:rsidR="009230A4" w:rsidRPr="000D6905" w:rsidRDefault="009230A4" w:rsidP="00155E3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і)  зареєстрованою на визнаній фондовій біржі</w:t>
      </w:r>
      <w:r w:rsidR="00B97DDC" w:rsidRPr="000D69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30A4" w:rsidRPr="000D6905" w:rsidRDefault="009230A4" w:rsidP="00155E3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>іі) відкрите акціонерне товариство</w:t>
      </w:r>
      <w:r w:rsidR="00B97DDC" w:rsidRPr="000D69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30A4" w:rsidRPr="000D6905" w:rsidRDefault="009230A4" w:rsidP="00155E3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690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D6905">
        <w:rPr>
          <w:rFonts w:ascii="Times New Roman" w:eastAsia="Calibri" w:hAnsi="Times New Roman" w:cs="Times New Roman"/>
          <w:sz w:val="28"/>
          <w:szCs w:val="28"/>
        </w:rPr>
        <w:t>іі</w:t>
      </w:r>
      <w:proofErr w:type="gramEnd"/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) пенсійний фонд, фонд страхування або подібний суб’єкт господарювання. </w:t>
      </w:r>
    </w:p>
    <w:p w:rsidR="009230A4" w:rsidRPr="000D6905" w:rsidRDefault="009230A4" w:rsidP="00155E3D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0D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Доходи від відчуження будь-якого майна, іншого ніж те, про яке йдеться у пунктах 1, 2, 3, 4 і 5  оподатковуються тільки в тій Договірній Державі, резидентом якої є особа, що відчужує майно, </w:t>
      </w:r>
      <w:r w:rsidRPr="000D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умови, що ці доходи підлягають оподаткуванню у цій Договірній Державі</w:t>
      </w:r>
      <w:r w:rsidRPr="000D690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475AF8" w:rsidRPr="000D6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0A4" w:rsidRPr="000D6905" w:rsidRDefault="009230A4" w:rsidP="000D690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905">
        <w:rPr>
          <w:rFonts w:ascii="Times New Roman" w:eastAsia="Calibri" w:hAnsi="Times New Roman" w:cs="Times New Roman"/>
          <w:b/>
          <w:sz w:val="28"/>
          <w:szCs w:val="28"/>
        </w:rPr>
        <w:t>Стаття 4</w:t>
      </w: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0A4" w:rsidRPr="000D6905" w:rsidRDefault="009230A4" w:rsidP="001778F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Якщо після 2 липня 2015 року, дати завершення переговорів щодо </w:t>
      </w:r>
      <w:r w:rsidR="007A7E35" w:rsidRPr="000D6905">
        <w:rPr>
          <w:rFonts w:ascii="Times New Roman" w:eastAsia="Calibri" w:hAnsi="Times New Roman" w:cs="Times New Roman"/>
          <w:sz w:val="28"/>
          <w:szCs w:val="28"/>
        </w:rPr>
        <w:t xml:space="preserve">перегляду 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Конвенції між </w:t>
      </w:r>
      <w:r w:rsidR="002B1D60">
        <w:rPr>
          <w:rFonts w:ascii="Times New Roman" w:eastAsia="Calibri" w:hAnsi="Times New Roman" w:cs="Times New Roman"/>
          <w:sz w:val="28"/>
          <w:szCs w:val="28"/>
        </w:rPr>
        <w:t>Урядом України і</w:t>
      </w:r>
      <w:r w:rsidR="002B1D60" w:rsidRPr="000D6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89C" w:rsidRPr="000D6905">
        <w:rPr>
          <w:rFonts w:ascii="Times New Roman" w:eastAsia="Calibri" w:hAnsi="Times New Roman" w:cs="Times New Roman"/>
          <w:sz w:val="28"/>
          <w:szCs w:val="28"/>
        </w:rPr>
        <w:t>Урядом Республіки Кіпр</w:t>
      </w:r>
      <w:r w:rsidR="00812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0D6905">
        <w:rPr>
          <w:rFonts w:ascii="Times New Roman" w:eastAsia="Calibri" w:hAnsi="Times New Roman" w:cs="Times New Roman"/>
          <w:sz w:val="28"/>
          <w:szCs w:val="28"/>
        </w:rPr>
        <w:lastRenderedPageBreak/>
        <w:t>уникнення подвійного оподаткування та запобігання податковим ухиленням стосовно податків на доходи, Україн</w:t>
      </w:r>
      <w:r w:rsidR="00B83D7D" w:rsidRPr="000D6905">
        <w:rPr>
          <w:rFonts w:ascii="Times New Roman" w:eastAsia="Calibri" w:hAnsi="Times New Roman" w:cs="Times New Roman"/>
          <w:sz w:val="28"/>
          <w:szCs w:val="28"/>
        </w:rPr>
        <w:t>а погодиться в будь-якій іншій к</w:t>
      </w:r>
      <w:r w:rsidRPr="000D6905">
        <w:rPr>
          <w:rFonts w:ascii="Times New Roman" w:eastAsia="Calibri" w:hAnsi="Times New Roman" w:cs="Times New Roman"/>
          <w:sz w:val="28"/>
          <w:szCs w:val="28"/>
        </w:rPr>
        <w:t>онвенції про уникнення подвійного опода</w:t>
      </w:r>
      <w:r w:rsidR="00B83D7D" w:rsidRPr="000D6905">
        <w:rPr>
          <w:rFonts w:ascii="Times New Roman" w:eastAsia="Calibri" w:hAnsi="Times New Roman" w:cs="Times New Roman"/>
          <w:sz w:val="28"/>
          <w:szCs w:val="28"/>
        </w:rPr>
        <w:t>ткування надати звільнення від у</w:t>
      </w:r>
      <w:r w:rsidRPr="000D6905">
        <w:rPr>
          <w:rFonts w:ascii="Times New Roman" w:eastAsia="Calibri" w:hAnsi="Times New Roman" w:cs="Times New Roman"/>
          <w:sz w:val="28"/>
          <w:szCs w:val="28"/>
        </w:rPr>
        <w:t>країнського податку щодо сплати дивідендів або процентів або роялті, які виникають в Укра</w:t>
      </w:r>
      <w:r w:rsidR="001778F6">
        <w:rPr>
          <w:rFonts w:ascii="Times New Roman" w:eastAsia="Calibri" w:hAnsi="Times New Roman" w:cs="Times New Roman"/>
          <w:sz w:val="28"/>
          <w:szCs w:val="28"/>
        </w:rPr>
        <w:t>їні, або застосує нижчі ставки у</w:t>
      </w:r>
      <w:r w:rsidRPr="000D6905">
        <w:rPr>
          <w:rFonts w:ascii="Times New Roman" w:eastAsia="Calibri" w:hAnsi="Times New Roman" w:cs="Times New Roman"/>
          <w:sz w:val="28"/>
          <w:szCs w:val="28"/>
        </w:rPr>
        <w:t>країнського податку стосовно таких платежів</w:t>
      </w:r>
      <w:r w:rsidR="008534EF" w:rsidRPr="000D6905">
        <w:rPr>
          <w:rFonts w:ascii="Times New Roman" w:eastAsia="Calibri" w:hAnsi="Times New Roman" w:cs="Times New Roman"/>
          <w:sz w:val="28"/>
          <w:szCs w:val="28"/>
        </w:rPr>
        <w:t>,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 інші ніж ті, які передбачені статтями 10,</w:t>
      </w:r>
      <w:r w:rsidR="00B83D7D" w:rsidRPr="000D6905">
        <w:rPr>
          <w:rFonts w:ascii="Times New Roman" w:eastAsia="Calibri" w:hAnsi="Times New Roman" w:cs="Times New Roman"/>
          <w:sz w:val="28"/>
          <w:szCs w:val="28"/>
        </w:rPr>
        <w:t xml:space="preserve"> 11, 12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 або надаватиме більш сприятливі положення щодо статті 13 цієї Конвенції, то Договірні </w:t>
      </w:r>
      <w:r w:rsidR="00974BE1" w:rsidRPr="000D6905">
        <w:rPr>
          <w:rFonts w:ascii="Times New Roman" w:eastAsia="Calibri" w:hAnsi="Times New Roman" w:cs="Times New Roman"/>
          <w:sz w:val="28"/>
          <w:szCs w:val="28"/>
        </w:rPr>
        <w:t>Сторони</w:t>
      </w:r>
      <w:r w:rsidRPr="000D6905">
        <w:rPr>
          <w:rFonts w:ascii="Times New Roman" w:eastAsia="Calibri" w:hAnsi="Times New Roman" w:cs="Times New Roman"/>
          <w:sz w:val="28"/>
          <w:szCs w:val="28"/>
        </w:rPr>
        <w:t xml:space="preserve"> матимуть право переглянути ці статті з метою застосування такого звільнення або нижчої ставки або положень цієї Конвенції або будь-якої нов</w:t>
      </w:r>
      <w:r w:rsidR="003D7407">
        <w:rPr>
          <w:rFonts w:ascii="Times New Roman" w:eastAsia="Calibri" w:hAnsi="Times New Roman" w:cs="Times New Roman"/>
          <w:sz w:val="28"/>
          <w:szCs w:val="28"/>
        </w:rPr>
        <w:t>ої або</w:t>
      </w:r>
      <w:r w:rsidR="00B83D7D" w:rsidRPr="000D6905">
        <w:rPr>
          <w:rFonts w:ascii="Times New Roman" w:eastAsia="Calibri" w:hAnsi="Times New Roman" w:cs="Times New Roman"/>
          <w:sz w:val="28"/>
          <w:szCs w:val="28"/>
        </w:rPr>
        <w:t xml:space="preserve"> переглянутої к</w:t>
      </w:r>
      <w:r w:rsidRPr="000D6905">
        <w:rPr>
          <w:rFonts w:ascii="Times New Roman" w:eastAsia="Calibri" w:hAnsi="Times New Roman" w:cs="Times New Roman"/>
          <w:sz w:val="28"/>
          <w:szCs w:val="28"/>
        </w:rPr>
        <w:t>онвенції. </w:t>
      </w:r>
    </w:p>
    <w:p w:rsidR="009230A4" w:rsidRPr="000D6905" w:rsidRDefault="009230A4" w:rsidP="000D6905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6905">
        <w:rPr>
          <w:rFonts w:ascii="Times New Roman" w:eastAsia="Calibri" w:hAnsi="Times New Roman" w:cs="Times New Roman"/>
          <w:bCs/>
          <w:sz w:val="28"/>
          <w:szCs w:val="28"/>
        </w:rPr>
        <w:t>  </w:t>
      </w: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905">
        <w:rPr>
          <w:rFonts w:ascii="Times New Roman" w:eastAsia="Calibri" w:hAnsi="Times New Roman" w:cs="Times New Roman"/>
          <w:b/>
          <w:sz w:val="28"/>
          <w:szCs w:val="28"/>
        </w:rPr>
        <w:t>Стаття 5</w:t>
      </w: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0A4" w:rsidRPr="000D6905" w:rsidRDefault="003D7407" w:rsidP="003D7407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>Договірні Сторони письмово повідомля</w:t>
      </w:r>
      <w:r w:rsidR="0053168B" w:rsidRPr="000D6905">
        <w:rPr>
          <w:rFonts w:ascii="Times New Roman" w:eastAsia="Calibri" w:hAnsi="Times New Roman" w:cs="Times New Roman"/>
          <w:sz w:val="28"/>
          <w:szCs w:val="28"/>
        </w:rPr>
        <w:t>ю</w:t>
      </w:r>
      <w:r w:rsidR="009230A4" w:rsidRPr="000D6905">
        <w:rPr>
          <w:rFonts w:ascii="Times New Roman" w:eastAsia="Calibri" w:hAnsi="Times New Roman" w:cs="Times New Roman"/>
          <w:sz w:val="28"/>
          <w:szCs w:val="28"/>
        </w:rPr>
        <w:t xml:space="preserve">ть одна одну дипломатичними </w:t>
      </w:r>
      <w:r w:rsidR="009230A4" w:rsidRPr="000D6905">
        <w:rPr>
          <w:rFonts w:ascii="Times New Roman" w:eastAsia="Calibri" w:hAnsi="Times New Roman" w:cs="Times New Roman"/>
          <w:bCs/>
          <w:sz w:val="28"/>
          <w:szCs w:val="28"/>
        </w:rPr>
        <w:t>каналами про завершення всіх внутрішньодержавних процедур, необхідних для набрання цим Протоколом чинності.</w:t>
      </w:r>
    </w:p>
    <w:p w:rsidR="009230A4" w:rsidRPr="000D6905" w:rsidRDefault="009230A4" w:rsidP="003D7407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6905">
        <w:rPr>
          <w:rFonts w:ascii="Times New Roman" w:eastAsia="Calibri" w:hAnsi="Times New Roman" w:cs="Times New Roman"/>
          <w:bCs/>
          <w:sz w:val="28"/>
          <w:szCs w:val="28"/>
        </w:rPr>
        <w:t>2. Цей Протокол складає невід’ємну частину Конвенції та набирає чинності з дати отримання останнього письмового повідомлення, відповідно до пункту 1 цієї статті. Цей Протокол застосовується:</w:t>
      </w:r>
    </w:p>
    <w:p w:rsidR="009230A4" w:rsidRPr="000D6905" w:rsidRDefault="009230A4" w:rsidP="00A852A2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6905">
        <w:rPr>
          <w:rFonts w:ascii="Times New Roman" w:eastAsia="Calibri" w:hAnsi="Times New Roman" w:cs="Times New Roman"/>
          <w:bCs/>
          <w:sz w:val="28"/>
          <w:szCs w:val="28"/>
        </w:rPr>
        <w:t xml:space="preserve">a) </w:t>
      </w:r>
      <w:r w:rsidR="00D82D11" w:rsidRPr="000D6905">
        <w:rPr>
          <w:rFonts w:ascii="Times New Roman" w:eastAsia="Calibri" w:hAnsi="Times New Roman" w:cs="Times New Roman"/>
          <w:bCs/>
          <w:sz w:val="28"/>
          <w:szCs w:val="28"/>
        </w:rPr>
        <w:t>стосовно</w:t>
      </w:r>
      <w:r w:rsidRPr="000D6905">
        <w:rPr>
          <w:rFonts w:ascii="Times New Roman" w:eastAsia="Calibri" w:hAnsi="Times New Roman" w:cs="Times New Roman"/>
          <w:bCs/>
          <w:sz w:val="28"/>
          <w:szCs w:val="28"/>
        </w:rPr>
        <w:t xml:space="preserve"> податків, утриманих у джерела щодо сум, які виплачені або кредитовані нерезидентам на або після 1 січня 2019 року або першого січня календарного року, наступного за роком набрання чинності цим Протоколом, якщо ця дата буде пізніше, ніж 1 січня 2019 року; та</w:t>
      </w:r>
    </w:p>
    <w:p w:rsidR="009230A4" w:rsidRPr="000D6905" w:rsidRDefault="009230A4" w:rsidP="00A852A2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6905">
        <w:rPr>
          <w:rFonts w:ascii="Times New Roman" w:eastAsia="Calibri" w:hAnsi="Times New Roman" w:cs="Times New Roman"/>
          <w:bCs/>
          <w:sz w:val="28"/>
          <w:szCs w:val="28"/>
        </w:rPr>
        <w:t xml:space="preserve">b) </w:t>
      </w:r>
      <w:r w:rsidR="00D82D11" w:rsidRPr="000D6905">
        <w:rPr>
          <w:rFonts w:ascii="Times New Roman" w:eastAsia="Calibri" w:hAnsi="Times New Roman" w:cs="Times New Roman"/>
          <w:bCs/>
          <w:sz w:val="28"/>
          <w:szCs w:val="28"/>
        </w:rPr>
        <w:t>стосовно</w:t>
      </w:r>
      <w:r w:rsidRPr="000D6905">
        <w:rPr>
          <w:rFonts w:ascii="Times New Roman" w:eastAsia="Calibri" w:hAnsi="Times New Roman" w:cs="Times New Roman"/>
          <w:bCs/>
          <w:sz w:val="28"/>
          <w:szCs w:val="28"/>
        </w:rPr>
        <w:t xml:space="preserve"> інших податків, які стягуються під час податкових років або періодів, що починаються на або після 1 січня 2019 року або першого січня календарного року, наступного за роком набрання чинності цим Протоколом, якщо ця дата буде пізніше, ніж 1 січня 2019 року. </w:t>
      </w:r>
    </w:p>
    <w:p w:rsidR="009230A4" w:rsidRPr="000D6905" w:rsidRDefault="009230A4" w:rsidP="000D690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30A4" w:rsidRPr="000D6905" w:rsidRDefault="009230A4" w:rsidP="00A852A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посвідчення чого ті, що нижче підписалися, відповідним чином на те уповноважені, підписали цей Протокол.</w:t>
      </w:r>
    </w:p>
    <w:p w:rsidR="00A852A2" w:rsidRDefault="00A852A2" w:rsidP="000D69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0A4" w:rsidRPr="000D6905" w:rsidRDefault="004314E4" w:rsidP="00A852A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Учинено в м. Києві «11</w:t>
      </w:r>
      <w:bookmarkStart w:id="0" w:name="_GoBack"/>
      <w:bookmarkEnd w:id="0"/>
      <w:r w:rsidR="00785884" w:rsidRPr="000D69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грудня 2015 року</w:t>
      </w:r>
      <w:r w:rsidR="009230A4" w:rsidRPr="000D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двох примірниках, кожний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українською,</w:t>
      </w:r>
      <w:r w:rsidRPr="000D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CB3" w:rsidRPr="000D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грецькою </w:t>
      </w:r>
      <w:r w:rsidR="009230A4" w:rsidRPr="000D6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англійською мовами, при цьому всі тексти є автентичними. У разі виникнення розбіжностей щодо тлумачення цього Протоколу переважну силу матиме текст англійською мовою.</w:t>
      </w:r>
    </w:p>
    <w:p w:rsidR="009230A4" w:rsidRDefault="009230A4" w:rsidP="000D69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79" w:rsidRPr="000D6905" w:rsidRDefault="00025579" w:rsidP="000D69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85120E" w:rsidTr="002B1D60">
        <w:tc>
          <w:tcPr>
            <w:tcW w:w="4786" w:type="dxa"/>
          </w:tcPr>
          <w:p w:rsidR="0085120E" w:rsidRDefault="002B1D60" w:rsidP="002B1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Уряд України </w:t>
            </w:r>
          </w:p>
        </w:tc>
        <w:tc>
          <w:tcPr>
            <w:tcW w:w="4786" w:type="dxa"/>
          </w:tcPr>
          <w:p w:rsidR="0085120E" w:rsidRDefault="002B1D60" w:rsidP="0085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Уряд Республіки Кіпр</w:t>
            </w:r>
          </w:p>
        </w:tc>
      </w:tr>
      <w:tr w:rsidR="0085120E" w:rsidTr="002B1D60">
        <w:tc>
          <w:tcPr>
            <w:tcW w:w="4786" w:type="dxa"/>
          </w:tcPr>
          <w:p w:rsidR="0085120E" w:rsidRDefault="0085120E" w:rsidP="0085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20E" w:rsidRDefault="0085120E" w:rsidP="0085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20E" w:rsidRDefault="0085120E" w:rsidP="0085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D60" w:rsidRPr="000D6905" w:rsidRDefault="002B1D60" w:rsidP="002B1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Наталія </w:t>
            </w:r>
            <w:proofErr w:type="spellStart"/>
            <w:r w:rsidRPr="000D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Яресько</w:t>
            </w:r>
            <w:proofErr w:type="spellEnd"/>
          </w:p>
          <w:p w:rsidR="0085120E" w:rsidRPr="0085120E" w:rsidRDefault="002B1D60" w:rsidP="002B1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Міністр фінансів </w:t>
            </w:r>
          </w:p>
        </w:tc>
        <w:tc>
          <w:tcPr>
            <w:tcW w:w="4786" w:type="dxa"/>
          </w:tcPr>
          <w:p w:rsidR="0085120E" w:rsidRDefault="0085120E" w:rsidP="0085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20E" w:rsidRDefault="0085120E" w:rsidP="0085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579" w:rsidRDefault="00025579" w:rsidP="0085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D60" w:rsidRPr="000D6905" w:rsidRDefault="002B1D60" w:rsidP="002B1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Йоргос</w:t>
            </w:r>
            <w:proofErr w:type="spellEnd"/>
            <w:r w:rsidRPr="000D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Лаккотрипіс</w:t>
            </w:r>
            <w:proofErr w:type="spellEnd"/>
          </w:p>
          <w:p w:rsidR="002B1D60" w:rsidRPr="000D6905" w:rsidRDefault="002B1D60" w:rsidP="002B1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 енергетики, торгівлі, промисловості та туризму</w:t>
            </w:r>
          </w:p>
          <w:p w:rsidR="0085120E" w:rsidRPr="0085120E" w:rsidRDefault="0085120E" w:rsidP="00283C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0FC1" w:rsidRPr="000D6905" w:rsidRDefault="00280FC1" w:rsidP="008512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0FC1" w:rsidRPr="000D6905" w:rsidSect="0085120E"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0A4"/>
    <w:rsid w:val="00025579"/>
    <w:rsid w:val="000D6905"/>
    <w:rsid w:val="00107984"/>
    <w:rsid w:val="00155E3D"/>
    <w:rsid w:val="001778F6"/>
    <w:rsid w:val="00177CC5"/>
    <w:rsid w:val="00181CD8"/>
    <w:rsid w:val="001C6699"/>
    <w:rsid w:val="00247C74"/>
    <w:rsid w:val="00280FC1"/>
    <w:rsid w:val="00283CB3"/>
    <w:rsid w:val="002B1D60"/>
    <w:rsid w:val="002D1512"/>
    <w:rsid w:val="00335852"/>
    <w:rsid w:val="003D7407"/>
    <w:rsid w:val="004314E4"/>
    <w:rsid w:val="00475AF8"/>
    <w:rsid w:val="004D2F99"/>
    <w:rsid w:val="0053168B"/>
    <w:rsid w:val="00564E95"/>
    <w:rsid w:val="00575EAA"/>
    <w:rsid w:val="005B0903"/>
    <w:rsid w:val="00602944"/>
    <w:rsid w:val="00785884"/>
    <w:rsid w:val="007A7E35"/>
    <w:rsid w:val="0081289C"/>
    <w:rsid w:val="0085120E"/>
    <w:rsid w:val="008534EF"/>
    <w:rsid w:val="0087648D"/>
    <w:rsid w:val="008D02F7"/>
    <w:rsid w:val="009230A4"/>
    <w:rsid w:val="00974BE1"/>
    <w:rsid w:val="009B13E8"/>
    <w:rsid w:val="00A54B93"/>
    <w:rsid w:val="00A828CF"/>
    <w:rsid w:val="00A83177"/>
    <w:rsid w:val="00A852A2"/>
    <w:rsid w:val="00AF7512"/>
    <w:rsid w:val="00B7113F"/>
    <w:rsid w:val="00B83D7D"/>
    <w:rsid w:val="00B97DDC"/>
    <w:rsid w:val="00BE17F8"/>
    <w:rsid w:val="00D82D11"/>
    <w:rsid w:val="00DD284D"/>
    <w:rsid w:val="00E35102"/>
    <w:rsid w:val="00ED564A"/>
    <w:rsid w:val="00EF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E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E9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4E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2</cp:revision>
  <cp:lastPrinted>2015-11-13T12:29:00Z</cp:lastPrinted>
  <dcterms:created xsi:type="dcterms:W3CDTF">2016-04-05T06:42:00Z</dcterms:created>
  <dcterms:modified xsi:type="dcterms:W3CDTF">2016-04-05T06:42:00Z</dcterms:modified>
</cp:coreProperties>
</file>