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B0" w:rsidRDefault="00F83DB0" w:rsidP="00350984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Фінансово-економічне</w:t>
      </w:r>
      <w:r w:rsidR="002C1FC0" w:rsidRPr="002C1FC0">
        <w:rPr>
          <w:rFonts w:ascii="Times New Roman" w:hAnsi="Times New Roman" w:cs="Times New Roman"/>
          <w:b/>
        </w:rPr>
        <w:t xml:space="preserve"> обґрунтування доцільності </w:t>
      </w:r>
    </w:p>
    <w:p w:rsidR="00BE1667" w:rsidRDefault="002C1FC0" w:rsidP="00350984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C1FC0">
        <w:rPr>
          <w:rFonts w:ascii="Times New Roman" w:hAnsi="Times New Roman" w:cs="Times New Roman"/>
          <w:b/>
        </w:rPr>
        <w:t>ратифікації Паризької угоди</w:t>
      </w:r>
    </w:p>
    <w:p w:rsidR="002C1FC0" w:rsidRDefault="002C1FC0" w:rsidP="00350984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B03EC1" w:rsidRPr="00B03EC1" w:rsidRDefault="00B03EC1" w:rsidP="00350984">
      <w:pPr>
        <w:spacing w:line="240" w:lineRule="auto"/>
        <w:rPr>
          <w:rFonts w:ascii="Times New Roman" w:hAnsi="Times New Roman" w:cs="Times New Roman"/>
          <w:szCs w:val="28"/>
        </w:rPr>
      </w:pPr>
      <w:r w:rsidRPr="00B03EC1">
        <w:rPr>
          <w:rFonts w:ascii="Times New Roman" w:hAnsi="Times New Roman" w:cs="Times New Roman"/>
          <w:szCs w:val="28"/>
        </w:rPr>
        <w:t>Спричинене зміною клімату почастішання та підвищення інтенсивності небезпечних гідрометеорологічних явищ і стихійних лих, брак продовольства, питної води, руйнування берегової смуги, швидке розповсюдження небезпечних хвороб</w:t>
      </w:r>
      <w:r w:rsidR="007B7D72">
        <w:rPr>
          <w:rFonts w:ascii="Times New Roman" w:hAnsi="Times New Roman" w:cs="Times New Roman"/>
          <w:szCs w:val="28"/>
        </w:rPr>
        <w:t xml:space="preserve"> тощо </w:t>
      </w:r>
      <w:r w:rsidRPr="00B03EC1">
        <w:rPr>
          <w:rFonts w:ascii="Times New Roman" w:hAnsi="Times New Roman" w:cs="Times New Roman"/>
          <w:szCs w:val="28"/>
        </w:rPr>
        <w:t>вже призвели до підвищення ризиків як для здоров’я і життєдіяльності мільярдів людей, так і для сталого розвитку світової економіки у цілому. Розуміння цієї проблеми підштовхнуло міжнародну спільноту діяти якомога швидко та консолідовано.</w:t>
      </w:r>
      <w:r w:rsidR="007B7D72">
        <w:rPr>
          <w:rFonts w:ascii="Times New Roman" w:hAnsi="Times New Roman" w:cs="Times New Roman"/>
          <w:szCs w:val="28"/>
        </w:rPr>
        <w:t xml:space="preserve"> Саме через це була розроблена Паризька угода, яка</w:t>
      </w:r>
      <w:r w:rsidRPr="00B03EC1">
        <w:rPr>
          <w:rFonts w:ascii="Times New Roman" w:hAnsi="Times New Roman" w:cs="Times New Roman"/>
          <w:szCs w:val="28"/>
        </w:rPr>
        <w:t xml:space="preserve"> спрямована на посилення впровадження положень Рамкової конвенції ООН про зміну клімату та має на меті зміцнення глобального реагування на загрозу зміни клімату в контексті сталого розвитку та зусиль з подолання бідності.</w:t>
      </w:r>
    </w:p>
    <w:p w:rsidR="00B03EC1" w:rsidRPr="00B03EC1" w:rsidRDefault="00B03EC1" w:rsidP="00350984">
      <w:pPr>
        <w:spacing w:line="240" w:lineRule="auto"/>
        <w:rPr>
          <w:rFonts w:ascii="Times New Roman" w:hAnsi="Times New Roman" w:cs="Times New Roman"/>
          <w:szCs w:val="28"/>
        </w:rPr>
      </w:pPr>
      <w:r w:rsidRPr="00B03EC1">
        <w:rPr>
          <w:rFonts w:ascii="Times New Roman" w:hAnsi="Times New Roman" w:cs="Times New Roman"/>
          <w:szCs w:val="28"/>
        </w:rPr>
        <w:t>Угод</w:t>
      </w:r>
      <w:r w:rsidR="00C029FA">
        <w:rPr>
          <w:rFonts w:ascii="Times New Roman" w:hAnsi="Times New Roman" w:cs="Times New Roman"/>
          <w:szCs w:val="28"/>
          <w:lang w:val="ru-RU"/>
        </w:rPr>
        <w:t xml:space="preserve">а </w:t>
      </w:r>
      <w:r w:rsidRPr="00B03EC1">
        <w:rPr>
          <w:rFonts w:ascii="Times New Roman" w:hAnsi="Times New Roman" w:cs="Times New Roman"/>
          <w:szCs w:val="28"/>
        </w:rPr>
        <w:t xml:space="preserve">встановлює лише основу міжнародному режиму зі зміни клімату. Механізми, процедури та інші практичні питання щодо забезпечення співробітництва у рамках Угоди мають бути розроблені протягом наступних чотирьох років та схвалені на першій сесії робочого органу Угоди – Конференції Сторін, </w:t>
      </w:r>
      <w:r w:rsidR="00C029FA" w:rsidRPr="00C029FA">
        <w:rPr>
          <w:rFonts w:ascii="Times New Roman" w:hAnsi="Times New Roman" w:cs="Times New Roman"/>
          <w:szCs w:val="28"/>
        </w:rPr>
        <w:t>що</w:t>
      </w:r>
      <w:r w:rsidRPr="00B03EC1">
        <w:rPr>
          <w:rFonts w:ascii="Times New Roman" w:hAnsi="Times New Roman" w:cs="Times New Roman"/>
          <w:szCs w:val="28"/>
        </w:rPr>
        <w:t xml:space="preserve"> є нарадою Сторін Паризької угоди.</w:t>
      </w:r>
    </w:p>
    <w:p w:rsidR="00B03EC1" w:rsidRPr="00B03EC1" w:rsidRDefault="00B03EC1" w:rsidP="00350984">
      <w:pPr>
        <w:spacing w:line="240" w:lineRule="auto"/>
        <w:rPr>
          <w:rFonts w:ascii="Times New Roman" w:hAnsi="Times New Roman" w:cs="Times New Roman"/>
          <w:szCs w:val="28"/>
        </w:rPr>
      </w:pPr>
      <w:r w:rsidRPr="00B03EC1">
        <w:rPr>
          <w:rFonts w:ascii="Times New Roman" w:hAnsi="Times New Roman" w:cs="Times New Roman"/>
          <w:szCs w:val="28"/>
        </w:rPr>
        <w:t>Для досягнення загальної температурної мети, зазначеної у статті 2 Угоди, Сторони повинні взяти на себе зобов'язання, що відповідають їх політичному та фінансово-економічному потенціалу. Такі зобов'язання відповідно до статті 4 Угоди визначаються на національному рівні та мають відповідну назву - національно визначені внески (далі — НВВ). НВВ повинні переглядатися Стороною кожні п'ять років з метою підвищення рівня їх амбітності.</w:t>
      </w:r>
    </w:p>
    <w:p w:rsidR="00B03EC1" w:rsidRPr="00B03EC1" w:rsidRDefault="00B03EC1" w:rsidP="00350984">
      <w:pPr>
        <w:spacing w:line="240" w:lineRule="auto"/>
        <w:rPr>
          <w:rFonts w:ascii="Times New Roman" w:hAnsi="Times New Roman" w:cs="Times New Roman"/>
          <w:szCs w:val="28"/>
        </w:rPr>
      </w:pPr>
      <w:r w:rsidRPr="00B03EC1">
        <w:rPr>
          <w:rFonts w:ascii="Times New Roman" w:hAnsi="Times New Roman" w:cs="Times New Roman"/>
          <w:szCs w:val="28"/>
        </w:rPr>
        <w:t>У рамках пі</w:t>
      </w:r>
      <w:r w:rsidR="00BE1667">
        <w:rPr>
          <w:rFonts w:ascii="Times New Roman" w:hAnsi="Times New Roman" w:cs="Times New Roman"/>
          <w:szCs w:val="28"/>
        </w:rPr>
        <w:t>дготовки тексту Паризької угоди</w:t>
      </w:r>
      <w:r w:rsidRPr="00B03EC1">
        <w:rPr>
          <w:rFonts w:ascii="Times New Roman" w:hAnsi="Times New Roman" w:cs="Times New Roman"/>
          <w:szCs w:val="28"/>
        </w:rPr>
        <w:t xml:space="preserve"> Україна 30 вересня 2015 року подала свій очікуваний національно визначений внесок, що передбачає обґрунтовану ціль не перевищувати у 2030 році 60% викидів ПГ від рівня таких викидів у 1990 році</w:t>
      </w:r>
      <w:r w:rsidR="00CD0CA6" w:rsidRPr="00CD0CA6">
        <w:rPr>
          <w:rFonts w:ascii="Times New Roman" w:hAnsi="Times New Roman" w:cs="Times New Roman"/>
          <w:szCs w:val="28"/>
        </w:rPr>
        <w:t xml:space="preserve"> (</w:t>
      </w:r>
      <w:r w:rsidR="00CD0CA6">
        <w:rPr>
          <w:rFonts w:ascii="Times New Roman" w:hAnsi="Times New Roman" w:cs="Times New Roman"/>
          <w:szCs w:val="28"/>
        </w:rPr>
        <w:t xml:space="preserve">розпорядження Кабінету Міністрів України від 16.09.2015 </w:t>
      </w:r>
      <w:r w:rsidR="00CD0CA6" w:rsidRPr="00CD0CA6">
        <w:rPr>
          <w:rFonts w:ascii="Times New Roman" w:hAnsi="Times New Roman" w:cs="Times New Roman"/>
          <w:szCs w:val="28"/>
        </w:rPr>
        <w:t>№</w:t>
      </w:r>
      <w:r w:rsidR="00BE1667">
        <w:rPr>
          <w:rFonts w:ascii="Times New Roman" w:hAnsi="Times New Roman" w:cs="Times New Roman"/>
          <w:szCs w:val="28"/>
        </w:rPr>
        <w:t> </w:t>
      </w:r>
      <w:r w:rsidR="00CD0CA6" w:rsidRPr="00CD0CA6">
        <w:rPr>
          <w:rFonts w:ascii="Times New Roman" w:hAnsi="Times New Roman" w:cs="Times New Roman"/>
          <w:szCs w:val="28"/>
        </w:rPr>
        <w:t>980-р</w:t>
      </w:r>
      <w:r w:rsidR="00CD0CA6">
        <w:rPr>
          <w:rFonts w:ascii="Times New Roman" w:hAnsi="Times New Roman" w:cs="Times New Roman"/>
          <w:szCs w:val="28"/>
        </w:rPr>
        <w:t xml:space="preserve"> «</w:t>
      </w:r>
      <w:r w:rsidR="00CD0CA6" w:rsidRPr="00CD0CA6">
        <w:rPr>
          <w:rFonts w:ascii="Times New Roman" w:hAnsi="Times New Roman" w:cs="Times New Roman"/>
          <w:szCs w:val="28"/>
        </w:rPr>
        <w:t>Про схвалення Очікуваного національно визначеного внеску України до проекту нової глобальної кліматичної угоди</w:t>
      </w:r>
      <w:r w:rsidR="00CD0CA6">
        <w:rPr>
          <w:rFonts w:ascii="Times New Roman" w:hAnsi="Times New Roman" w:cs="Times New Roman"/>
          <w:szCs w:val="28"/>
        </w:rPr>
        <w:t>»</w:t>
      </w:r>
      <w:r w:rsidR="00CD0CA6" w:rsidRPr="00CD0CA6">
        <w:rPr>
          <w:rFonts w:ascii="Times New Roman" w:hAnsi="Times New Roman" w:cs="Times New Roman"/>
          <w:szCs w:val="28"/>
        </w:rPr>
        <w:t>)</w:t>
      </w:r>
      <w:r w:rsidRPr="00B03EC1">
        <w:rPr>
          <w:rFonts w:ascii="Times New Roman" w:hAnsi="Times New Roman" w:cs="Times New Roman"/>
          <w:szCs w:val="28"/>
        </w:rPr>
        <w:t xml:space="preserve">. </w:t>
      </w:r>
    </w:p>
    <w:p w:rsidR="00B03EC1" w:rsidRDefault="00B03EC1" w:rsidP="00350984">
      <w:pPr>
        <w:spacing w:line="240" w:lineRule="auto"/>
        <w:rPr>
          <w:rFonts w:ascii="Times New Roman" w:hAnsi="Times New Roman" w:cs="Times New Roman"/>
          <w:szCs w:val="28"/>
        </w:rPr>
      </w:pPr>
      <w:r w:rsidRPr="00B03EC1">
        <w:rPr>
          <w:rFonts w:ascii="Times New Roman" w:hAnsi="Times New Roman" w:cs="Times New Roman"/>
          <w:szCs w:val="28"/>
        </w:rPr>
        <w:t xml:space="preserve">Ставши стороною Угоди, Україна візьме на себе </w:t>
      </w:r>
      <w:r w:rsidR="00C17623">
        <w:rPr>
          <w:rFonts w:ascii="Times New Roman" w:hAnsi="Times New Roman" w:cs="Times New Roman"/>
          <w:szCs w:val="28"/>
        </w:rPr>
        <w:t>додаткові</w:t>
      </w:r>
      <w:r w:rsidRPr="00B03EC1">
        <w:rPr>
          <w:rFonts w:ascii="Times New Roman" w:hAnsi="Times New Roman" w:cs="Times New Roman"/>
          <w:szCs w:val="28"/>
        </w:rPr>
        <w:t xml:space="preserve"> зобов'язання щодо звітності в рамках Угоди. Вона повинна буде надавати інформацію щодо виконання своїх НВВ, використання фінансових ресурсів, повідомляти про наміри та дії щодо адаптації до зміни клімату та інші ін</w:t>
      </w:r>
      <w:r w:rsidR="00BE1667">
        <w:rPr>
          <w:rFonts w:ascii="Times New Roman" w:hAnsi="Times New Roman" w:cs="Times New Roman"/>
          <w:szCs w:val="28"/>
        </w:rPr>
        <w:t>іціативи</w:t>
      </w:r>
      <w:r w:rsidRPr="00B03EC1">
        <w:rPr>
          <w:rFonts w:ascii="Times New Roman" w:hAnsi="Times New Roman" w:cs="Times New Roman"/>
          <w:szCs w:val="28"/>
        </w:rPr>
        <w:t xml:space="preserve"> </w:t>
      </w:r>
      <w:r w:rsidR="00BE1667" w:rsidRPr="00B03EC1">
        <w:rPr>
          <w:rFonts w:ascii="Times New Roman" w:hAnsi="Times New Roman" w:cs="Times New Roman"/>
          <w:szCs w:val="28"/>
        </w:rPr>
        <w:t xml:space="preserve">та </w:t>
      </w:r>
      <w:r w:rsidR="00BE1667">
        <w:rPr>
          <w:rFonts w:ascii="Times New Roman" w:hAnsi="Times New Roman" w:cs="Times New Roman"/>
          <w:szCs w:val="28"/>
        </w:rPr>
        <w:t>стратегії</w:t>
      </w:r>
      <w:r w:rsidRPr="00B03EC1">
        <w:rPr>
          <w:rFonts w:ascii="Times New Roman" w:hAnsi="Times New Roman" w:cs="Times New Roman"/>
          <w:szCs w:val="28"/>
        </w:rPr>
        <w:t xml:space="preserve"> в рамках Угоди. Вся ця інформація використовуватиметься для здійснення колективної оцінки прогресу щодо досягнення мети Угоди, як</w:t>
      </w:r>
      <w:r w:rsidR="00BE1667">
        <w:rPr>
          <w:rFonts w:ascii="Times New Roman" w:hAnsi="Times New Roman" w:cs="Times New Roman"/>
          <w:szCs w:val="28"/>
        </w:rPr>
        <w:t>а</w:t>
      </w:r>
      <w:r w:rsidRPr="00B03EC1">
        <w:rPr>
          <w:rFonts w:ascii="Times New Roman" w:hAnsi="Times New Roman" w:cs="Times New Roman"/>
          <w:szCs w:val="28"/>
        </w:rPr>
        <w:t xml:space="preserve"> матиме назву </w:t>
      </w:r>
      <w:r w:rsidR="004174A8">
        <w:rPr>
          <w:rFonts w:ascii="Times New Roman" w:hAnsi="Times New Roman" w:cs="Times New Roman"/>
          <w:szCs w:val="28"/>
        </w:rPr>
        <w:t>«</w:t>
      </w:r>
      <w:r w:rsidRPr="00B03EC1">
        <w:rPr>
          <w:rFonts w:ascii="Times New Roman" w:hAnsi="Times New Roman" w:cs="Times New Roman"/>
          <w:szCs w:val="28"/>
        </w:rPr>
        <w:t>глобальне під</w:t>
      </w:r>
      <w:r w:rsidR="004174A8">
        <w:rPr>
          <w:rFonts w:ascii="Times New Roman" w:hAnsi="Times New Roman" w:cs="Times New Roman"/>
          <w:szCs w:val="28"/>
        </w:rPr>
        <w:t>биття</w:t>
      </w:r>
      <w:r w:rsidRPr="00B03EC1">
        <w:rPr>
          <w:rFonts w:ascii="Times New Roman" w:hAnsi="Times New Roman" w:cs="Times New Roman"/>
          <w:szCs w:val="28"/>
        </w:rPr>
        <w:t xml:space="preserve"> підсумків</w:t>
      </w:r>
      <w:r w:rsidR="004174A8">
        <w:rPr>
          <w:rFonts w:ascii="Times New Roman" w:hAnsi="Times New Roman" w:cs="Times New Roman"/>
          <w:szCs w:val="28"/>
        </w:rPr>
        <w:t>»</w:t>
      </w:r>
      <w:r w:rsidRPr="00B03EC1">
        <w:rPr>
          <w:rFonts w:ascii="Times New Roman" w:hAnsi="Times New Roman" w:cs="Times New Roman"/>
          <w:szCs w:val="28"/>
        </w:rPr>
        <w:t xml:space="preserve"> та проводитиметься відповідно до статті 14 Конференці</w:t>
      </w:r>
      <w:r w:rsidR="004174A8">
        <w:rPr>
          <w:rFonts w:ascii="Times New Roman" w:hAnsi="Times New Roman" w:cs="Times New Roman"/>
          <w:szCs w:val="28"/>
        </w:rPr>
        <w:t>ї</w:t>
      </w:r>
      <w:r w:rsidRPr="00B03EC1">
        <w:rPr>
          <w:rFonts w:ascii="Times New Roman" w:hAnsi="Times New Roman" w:cs="Times New Roman"/>
          <w:szCs w:val="28"/>
        </w:rPr>
        <w:t xml:space="preserve"> Сторін, яка є н</w:t>
      </w:r>
      <w:r w:rsidR="00C029FA">
        <w:rPr>
          <w:rFonts w:ascii="Times New Roman" w:hAnsi="Times New Roman" w:cs="Times New Roman"/>
          <w:szCs w:val="28"/>
        </w:rPr>
        <w:t xml:space="preserve">арадою Сторін Паризької угоди. </w:t>
      </w:r>
      <w:r w:rsidRPr="00B03EC1">
        <w:rPr>
          <w:rFonts w:ascii="Times New Roman" w:hAnsi="Times New Roman" w:cs="Times New Roman"/>
          <w:szCs w:val="28"/>
        </w:rPr>
        <w:t xml:space="preserve">Вперше така оцінка здійснюватиметься у 2023 році, а у подальшому </w:t>
      </w:r>
      <w:r w:rsidR="004174A8">
        <w:rPr>
          <w:rFonts w:ascii="Times New Roman" w:hAnsi="Times New Roman" w:cs="Times New Roman"/>
          <w:szCs w:val="28"/>
        </w:rPr>
        <w:t xml:space="preserve">- </w:t>
      </w:r>
      <w:r w:rsidRPr="00B03EC1">
        <w:rPr>
          <w:rFonts w:ascii="Times New Roman" w:hAnsi="Times New Roman" w:cs="Times New Roman"/>
          <w:szCs w:val="28"/>
        </w:rPr>
        <w:t>кожні п'ять років з метою забезпеч</w:t>
      </w:r>
      <w:r w:rsidR="004174A8">
        <w:rPr>
          <w:rFonts w:ascii="Times New Roman" w:hAnsi="Times New Roman" w:cs="Times New Roman"/>
          <w:szCs w:val="28"/>
        </w:rPr>
        <w:t>ення</w:t>
      </w:r>
      <w:r w:rsidRPr="00B03EC1">
        <w:rPr>
          <w:rFonts w:ascii="Times New Roman" w:hAnsi="Times New Roman" w:cs="Times New Roman"/>
          <w:szCs w:val="28"/>
        </w:rPr>
        <w:t xml:space="preserve"> інформаційн</w:t>
      </w:r>
      <w:r w:rsidR="004174A8">
        <w:rPr>
          <w:rFonts w:ascii="Times New Roman" w:hAnsi="Times New Roman" w:cs="Times New Roman"/>
          <w:szCs w:val="28"/>
        </w:rPr>
        <w:t>ої</w:t>
      </w:r>
      <w:r w:rsidRPr="00B03EC1">
        <w:rPr>
          <w:rFonts w:ascii="Times New Roman" w:hAnsi="Times New Roman" w:cs="Times New Roman"/>
          <w:szCs w:val="28"/>
        </w:rPr>
        <w:t xml:space="preserve"> баз</w:t>
      </w:r>
      <w:r w:rsidR="004174A8">
        <w:rPr>
          <w:rFonts w:ascii="Times New Roman" w:hAnsi="Times New Roman" w:cs="Times New Roman"/>
          <w:szCs w:val="28"/>
        </w:rPr>
        <w:t>и</w:t>
      </w:r>
      <w:r w:rsidRPr="00B03EC1">
        <w:rPr>
          <w:rFonts w:ascii="Times New Roman" w:hAnsi="Times New Roman" w:cs="Times New Roman"/>
          <w:szCs w:val="28"/>
        </w:rPr>
        <w:t xml:space="preserve"> для перегляду Сторонами своїх НВВ. </w:t>
      </w:r>
      <w:r w:rsidR="00CD0CA6" w:rsidRPr="00C17623">
        <w:rPr>
          <w:rFonts w:ascii="Times New Roman" w:hAnsi="Times New Roman" w:cs="Times New Roman"/>
          <w:szCs w:val="28"/>
        </w:rPr>
        <w:t>Підготовка вищезазначеної звітності потре</w:t>
      </w:r>
      <w:r w:rsidR="004174A8">
        <w:rPr>
          <w:rFonts w:ascii="Times New Roman" w:hAnsi="Times New Roman" w:cs="Times New Roman"/>
          <w:szCs w:val="28"/>
        </w:rPr>
        <w:t>буватиме додаткових видатків з д</w:t>
      </w:r>
      <w:r w:rsidR="00CD0CA6" w:rsidRPr="00C17623">
        <w:rPr>
          <w:rFonts w:ascii="Times New Roman" w:hAnsi="Times New Roman" w:cs="Times New Roman"/>
          <w:szCs w:val="28"/>
        </w:rPr>
        <w:t xml:space="preserve">ержавного бюджету орієнтовно </w:t>
      </w:r>
      <w:r w:rsidR="004174A8">
        <w:rPr>
          <w:rFonts w:ascii="Times New Roman" w:hAnsi="Times New Roman" w:cs="Times New Roman"/>
          <w:szCs w:val="28"/>
        </w:rPr>
        <w:t>в</w:t>
      </w:r>
      <w:r w:rsidR="00CD0CA6" w:rsidRPr="00C17623">
        <w:rPr>
          <w:rFonts w:ascii="Times New Roman" w:hAnsi="Times New Roman" w:cs="Times New Roman"/>
          <w:szCs w:val="28"/>
        </w:rPr>
        <w:t xml:space="preserve"> обсязі до </w:t>
      </w:r>
      <w:r w:rsidR="00C17623" w:rsidRPr="00C17623">
        <w:rPr>
          <w:rFonts w:ascii="Times New Roman" w:hAnsi="Times New Roman" w:cs="Times New Roman"/>
          <w:szCs w:val="28"/>
        </w:rPr>
        <w:t>5</w:t>
      </w:r>
      <w:r w:rsidR="00CD0CA6" w:rsidRPr="00C17623">
        <w:rPr>
          <w:rFonts w:ascii="Times New Roman" w:hAnsi="Times New Roman" w:cs="Times New Roman"/>
          <w:szCs w:val="28"/>
        </w:rPr>
        <w:t xml:space="preserve"> </w:t>
      </w:r>
      <w:r w:rsidR="00C17623" w:rsidRPr="00C17623">
        <w:rPr>
          <w:rFonts w:ascii="Times New Roman" w:hAnsi="Times New Roman" w:cs="Times New Roman"/>
          <w:szCs w:val="28"/>
        </w:rPr>
        <w:t>млн.</w:t>
      </w:r>
      <w:r w:rsidR="00C17623">
        <w:rPr>
          <w:rFonts w:ascii="Times New Roman" w:hAnsi="Times New Roman" w:cs="Times New Roman"/>
          <w:szCs w:val="28"/>
        </w:rPr>
        <w:t> </w:t>
      </w:r>
      <w:r w:rsidR="004174A8">
        <w:rPr>
          <w:rFonts w:ascii="Times New Roman" w:hAnsi="Times New Roman" w:cs="Times New Roman"/>
          <w:szCs w:val="28"/>
        </w:rPr>
        <w:t>грн</w:t>
      </w:r>
      <w:r w:rsidR="00CD0CA6" w:rsidRPr="00C17623">
        <w:rPr>
          <w:rFonts w:ascii="Times New Roman" w:hAnsi="Times New Roman" w:cs="Times New Roman"/>
          <w:szCs w:val="28"/>
        </w:rPr>
        <w:t>. щорічно.</w:t>
      </w:r>
      <w:r w:rsidR="00CD0CA6">
        <w:rPr>
          <w:rFonts w:ascii="Times New Roman" w:hAnsi="Times New Roman" w:cs="Times New Roman"/>
          <w:szCs w:val="28"/>
        </w:rPr>
        <w:t xml:space="preserve"> </w:t>
      </w:r>
    </w:p>
    <w:p w:rsidR="00350984" w:rsidRPr="00350984" w:rsidRDefault="00350984" w:rsidP="00350984">
      <w:pPr>
        <w:spacing w:line="240" w:lineRule="auto"/>
        <w:rPr>
          <w:rFonts w:ascii="Times New Roman" w:hAnsi="Times New Roman" w:cs="Times New Roman"/>
          <w:szCs w:val="28"/>
        </w:rPr>
      </w:pPr>
      <w:r w:rsidRPr="00350984">
        <w:rPr>
          <w:rFonts w:ascii="Times New Roman" w:hAnsi="Times New Roman" w:cs="Times New Roman"/>
          <w:szCs w:val="28"/>
        </w:rPr>
        <w:t xml:space="preserve">Пункт 5 Статті 16 Паризької угоди передбачає </w:t>
      </w:r>
      <w:r w:rsidR="004174A8">
        <w:rPr>
          <w:rFonts w:ascii="Times New Roman" w:hAnsi="Times New Roman" w:cs="Times New Roman"/>
          <w:szCs w:val="28"/>
        </w:rPr>
        <w:t>таке</w:t>
      </w:r>
      <w:r w:rsidRPr="00350984">
        <w:rPr>
          <w:rFonts w:ascii="Times New Roman" w:hAnsi="Times New Roman" w:cs="Times New Roman"/>
          <w:szCs w:val="28"/>
        </w:rPr>
        <w:t xml:space="preserve">: «Правила процедури Конференції Сторін і фінансові процедури, які використовуються відповідно до Конвенції, застосовуються до цієї Угоди </w:t>
      </w:r>
      <w:proofErr w:type="spellStart"/>
      <w:r w:rsidRPr="00350984">
        <w:rPr>
          <w:rFonts w:ascii="Times New Roman" w:hAnsi="Times New Roman" w:cs="Times New Roman"/>
          <w:szCs w:val="28"/>
        </w:rPr>
        <w:t>mutatis</w:t>
      </w:r>
      <w:proofErr w:type="spellEnd"/>
      <w:r w:rsidRPr="00350984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50984">
        <w:rPr>
          <w:rFonts w:ascii="Times New Roman" w:hAnsi="Times New Roman" w:cs="Times New Roman"/>
          <w:szCs w:val="28"/>
        </w:rPr>
        <w:t>mutandis</w:t>
      </w:r>
      <w:proofErr w:type="spellEnd"/>
      <w:r w:rsidRPr="00350984">
        <w:rPr>
          <w:rFonts w:ascii="Times New Roman" w:hAnsi="Times New Roman" w:cs="Times New Roman"/>
          <w:szCs w:val="28"/>
        </w:rPr>
        <w:t xml:space="preserve">, за винятком тих </w:t>
      </w:r>
      <w:r w:rsidRPr="00350984">
        <w:rPr>
          <w:rFonts w:ascii="Times New Roman" w:hAnsi="Times New Roman" w:cs="Times New Roman"/>
          <w:szCs w:val="28"/>
        </w:rPr>
        <w:lastRenderedPageBreak/>
        <w:t>випадків, коли Конференція Сторін, що є нарадою Сторін Паризької угоди, може на основі консенсусу прийняти інше рішення».</w:t>
      </w:r>
    </w:p>
    <w:p w:rsidR="00350984" w:rsidRPr="00350984" w:rsidRDefault="00350984" w:rsidP="00350984">
      <w:pPr>
        <w:spacing w:line="240" w:lineRule="auto"/>
        <w:rPr>
          <w:rFonts w:ascii="Times New Roman" w:hAnsi="Times New Roman" w:cs="Times New Roman"/>
          <w:szCs w:val="28"/>
        </w:rPr>
      </w:pPr>
      <w:r w:rsidRPr="00C17623">
        <w:rPr>
          <w:rFonts w:ascii="Times New Roman" w:hAnsi="Times New Roman" w:cs="Times New Roman"/>
          <w:szCs w:val="28"/>
        </w:rPr>
        <w:t>Відпові</w:t>
      </w:r>
      <w:r w:rsidR="004174A8">
        <w:rPr>
          <w:rFonts w:ascii="Times New Roman" w:hAnsi="Times New Roman" w:cs="Times New Roman"/>
          <w:szCs w:val="28"/>
        </w:rPr>
        <w:t>дно до статті 7.2 (к) Конвенції</w:t>
      </w:r>
      <w:r w:rsidRPr="00C17623">
        <w:rPr>
          <w:rFonts w:ascii="Times New Roman" w:hAnsi="Times New Roman" w:cs="Times New Roman"/>
          <w:szCs w:val="28"/>
        </w:rPr>
        <w:t xml:space="preserve"> перша Конференція Сторін Конвенції ухвалила консенсусом фінансові правила для себе, секретаріату та допоміжних органів. Згідно з Рішенням 15/CP.1 фінансові ресурси включають внески Сторін відповідно до орієнтовної шкали, прийнятої Конференцією Сторін Конвенції на основі консенсусу, добровільні внески Ст</w:t>
      </w:r>
      <w:r w:rsidR="004174A8">
        <w:rPr>
          <w:rFonts w:ascii="Times New Roman" w:hAnsi="Times New Roman" w:cs="Times New Roman"/>
          <w:szCs w:val="28"/>
        </w:rPr>
        <w:t>орін,</w:t>
      </w:r>
      <w:r w:rsidRPr="00C17623">
        <w:rPr>
          <w:rFonts w:ascii="Times New Roman" w:hAnsi="Times New Roman" w:cs="Times New Roman"/>
          <w:szCs w:val="28"/>
        </w:rPr>
        <w:t xml:space="preserve"> невитрачений залишок коштів від попередніх фінансових періодів та інші надходження. Орієнтовна шкала заснована на шкалі внесків Організації Об'єднаних Націй, яка була прийнята Генеральною Асамблеєю, і дотримується принципу, що всі Сторони повинні робити внески до бюджету Конвенції.</w:t>
      </w:r>
      <w:r w:rsidR="00C17623">
        <w:rPr>
          <w:rFonts w:ascii="Times New Roman" w:hAnsi="Times New Roman" w:cs="Times New Roman"/>
          <w:szCs w:val="28"/>
        </w:rPr>
        <w:t xml:space="preserve"> </w:t>
      </w:r>
      <w:r w:rsidRPr="00C17623">
        <w:rPr>
          <w:rFonts w:ascii="Times New Roman" w:hAnsi="Times New Roman" w:cs="Times New Roman"/>
          <w:szCs w:val="28"/>
        </w:rPr>
        <w:t>Таким чином, набуття чинності Паризькою угодою для України передбачатиме фінансовий внесок нашої держави до її бюджету в обсязі відповідно до шкали ООН.</w:t>
      </w:r>
    </w:p>
    <w:p w:rsidR="00B03EC1" w:rsidRPr="00B03EC1" w:rsidRDefault="00B03EC1" w:rsidP="00350984">
      <w:pPr>
        <w:spacing w:line="240" w:lineRule="auto"/>
        <w:rPr>
          <w:rFonts w:ascii="Times New Roman" w:hAnsi="Times New Roman" w:cs="Times New Roman"/>
          <w:szCs w:val="28"/>
        </w:rPr>
      </w:pPr>
      <w:r w:rsidRPr="00B03EC1">
        <w:rPr>
          <w:rFonts w:ascii="Times New Roman" w:hAnsi="Times New Roman" w:cs="Times New Roman"/>
          <w:szCs w:val="28"/>
        </w:rPr>
        <w:t>Відповідно до Угоди розвинені країни повинні надавати фінансову, технічну та інституціональну допомогу країнам, що розвиваються</w:t>
      </w:r>
      <w:r w:rsidR="004174A8">
        <w:rPr>
          <w:rFonts w:ascii="Times New Roman" w:hAnsi="Times New Roman" w:cs="Times New Roman"/>
          <w:szCs w:val="28"/>
        </w:rPr>
        <w:t>,</w:t>
      </w:r>
      <w:r w:rsidRPr="00B03EC1">
        <w:rPr>
          <w:rFonts w:ascii="Times New Roman" w:hAnsi="Times New Roman" w:cs="Times New Roman"/>
          <w:szCs w:val="28"/>
        </w:rPr>
        <w:t xml:space="preserve"> при цьому чіткої диференціації її Сторін вона не передбачає. Положення пунктів 1-2 статті 9 визначають, що Україна не матиме фінансових зобов'язань у рамках Угоди. Лише розвинені країни, </w:t>
      </w:r>
      <w:r w:rsidR="004174A8">
        <w:rPr>
          <w:rFonts w:ascii="Times New Roman" w:hAnsi="Times New Roman" w:cs="Times New Roman"/>
          <w:szCs w:val="28"/>
        </w:rPr>
        <w:t>у</w:t>
      </w:r>
      <w:r w:rsidRPr="00B03EC1">
        <w:rPr>
          <w:rFonts w:ascii="Times New Roman" w:hAnsi="Times New Roman" w:cs="Times New Roman"/>
          <w:szCs w:val="28"/>
        </w:rPr>
        <w:t xml:space="preserve"> продовження своїх існуючих зобов'язань за Конвенцією, повинні надавати фінансову допомогу. Країни, що </w:t>
      </w:r>
      <w:r w:rsidR="004174A8">
        <w:rPr>
          <w:rFonts w:ascii="Times New Roman" w:hAnsi="Times New Roman" w:cs="Times New Roman"/>
          <w:szCs w:val="28"/>
        </w:rPr>
        <w:t>наведені</w:t>
      </w:r>
      <w:r w:rsidRPr="00B03EC1">
        <w:rPr>
          <w:rFonts w:ascii="Times New Roman" w:hAnsi="Times New Roman" w:cs="Times New Roman"/>
          <w:szCs w:val="28"/>
        </w:rPr>
        <w:t xml:space="preserve"> у додатку ІІ до Конвенції</w:t>
      </w:r>
      <w:r w:rsidR="004174A8">
        <w:rPr>
          <w:rFonts w:ascii="Times New Roman" w:hAnsi="Times New Roman" w:cs="Times New Roman"/>
          <w:szCs w:val="28"/>
        </w:rPr>
        <w:t>,</w:t>
      </w:r>
      <w:r w:rsidRPr="00B03EC1">
        <w:rPr>
          <w:rFonts w:ascii="Times New Roman" w:hAnsi="Times New Roman" w:cs="Times New Roman"/>
          <w:szCs w:val="28"/>
        </w:rPr>
        <w:t xml:space="preserve"> мали фінансові зобов’язання за Конвенцією. Україна не входить до зазначеного переліку. </w:t>
      </w:r>
    </w:p>
    <w:p w:rsidR="00B03EC1" w:rsidRPr="00B03EC1" w:rsidRDefault="00B03EC1" w:rsidP="00350984">
      <w:pPr>
        <w:spacing w:line="240" w:lineRule="auto"/>
        <w:rPr>
          <w:rFonts w:ascii="Times New Roman" w:hAnsi="Times New Roman" w:cs="Times New Roman"/>
          <w:szCs w:val="28"/>
        </w:rPr>
      </w:pPr>
      <w:r w:rsidRPr="00B03EC1">
        <w:rPr>
          <w:rFonts w:ascii="Times New Roman" w:hAnsi="Times New Roman" w:cs="Times New Roman"/>
          <w:szCs w:val="28"/>
        </w:rPr>
        <w:t>Отримувати фінансову допомогу відповідно до статті 9 мають право країни, що розвиваються, але перелік таких країн в Угоді відсутній. Немає такого переліку і в К</w:t>
      </w:r>
      <w:r w:rsidR="004174A8">
        <w:rPr>
          <w:rFonts w:ascii="Times New Roman" w:hAnsi="Times New Roman" w:cs="Times New Roman"/>
          <w:szCs w:val="28"/>
        </w:rPr>
        <w:t>онвенції. З огляду на зазначене</w:t>
      </w:r>
      <w:r w:rsidRPr="00B03EC1">
        <w:rPr>
          <w:rFonts w:ascii="Times New Roman" w:hAnsi="Times New Roman" w:cs="Times New Roman"/>
          <w:szCs w:val="28"/>
        </w:rPr>
        <w:t xml:space="preserve"> передбачається можливість, що процедури отримання фінансової допомоги матимуть так звані критерії відповідності, за якими визначатимуться доступ до фінансової, технологічної та інституційної допомоги в рамках Угоди. Всі ці процедури будуть розроблятися додатково та затверджуватися рішеннями Конференції Сторін, яка є нарадою Сторін Паризької угоди. Отже</w:t>
      </w:r>
      <w:r w:rsidR="004174A8">
        <w:rPr>
          <w:rFonts w:ascii="Times New Roman" w:hAnsi="Times New Roman" w:cs="Times New Roman"/>
          <w:szCs w:val="28"/>
        </w:rPr>
        <w:t>,</w:t>
      </w:r>
      <w:r w:rsidRPr="00B03EC1">
        <w:rPr>
          <w:rFonts w:ascii="Times New Roman" w:hAnsi="Times New Roman" w:cs="Times New Roman"/>
          <w:szCs w:val="28"/>
        </w:rPr>
        <w:t xml:space="preserve"> для забезпечення отримання Україною фінансової підтримки необхідно забезпечити розробку таких процедур, які б давали Україні доступ до фінансових механізмів. </w:t>
      </w:r>
    </w:p>
    <w:p w:rsidR="00B03EC1" w:rsidRPr="00B03EC1" w:rsidRDefault="00B03EC1" w:rsidP="00350984">
      <w:pPr>
        <w:spacing w:line="240" w:lineRule="auto"/>
        <w:rPr>
          <w:rFonts w:ascii="Times New Roman" w:hAnsi="Times New Roman" w:cs="Times New Roman"/>
          <w:szCs w:val="28"/>
        </w:rPr>
      </w:pPr>
      <w:r w:rsidRPr="00B03EC1">
        <w:rPr>
          <w:rFonts w:ascii="Times New Roman" w:hAnsi="Times New Roman" w:cs="Times New Roman"/>
          <w:szCs w:val="28"/>
        </w:rPr>
        <w:t xml:space="preserve">Також залучення фінансової допомоги можливо через механізми, зазначені у статті 6 Угоди. Стаття 6 Угоди передбачає здійснення добровільної співпраці задля підвищення амбітності дій щодо запобігання зміні клімату та адаптації до неї. Також вона передбачає встановлення механізму сприяння скороченню викидів парникових газів і підтримки сталого розвитку. </w:t>
      </w:r>
      <w:r w:rsidR="004174A8" w:rsidRPr="004174A8">
        <w:rPr>
          <w:rFonts w:ascii="Times New Roman" w:hAnsi="Times New Roman" w:cs="Times New Roman"/>
          <w:szCs w:val="28"/>
        </w:rPr>
        <w:t xml:space="preserve">Досвід роботи в рамках Кіотського протоколу дає Україні великі шанси щодо залучення закордонних інвесторів до співробітництва у різних секторах економіки з метою зменшення викидів парникових газів та забезпечення адаптації до зміни клімату.  </w:t>
      </w:r>
      <w:r w:rsidRPr="00B03EC1">
        <w:rPr>
          <w:rFonts w:ascii="Times New Roman" w:hAnsi="Times New Roman" w:cs="Times New Roman"/>
          <w:szCs w:val="28"/>
        </w:rPr>
        <w:t xml:space="preserve"> 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Україна вже стикається з дуже високими температурами повітря, зміною гідрологічних умов та більш частими та інтенсивними екстремальними явищами – посухами, повенями, бурями, лісовими пожежами тощо. Вартість подолання наслідків стихійних лих істотно збільшилась. 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>Україна є активним учасником боротьби зі зміною клімату, однак без більш активних дій ця проблема у майбутньому лише більше загостриться та безпосередньо впливатиме на добробут та здоров’я населення.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b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Проблема зміни клімату у перспективі загрожуватиме не лише екології, а й населенню та економіці України. Більш того, різними вченими неодноразово було доведено, що вартість заходів із запобігання зміні клімату (зниження викидів парникових газів) є набагато меншою та рентабельнішою, ніж вартість адаптації до зміни клімату, а для України адаптаційні заходи, в першу чергу, будуть необхідні для найбільшої </w:t>
      </w:r>
      <w:proofErr w:type="spellStart"/>
      <w:r>
        <w:rPr>
          <w:szCs w:val="28"/>
          <w:lang w:val="uk-UA" w:eastAsia="uk-UA"/>
        </w:rPr>
        <w:t>експортноорієнтовної</w:t>
      </w:r>
      <w:proofErr w:type="spellEnd"/>
      <w:r>
        <w:rPr>
          <w:szCs w:val="28"/>
          <w:lang w:val="uk-UA" w:eastAsia="uk-UA"/>
        </w:rPr>
        <w:t xml:space="preserve"> галузі економіки – аграрного сектору. Тому проблема зміни клімату є не лише екологічною та соціальною проблемою, а також економ</w:t>
      </w:r>
      <w:r w:rsidR="004174A8">
        <w:rPr>
          <w:szCs w:val="28"/>
          <w:lang w:val="uk-UA" w:eastAsia="uk-UA"/>
        </w:rPr>
        <w:t>іко-політичною. В цьому випадку</w:t>
      </w:r>
      <w:r>
        <w:rPr>
          <w:szCs w:val="28"/>
          <w:lang w:val="uk-UA" w:eastAsia="uk-UA"/>
        </w:rPr>
        <w:t xml:space="preserve"> </w:t>
      </w:r>
      <w:r w:rsidR="00C17623">
        <w:rPr>
          <w:szCs w:val="28"/>
          <w:lang w:val="uk-UA" w:eastAsia="uk-UA"/>
        </w:rPr>
        <w:t>ратифікація</w:t>
      </w:r>
      <w:r>
        <w:rPr>
          <w:szCs w:val="28"/>
          <w:lang w:val="uk-UA" w:eastAsia="uk-UA"/>
        </w:rPr>
        <w:t xml:space="preserve"> Україною Угоди є необхідним кроком на шляху до подолання зазначених проблем та поступового переходу до сталого розвитку країни.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По</w:t>
      </w:r>
      <w:r w:rsidR="004174A8">
        <w:rPr>
          <w:szCs w:val="28"/>
          <w:lang w:val="uk-UA" w:eastAsia="uk-UA"/>
        </w:rPr>
        <w:t>ряд з комунальним господарством</w:t>
      </w:r>
      <w:r>
        <w:rPr>
          <w:szCs w:val="28"/>
          <w:lang w:val="uk-UA" w:eastAsia="uk-UA"/>
        </w:rPr>
        <w:t xml:space="preserve"> сільське господарство України входить до числа найбільш чутливих до змін клімату секторів вітчизняної економіки, оскільки потребуватиме залучення додаткового фінансування у</w:t>
      </w:r>
      <w:r w:rsidR="004174A8">
        <w:rPr>
          <w:szCs w:val="28"/>
          <w:lang w:val="uk-UA" w:eastAsia="uk-UA"/>
        </w:rPr>
        <w:t xml:space="preserve"> здійсненні</w:t>
      </w:r>
      <w:r>
        <w:rPr>
          <w:szCs w:val="28"/>
          <w:lang w:val="uk-UA" w:eastAsia="uk-UA"/>
        </w:rPr>
        <w:t xml:space="preserve"> заход</w:t>
      </w:r>
      <w:r w:rsidR="004174A8">
        <w:rPr>
          <w:szCs w:val="28"/>
          <w:lang w:val="uk-UA" w:eastAsia="uk-UA"/>
        </w:rPr>
        <w:t>ів</w:t>
      </w:r>
      <w:r>
        <w:rPr>
          <w:szCs w:val="28"/>
          <w:lang w:val="uk-UA" w:eastAsia="uk-UA"/>
        </w:rPr>
        <w:t xml:space="preserve"> з адаптації до зміни клімату.  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Сільське господарств</w:t>
      </w:r>
      <w:r w:rsidR="004174A8">
        <w:rPr>
          <w:szCs w:val="28"/>
          <w:lang w:val="uk-UA" w:eastAsia="uk-UA"/>
        </w:rPr>
        <w:t>о</w:t>
      </w:r>
      <w:r>
        <w:rPr>
          <w:szCs w:val="28"/>
          <w:lang w:val="uk-UA" w:eastAsia="uk-UA"/>
        </w:rPr>
        <w:t xml:space="preserve"> є найбільшим користувачем земельних та водних ресурсів (</w:t>
      </w:r>
      <w:r w:rsidR="004174A8">
        <w:rPr>
          <w:szCs w:val="28"/>
          <w:lang w:val="uk-UA" w:eastAsia="uk-UA"/>
        </w:rPr>
        <w:t>у</w:t>
      </w:r>
      <w:r>
        <w:rPr>
          <w:szCs w:val="28"/>
          <w:lang w:val="uk-UA" w:eastAsia="uk-UA"/>
        </w:rPr>
        <w:t xml:space="preserve"> середньому 70% їх загального обсягу, задіяного в економіці), умови використання яких під впливом змін клімату стають жорсткішими. Лише покращення умов </w:t>
      </w:r>
      <w:proofErr w:type="spellStart"/>
      <w:r>
        <w:rPr>
          <w:szCs w:val="28"/>
          <w:lang w:val="uk-UA" w:eastAsia="uk-UA"/>
        </w:rPr>
        <w:t>теплозабезпечення</w:t>
      </w:r>
      <w:proofErr w:type="spellEnd"/>
      <w:r>
        <w:rPr>
          <w:szCs w:val="28"/>
          <w:lang w:val="uk-UA" w:eastAsia="uk-UA"/>
        </w:rPr>
        <w:t xml:space="preserve"> росту сільськогосподарських культур в Укр</w:t>
      </w:r>
      <w:r w:rsidR="004174A8">
        <w:rPr>
          <w:szCs w:val="28"/>
          <w:lang w:val="uk-UA" w:eastAsia="uk-UA"/>
        </w:rPr>
        <w:t xml:space="preserve">аїні до 2030 р. розглядається як </w:t>
      </w:r>
      <w:r>
        <w:rPr>
          <w:szCs w:val="28"/>
          <w:lang w:val="uk-UA" w:eastAsia="uk-UA"/>
        </w:rPr>
        <w:t>фактор позитивного впливу глобальних змін клімату, натомість решта змінюваних кліматичних умов характеризу</w:t>
      </w:r>
      <w:r w:rsidR="004174A8">
        <w:rPr>
          <w:szCs w:val="28"/>
          <w:lang w:val="uk-UA" w:eastAsia="uk-UA"/>
        </w:rPr>
        <w:t>є</w:t>
      </w:r>
      <w:r>
        <w:rPr>
          <w:szCs w:val="28"/>
          <w:lang w:val="uk-UA" w:eastAsia="uk-UA"/>
        </w:rPr>
        <w:t xml:space="preserve">ться переважно негативним характером впливу: зменшення частоти та інтенсивності опадів, відсутність стійкого сніжного покриву, підвищення значень та тривалості дії екстремальних температур </w:t>
      </w:r>
      <w:r w:rsidR="004174A8">
        <w:rPr>
          <w:szCs w:val="28"/>
          <w:lang w:val="uk-UA" w:eastAsia="uk-UA"/>
        </w:rPr>
        <w:t>тощо.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 w:rsidRPr="00C17623">
        <w:rPr>
          <w:szCs w:val="28"/>
          <w:lang w:val="uk-UA" w:eastAsia="uk-UA"/>
        </w:rPr>
        <w:t xml:space="preserve">За оцінками, зробленими </w:t>
      </w:r>
      <w:r w:rsidR="008642DE" w:rsidRPr="00C17623">
        <w:rPr>
          <w:szCs w:val="28"/>
          <w:lang w:val="uk-UA"/>
        </w:rPr>
        <w:t>ДУ "Інститут економіки та прогнозування НАН України"</w:t>
      </w:r>
      <w:r w:rsidR="004174A8">
        <w:rPr>
          <w:szCs w:val="28"/>
          <w:lang w:val="uk-UA"/>
        </w:rPr>
        <w:t xml:space="preserve"> </w:t>
      </w:r>
      <w:r w:rsidRPr="00C17623">
        <w:rPr>
          <w:szCs w:val="28"/>
          <w:lang w:val="uk-UA" w:eastAsia="uk-UA"/>
        </w:rPr>
        <w:t>у рамках проекту Агентства США з міжнародного розвитку "Муніципальна</w:t>
      </w:r>
      <w:r>
        <w:rPr>
          <w:szCs w:val="28"/>
          <w:lang w:val="uk-UA" w:eastAsia="uk-UA"/>
        </w:rPr>
        <w:t xml:space="preserve"> енергетична реформа в Україні", якщо жодних економіко-соціальних змін не відбудеться, Україна без суттєвих зусиль здатна виконати свої зобов'язання у рамках Паризької угоди</w:t>
      </w:r>
      <w:r w:rsidR="00806D60">
        <w:rPr>
          <w:szCs w:val="28"/>
          <w:lang w:val="uk-UA" w:eastAsia="uk-UA"/>
        </w:rPr>
        <w:t xml:space="preserve">, тобто очікуваного </w:t>
      </w:r>
      <w:r w:rsidR="00592AAD">
        <w:rPr>
          <w:szCs w:val="28"/>
          <w:lang w:val="uk-UA" w:eastAsia="uk-UA"/>
        </w:rPr>
        <w:t>НВВ</w:t>
      </w:r>
      <w:r>
        <w:rPr>
          <w:szCs w:val="28"/>
          <w:lang w:val="uk-UA" w:eastAsia="uk-UA"/>
        </w:rPr>
        <w:t xml:space="preserve">, оскільки наразі спостерігається падіння </w:t>
      </w:r>
      <w:r w:rsidR="004174A8">
        <w:rPr>
          <w:szCs w:val="28"/>
          <w:lang w:val="uk-UA" w:eastAsia="uk-UA"/>
        </w:rPr>
        <w:t>виробництва, про що свідчать да</w:t>
      </w:r>
      <w:r>
        <w:rPr>
          <w:szCs w:val="28"/>
          <w:lang w:val="uk-UA" w:eastAsia="uk-UA"/>
        </w:rPr>
        <w:t>ні Національного кадастру антропогенних викидів із джерел та абсорбції викидів та поглинання ПГ (у 2012-2013 рр. викиди ПГ в Україні становили 42-43% від рівня таких викидів у 1990 р., а у 2014-2016 рр.</w:t>
      </w:r>
      <w:r w:rsidR="004174A8">
        <w:rPr>
          <w:szCs w:val="28"/>
          <w:lang w:val="uk-UA" w:eastAsia="uk-UA"/>
        </w:rPr>
        <w:t xml:space="preserve"> -</w:t>
      </w:r>
      <w:r>
        <w:rPr>
          <w:szCs w:val="28"/>
          <w:lang w:val="uk-UA" w:eastAsia="uk-UA"/>
        </w:rPr>
        <w:t xml:space="preserve"> ще менше). </w:t>
      </w:r>
    </w:p>
    <w:p w:rsidR="00B03EC1" w:rsidRDefault="004174A8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Однак</w:t>
      </w:r>
      <w:r w:rsidR="00B03EC1">
        <w:rPr>
          <w:szCs w:val="28"/>
          <w:lang w:val="uk-UA" w:eastAsia="uk-UA"/>
        </w:rPr>
        <w:t xml:space="preserve"> для того, щоб досягти європейського рівня життя, декларованого у Стратегії сталого розвитку "Україна - 2020"</w:t>
      </w:r>
      <w:r>
        <w:rPr>
          <w:szCs w:val="28"/>
          <w:lang w:val="uk-UA" w:eastAsia="uk-UA"/>
        </w:rPr>
        <w:t>,</w:t>
      </w:r>
      <w:r w:rsidR="00B03EC1">
        <w:rPr>
          <w:szCs w:val="28"/>
          <w:lang w:val="uk-UA" w:eastAsia="uk-UA"/>
        </w:rPr>
        <w:t xml:space="preserve"> необхідно значно підви</w:t>
      </w:r>
      <w:r>
        <w:rPr>
          <w:szCs w:val="28"/>
          <w:lang w:val="uk-UA" w:eastAsia="uk-UA"/>
        </w:rPr>
        <w:t>щ</w:t>
      </w:r>
      <w:r w:rsidR="00B03EC1">
        <w:rPr>
          <w:szCs w:val="28"/>
          <w:lang w:val="uk-UA" w:eastAsia="uk-UA"/>
        </w:rPr>
        <w:t>ити рівень ВВП, тобто впровадити економіко-соціальні та політичні реформи, що дадуть змогу збільшити обсяг виробництва, що</w:t>
      </w:r>
      <w:r>
        <w:rPr>
          <w:szCs w:val="28"/>
          <w:lang w:val="uk-UA" w:eastAsia="uk-UA"/>
        </w:rPr>
        <w:t>,</w:t>
      </w:r>
      <w:r w:rsidR="00B03EC1">
        <w:rPr>
          <w:szCs w:val="28"/>
          <w:lang w:val="uk-UA" w:eastAsia="uk-UA"/>
        </w:rPr>
        <w:t xml:space="preserve"> в свою чергу</w:t>
      </w:r>
      <w:r>
        <w:rPr>
          <w:szCs w:val="28"/>
          <w:lang w:val="uk-UA" w:eastAsia="uk-UA"/>
        </w:rPr>
        <w:t>,</w:t>
      </w:r>
      <w:r w:rsidR="00B03EC1">
        <w:rPr>
          <w:szCs w:val="28"/>
          <w:lang w:val="uk-UA" w:eastAsia="uk-UA"/>
        </w:rPr>
        <w:t xml:space="preserve"> призведе до збільшення викидів ПГ в Україні</w:t>
      </w:r>
      <w:r>
        <w:rPr>
          <w:szCs w:val="28"/>
          <w:lang w:val="uk-UA" w:eastAsia="uk-UA"/>
        </w:rPr>
        <w:t>,</w:t>
      </w:r>
      <w:r w:rsidR="00B03EC1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о</w:t>
      </w:r>
      <w:r w:rsidR="00B03EC1">
        <w:rPr>
          <w:szCs w:val="28"/>
          <w:lang w:val="uk-UA" w:eastAsia="uk-UA"/>
        </w:rPr>
        <w:t xml:space="preserve">скільки лише збільшення виробництва не вирішить таких проблем, як високий ступінь зношення вітчизняної інфраструктури, зокрема енергетичної, і значний рівень </w:t>
      </w:r>
      <w:proofErr w:type="spellStart"/>
      <w:r w:rsidR="00B03EC1">
        <w:rPr>
          <w:szCs w:val="28"/>
          <w:lang w:val="uk-UA" w:eastAsia="uk-UA"/>
        </w:rPr>
        <w:t>енерго-</w:t>
      </w:r>
      <w:proofErr w:type="spellEnd"/>
      <w:r w:rsidR="00B03EC1">
        <w:rPr>
          <w:szCs w:val="28"/>
          <w:lang w:val="uk-UA" w:eastAsia="uk-UA"/>
        </w:rPr>
        <w:t xml:space="preserve"> та </w:t>
      </w:r>
      <w:proofErr w:type="spellStart"/>
      <w:r w:rsidR="00B03EC1">
        <w:rPr>
          <w:szCs w:val="28"/>
          <w:lang w:val="uk-UA" w:eastAsia="uk-UA"/>
        </w:rPr>
        <w:t>вуглецеємності</w:t>
      </w:r>
      <w:proofErr w:type="spellEnd"/>
      <w:r w:rsidR="00B03EC1">
        <w:rPr>
          <w:szCs w:val="28"/>
          <w:lang w:val="uk-UA" w:eastAsia="uk-UA"/>
        </w:rPr>
        <w:t xml:space="preserve"> економіки, а також невідповідність рівня енергетичної безпеки сучасним умовам через моральну застарілість технологій видобутку, постачання, трансформації, використання та </w:t>
      </w:r>
      <w:r w:rsidR="00B03EC1">
        <w:rPr>
          <w:szCs w:val="28"/>
          <w:lang w:val="uk-UA" w:eastAsia="uk-UA"/>
        </w:rPr>
        <w:lastRenderedPageBreak/>
        <w:t>споживання енергоресурсів та мізерне використання відновлювальних джерел енергії (далі - ВДЕ).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З іншого боку, Україна може обрати більш перспективну модель соціально-економічного розвитку, тобто таку, яка знизить інтенсивність використання енергетичних ресу</w:t>
      </w:r>
      <w:r w:rsidR="004174A8">
        <w:rPr>
          <w:szCs w:val="28"/>
          <w:lang w:val="uk-UA" w:eastAsia="uk-UA"/>
        </w:rPr>
        <w:t>рсів, збільшить потік інвестицій</w:t>
      </w:r>
      <w:r>
        <w:rPr>
          <w:szCs w:val="28"/>
          <w:lang w:val="uk-UA" w:eastAsia="uk-UA"/>
        </w:rPr>
        <w:t xml:space="preserve"> для впровадження інноваційних технологій та водночас задовольнить потреби населення та економіки в енергетичних послугах. </w:t>
      </w:r>
    </w:p>
    <w:p w:rsidR="00B03EC1" w:rsidRDefault="004174A8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У</w:t>
      </w:r>
      <w:r w:rsidR="00B03EC1">
        <w:rPr>
          <w:szCs w:val="28"/>
          <w:lang w:val="uk-UA" w:eastAsia="uk-UA"/>
        </w:rPr>
        <w:t xml:space="preserve"> цьому випадку підписання Угоди стає послідовним та логічним кроком, оскільки актуальність заходів з енергоефективності, енергозбереження та інтенси</w:t>
      </w:r>
      <w:r w:rsidR="00806D60">
        <w:rPr>
          <w:szCs w:val="28"/>
          <w:lang w:val="uk-UA" w:eastAsia="uk-UA"/>
        </w:rPr>
        <w:t xml:space="preserve">фікації використання економічно </w:t>
      </w:r>
      <w:r w:rsidR="00B03EC1">
        <w:rPr>
          <w:szCs w:val="28"/>
          <w:lang w:val="uk-UA" w:eastAsia="uk-UA"/>
        </w:rPr>
        <w:t>доцільного потенціалу ВДЕ вже не обмежується лише прагненням забезпечити сталий економічний розвиток держави або підвищити конкурентоспроможність вітчизняної продукції</w:t>
      </w:r>
      <w:r>
        <w:rPr>
          <w:szCs w:val="28"/>
          <w:lang w:val="uk-UA" w:eastAsia="uk-UA"/>
        </w:rPr>
        <w:t>.</w:t>
      </w:r>
      <w:r w:rsidR="00B03EC1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Ц</w:t>
      </w:r>
      <w:r w:rsidR="00806D60">
        <w:rPr>
          <w:szCs w:val="28"/>
          <w:lang w:val="uk-UA" w:eastAsia="uk-UA"/>
        </w:rPr>
        <w:t>і заходи перетворюю</w:t>
      </w:r>
      <w:r w:rsidR="00B03EC1">
        <w:rPr>
          <w:szCs w:val="28"/>
          <w:lang w:val="uk-UA" w:eastAsia="uk-UA"/>
        </w:rPr>
        <w:t>ться на необхідну умову нормального функціонування економіки та задоволення енергетичних потреб населення, що вимагатиме максимальної концентрації адміністративних і фінансових ресурсів на національному рівні, з урахуванням особливостей реалізації та фінансування проектів з енергоефективності та широкого використання ВДЕ в окремих секторах.</w:t>
      </w:r>
    </w:p>
    <w:p w:rsidR="00B03EC1" w:rsidRDefault="004174A8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Враховуючи, що у</w:t>
      </w:r>
      <w:r w:rsidR="00B03EC1">
        <w:rPr>
          <w:szCs w:val="28"/>
          <w:lang w:val="uk-UA" w:eastAsia="uk-UA"/>
        </w:rPr>
        <w:t xml:space="preserve">продовж 1990-2012 рр. викиди ПГ в секторі "Енергетика" (в розумінні </w:t>
      </w:r>
      <w:r w:rsidRPr="004174A8">
        <w:rPr>
          <w:szCs w:val="28"/>
          <w:lang w:val="uk-UA" w:eastAsia="uk-UA"/>
        </w:rPr>
        <w:t>Міжурядов</w:t>
      </w:r>
      <w:r>
        <w:rPr>
          <w:szCs w:val="28"/>
          <w:lang w:val="uk-UA" w:eastAsia="uk-UA"/>
        </w:rPr>
        <w:t>ої</w:t>
      </w:r>
      <w:r w:rsidRPr="004174A8">
        <w:rPr>
          <w:szCs w:val="28"/>
          <w:lang w:val="uk-UA" w:eastAsia="uk-UA"/>
        </w:rPr>
        <w:t xml:space="preserve"> гр</w:t>
      </w:r>
      <w:r>
        <w:rPr>
          <w:szCs w:val="28"/>
          <w:lang w:val="uk-UA" w:eastAsia="uk-UA"/>
        </w:rPr>
        <w:t>у</w:t>
      </w:r>
      <w:r w:rsidRPr="004174A8">
        <w:rPr>
          <w:szCs w:val="28"/>
          <w:lang w:val="uk-UA" w:eastAsia="uk-UA"/>
        </w:rPr>
        <w:t>п</w:t>
      </w:r>
      <w:r>
        <w:rPr>
          <w:szCs w:val="28"/>
          <w:lang w:val="uk-UA" w:eastAsia="uk-UA"/>
        </w:rPr>
        <w:t>и</w:t>
      </w:r>
      <w:r w:rsidRPr="004174A8">
        <w:rPr>
          <w:szCs w:val="28"/>
          <w:lang w:val="uk-UA" w:eastAsia="uk-UA"/>
        </w:rPr>
        <w:t xml:space="preserve"> експ</w:t>
      </w:r>
      <w:r>
        <w:rPr>
          <w:szCs w:val="28"/>
          <w:lang w:val="uk-UA" w:eastAsia="uk-UA"/>
        </w:rPr>
        <w:t>е</w:t>
      </w:r>
      <w:r w:rsidRPr="004174A8">
        <w:rPr>
          <w:szCs w:val="28"/>
          <w:lang w:val="uk-UA" w:eastAsia="uk-UA"/>
        </w:rPr>
        <w:t>ртів з пит</w:t>
      </w:r>
      <w:r>
        <w:rPr>
          <w:szCs w:val="28"/>
          <w:lang w:val="uk-UA" w:eastAsia="uk-UA"/>
        </w:rPr>
        <w:t>а</w:t>
      </w:r>
      <w:r w:rsidRPr="004174A8">
        <w:rPr>
          <w:szCs w:val="28"/>
          <w:lang w:val="uk-UA" w:eastAsia="uk-UA"/>
        </w:rPr>
        <w:t>нь змін</w:t>
      </w:r>
      <w:r>
        <w:rPr>
          <w:szCs w:val="28"/>
          <w:lang w:val="uk-UA" w:eastAsia="uk-UA"/>
        </w:rPr>
        <w:t>и</w:t>
      </w:r>
      <w:r w:rsidRPr="004174A8">
        <w:rPr>
          <w:szCs w:val="28"/>
          <w:lang w:val="uk-UA" w:eastAsia="uk-UA"/>
        </w:rPr>
        <w:t xml:space="preserve"> клімату</w:t>
      </w:r>
      <w:r w:rsidR="00B03EC1">
        <w:rPr>
          <w:szCs w:val="28"/>
          <w:lang w:val="uk-UA" w:eastAsia="uk-UA"/>
        </w:rPr>
        <w:t xml:space="preserve">) </w:t>
      </w:r>
      <w:r>
        <w:rPr>
          <w:szCs w:val="28"/>
          <w:lang w:val="uk-UA" w:eastAsia="uk-UA"/>
        </w:rPr>
        <w:t>становили</w:t>
      </w:r>
      <w:r w:rsidR="00B03EC1">
        <w:rPr>
          <w:szCs w:val="28"/>
          <w:lang w:val="uk-UA" w:eastAsia="uk-UA"/>
        </w:rPr>
        <w:t xml:space="preserve"> 75,9-79,5% від загальних викидів ПГ, а разом із сектором "Промислові процеси" – 85,2-90,1%, то очевидно, що саме викиди ПГ у цих секторах визначали і будуть визначати динаміку загальних викидів ПГ в Україні, а реалізація заходів з енергоефективності, енергозбереження та інтенсифікації використання ВДЕ буд</w:t>
      </w:r>
      <w:r w:rsidR="007037AA">
        <w:rPr>
          <w:szCs w:val="28"/>
          <w:lang w:val="uk-UA" w:eastAsia="uk-UA"/>
        </w:rPr>
        <w:t>е</w:t>
      </w:r>
      <w:r w:rsidR="00B03EC1">
        <w:rPr>
          <w:szCs w:val="28"/>
          <w:lang w:val="uk-UA" w:eastAsia="uk-UA"/>
        </w:rPr>
        <w:t xml:space="preserve"> сприяти суттєвому скороченню. 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Отже, скорочення викидів ПГ в Україні напряму залежать від запровадження заходів з енергоефективності, енергозбереження, широкого використання ВДЕ, а також оптимізації структури вик</w:t>
      </w:r>
      <w:r w:rsidR="007037AA">
        <w:rPr>
          <w:szCs w:val="28"/>
          <w:lang w:val="uk-UA" w:eastAsia="uk-UA"/>
        </w:rPr>
        <w:t>ористання енергетичних ресурсів</w:t>
      </w:r>
      <w:r>
        <w:rPr>
          <w:szCs w:val="28"/>
          <w:lang w:val="uk-UA" w:eastAsia="uk-UA"/>
        </w:rPr>
        <w:t xml:space="preserve"> як в секторах економіки, так і населенням.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Впровадження таки</w:t>
      </w:r>
      <w:r w:rsidR="007037AA">
        <w:rPr>
          <w:szCs w:val="28"/>
          <w:lang w:val="uk-UA" w:eastAsia="uk-UA"/>
        </w:rPr>
        <w:t>х заходів є економічно вигідним</w:t>
      </w:r>
      <w:r>
        <w:rPr>
          <w:szCs w:val="28"/>
          <w:lang w:val="uk-UA" w:eastAsia="uk-UA"/>
        </w:rPr>
        <w:t xml:space="preserve"> для України у перспективі та матиме позитивні економічні ефекти. 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Зокрема, основне прискорення темпів приросту макроекономічних та галузевих показників спостерігатим</w:t>
      </w:r>
      <w:r w:rsidR="007037AA">
        <w:rPr>
          <w:szCs w:val="28"/>
          <w:lang w:val="uk-UA" w:eastAsia="uk-UA"/>
        </w:rPr>
        <w:t>е</w:t>
      </w:r>
      <w:r>
        <w:rPr>
          <w:szCs w:val="28"/>
          <w:lang w:val="uk-UA" w:eastAsia="uk-UA"/>
        </w:rPr>
        <w:t xml:space="preserve">ться у </w:t>
      </w:r>
      <w:proofErr w:type="spellStart"/>
      <w:r w:rsidR="00C17623">
        <w:rPr>
          <w:szCs w:val="28"/>
          <w:lang w:val="uk-UA" w:eastAsia="uk-UA"/>
        </w:rPr>
        <w:t>середньо-</w:t>
      </w:r>
      <w:proofErr w:type="spellEnd"/>
      <w:r>
        <w:rPr>
          <w:szCs w:val="28"/>
          <w:lang w:val="uk-UA" w:eastAsia="uk-UA"/>
        </w:rPr>
        <w:t xml:space="preserve"> та довго</w:t>
      </w:r>
      <w:r w:rsidR="007037AA">
        <w:rPr>
          <w:szCs w:val="28"/>
          <w:lang w:val="uk-UA" w:eastAsia="uk-UA"/>
        </w:rPr>
        <w:t>строковій перспективі. Водночас</w:t>
      </w:r>
      <w:r>
        <w:rPr>
          <w:szCs w:val="28"/>
          <w:lang w:val="uk-UA" w:eastAsia="uk-UA"/>
        </w:rPr>
        <w:t xml:space="preserve"> на перших етапах реалізації аналізованих заходів можуть спостерігатись помірні негативні наслідки, пов’язані</w:t>
      </w:r>
      <w:r w:rsidR="007037AA">
        <w:rPr>
          <w:szCs w:val="28"/>
          <w:lang w:val="uk-UA" w:eastAsia="uk-UA"/>
        </w:rPr>
        <w:t>,</w:t>
      </w:r>
      <w:r>
        <w:rPr>
          <w:szCs w:val="28"/>
          <w:lang w:val="uk-UA" w:eastAsia="uk-UA"/>
        </w:rPr>
        <w:t xml:space="preserve"> передусім</w:t>
      </w:r>
      <w:r w:rsidR="007037AA">
        <w:rPr>
          <w:szCs w:val="28"/>
          <w:lang w:val="uk-UA" w:eastAsia="uk-UA"/>
        </w:rPr>
        <w:t>,</w:t>
      </w:r>
      <w:r>
        <w:rPr>
          <w:szCs w:val="28"/>
          <w:lang w:val="uk-UA" w:eastAsia="uk-UA"/>
        </w:rPr>
        <w:t xml:space="preserve"> </w:t>
      </w:r>
      <w:r w:rsidR="007037AA">
        <w:rPr>
          <w:szCs w:val="28"/>
          <w:lang w:val="uk-UA" w:eastAsia="uk-UA"/>
        </w:rPr>
        <w:t>і</w:t>
      </w:r>
      <w:r>
        <w:rPr>
          <w:szCs w:val="28"/>
          <w:lang w:val="uk-UA" w:eastAsia="uk-UA"/>
        </w:rPr>
        <w:t>з браком інвестиційних процесів та структурними перебудовами, певну кількість яких можливо вирішити завдяки механізмам, встановленим в Угоді.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Загалом, у випадку вдалої реалізації інвестиційної політики та запровадження заходів з енергоефективності та енергозбереження вже до 2020</w:t>
      </w:r>
      <w:r w:rsidR="007037AA">
        <w:rPr>
          <w:szCs w:val="28"/>
          <w:lang w:val="uk-UA" w:eastAsia="uk-UA"/>
        </w:rPr>
        <w:t> </w:t>
      </w:r>
      <w:r>
        <w:rPr>
          <w:szCs w:val="28"/>
          <w:lang w:val="uk-UA" w:eastAsia="uk-UA"/>
        </w:rPr>
        <w:t>р</w:t>
      </w:r>
      <w:r w:rsidR="007037AA">
        <w:rPr>
          <w:szCs w:val="28"/>
          <w:lang w:val="uk-UA" w:eastAsia="uk-UA"/>
        </w:rPr>
        <w:t>оку</w:t>
      </w:r>
      <w:r>
        <w:rPr>
          <w:szCs w:val="28"/>
          <w:lang w:val="uk-UA" w:eastAsia="uk-UA"/>
        </w:rPr>
        <w:t xml:space="preserve"> додатковий приріст (за період) ВВП України може становити 5-6% з кумулятивним накопиченням до 13-14% у 2030 р</w:t>
      </w:r>
      <w:r w:rsidR="007037AA">
        <w:rPr>
          <w:szCs w:val="28"/>
          <w:lang w:val="uk-UA" w:eastAsia="uk-UA"/>
        </w:rPr>
        <w:t>оці</w:t>
      </w:r>
      <w:r>
        <w:rPr>
          <w:szCs w:val="28"/>
          <w:lang w:val="uk-UA" w:eastAsia="uk-UA"/>
        </w:rPr>
        <w:t>. Дещо нижчим може бути приріст агрегованого випуску галузей економіки України – до 4-5% у 2020 р. та 10-11% у 2030 р</w:t>
      </w:r>
      <w:r w:rsidR="007037AA">
        <w:rPr>
          <w:szCs w:val="28"/>
          <w:lang w:val="uk-UA" w:eastAsia="uk-UA"/>
        </w:rPr>
        <w:t>оці</w:t>
      </w:r>
      <w:r>
        <w:rPr>
          <w:szCs w:val="28"/>
          <w:lang w:val="uk-UA" w:eastAsia="uk-UA"/>
        </w:rPr>
        <w:t>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Реалізація політики низьковуглецевого розвитку може вважатись економічно ефективною і в контексті довгострокових трендів добробуту </w:t>
      </w:r>
      <w:r>
        <w:rPr>
          <w:szCs w:val="28"/>
          <w:lang w:val="uk-UA" w:eastAsia="uk-UA"/>
        </w:rPr>
        <w:lastRenderedPageBreak/>
        <w:t xml:space="preserve">домогосподарств. Так, додатковий приріст реальних доходів домогосподарств у 2030 р. може становити 5,4-9,1% залежно від </w:t>
      </w:r>
      <w:proofErr w:type="spellStart"/>
      <w:r>
        <w:rPr>
          <w:szCs w:val="28"/>
          <w:lang w:val="uk-UA" w:eastAsia="uk-UA"/>
        </w:rPr>
        <w:t>децильної</w:t>
      </w:r>
      <w:proofErr w:type="spellEnd"/>
      <w:r>
        <w:rPr>
          <w:szCs w:val="28"/>
          <w:lang w:val="uk-UA" w:eastAsia="uk-UA"/>
        </w:rPr>
        <w:t xml:space="preserve"> групи. Утім, як і у випадку </w:t>
      </w:r>
      <w:proofErr w:type="spellStart"/>
      <w:r>
        <w:rPr>
          <w:szCs w:val="28"/>
          <w:lang w:val="uk-UA" w:eastAsia="uk-UA"/>
        </w:rPr>
        <w:t>макропоказників</w:t>
      </w:r>
      <w:proofErr w:type="spellEnd"/>
      <w:r>
        <w:rPr>
          <w:szCs w:val="28"/>
          <w:lang w:val="uk-UA" w:eastAsia="uk-UA"/>
        </w:rPr>
        <w:t>, протягом перших років реалізації аналізованих заходів населення може понести помірні втрати – до 2-4% реальних доходів.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На галузевому рівні реалізація заходів низьковуглецевого розвитку приводить до помірних структурних зрушень. По-перше, має місце активізація економічного зростання енергоємних галузей внаслідок підвищення ефективності виробництва продукції. При цьому в економіці відбуваються перетоки ресурсів із галузей з меншим рівнем індукованого приросту ефективності виробництва у галузі з більш високим відповідним показником.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По-друге, на характер економічних наслідків має вплив зниження попиту на енергетичні ресурси, зокрема, вугілля, нафтопродукти, кокс та </w:t>
      </w:r>
      <w:proofErr w:type="spellStart"/>
      <w:r>
        <w:rPr>
          <w:szCs w:val="28"/>
          <w:lang w:val="uk-UA" w:eastAsia="uk-UA"/>
        </w:rPr>
        <w:t>коксопродукти</w:t>
      </w:r>
      <w:proofErr w:type="spellEnd"/>
      <w:r>
        <w:rPr>
          <w:szCs w:val="28"/>
          <w:lang w:val="uk-UA" w:eastAsia="uk-UA"/>
        </w:rPr>
        <w:t xml:space="preserve">, природний газ тощо. 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По-третє, зростання рівня реальних доходів домогосподарств приводить до підвищення попиту та відповідно </w:t>
      </w:r>
      <w:r w:rsidR="007037AA">
        <w:rPr>
          <w:szCs w:val="28"/>
          <w:lang w:val="uk-UA" w:eastAsia="uk-UA"/>
        </w:rPr>
        <w:t xml:space="preserve">до </w:t>
      </w:r>
      <w:r>
        <w:rPr>
          <w:szCs w:val="28"/>
          <w:lang w:val="uk-UA" w:eastAsia="uk-UA"/>
        </w:rPr>
        <w:t>прискорення темпів приросту випуску частини споживчо-орієнтованих галузей.</w:t>
      </w:r>
    </w:p>
    <w:p w:rsidR="008642DE" w:rsidRPr="00CD4F85" w:rsidRDefault="008642DE" w:rsidP="008642DE">
      <w:pPr>
        <w:spacing w:line="240" w:lineRule="auto"/>
        <w:rPr>
          <w:rFonts w:ascii="Times New Roman" w:hAnsi="Times New Roman" w:cs="Times New Roman"/>
          <w:szCs w:val="28"/>
        </w:rPr>
      </w:pPr>
      <w:r w:rsidRPr="00CD4F85">
        <w:rPr>
          <w:rFonts w:ascii="Times New Roman" w:hAnsi="Times New Roman" w:cs="Times New Roman"/>
          <w:szCs w:val="28"/>
        </w:rPr>
        <w:t>Нарешті, окремо можна виділити галузі, які випускають інвестиційну продукцію. Через значну активізацію процесів інвестування попит на їх товари також зростатиме. Передусім, це стосується таких видів економічної діяльності</w:t>
      </w:r>
      <w:r w:rsidR="007037AA">
        <w:rPr>
          <w:rFonts w:ascii="Times New Roman" w:hAnsi="Times New Roman" w:cs="Times New Roman"/>
          <w:szCs w:val="28"/>
        </w:rPr>
        <w:t>,</w:t>
      </w:r>
      <w:r w:rsidRPr="00CD4F85">
        <w:rPr>
          <w:rFonts w:ascii="Times New Roman" w:hAnsi="Times New Roman" w:cs="Times New Roman"/>
          <w:szCs w:val="28"/>
        </w:rPr>
        <w:t xml:space="preserve"> як машинобудування та будівельна галузь.</w:t>
      </w:r>
    </w:p>
    <w:p w:rsidR="008642DE" w:rsidRDefault="008642DE" w:rsidP="008642D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Поряд </w:t>
      </w:r>
      <w:r w:rsidR="007037AA">
        <w:rPr>
          <w:rFonts w:ascii="Times New Roman" w:hAnsi="Times New Roman" w:cs="Times New Roman"/>
          <w:szCs w:val="28"/>
        </w:rPr>
        <w:t>і</w:t>
      </w:r>
      <w:r>
        <w:rPr>
          <w:rFonts w:ascii="Times New Roman" w:hAnsi="Times New Roman" w:cs="Times New Roman"/>
          <w:szCs w:val="28"/>
        </w:rPr>
        <w:t xml:space="preserve">з позитивними галузевими та макроекономічними ефектами (прискорення темпів приросту ВВП та випуску) реалізація сценаріїв низьковуглецевого розвитку буде супроводжуватись також покращенням стану державних фінансів. </w:t>
      </w:r>
    </w:p>
    <w:p w:rsidR="008642DE" w:rsidRPr="00C17623" w:rsidRDefault="008642DE" w:rsidP="008642D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Зокрема, внаслідок одночасної зміни структури виробництва у напрямку зростання частки сфери послуг та інвестиційно спрямованих видів економічної діяльності, а також уповільнення темпів приросту випуску частиною галузей енергетичного сектору (відбуватиметься зниження попиту на енергоресурси внаслідок </w:t>
      </w:r>
      <w:r w:rsidRPr="00C17623">
        <w:rPr>
          <w:rFonts w:ascii="Times New Roman" w:hAnsi="Times New Roman" w:cs="Times New Roman"/>
          <w:szCs w:val="28"/>
        </w:rPr>
        <w:t>реалізації заходів з енергоефективності) буде спостерігатись збільшення надходжень до державного бюджету від податків на виробництво та імпорт</w:t>
      </w:r>
      <w:r w:rsidRPr="00C17623">
        <w:rPr>
          <w:rStyle w:val="a7"/>
          <w:rFonts w:ascii="Times New Roman" w:hAnsi="Times New Roman" w:cs="Times New Roman"/>
          <w:szCs w:val="28"/>
        </w:rPr>
        <w:footnoteReference w:id="1"/>
      </w:r>
      <w:r w:rsidRPr="00C17623">
        <w:rPr>
          <w:rFonts w:ascii="Times New Roman" w:hAnsi="Times New Roman" w:cs="Times New Roman"/>
          <w:szCs w:val="28"/>
        </w:rPr>
        <w:t xml:space="preserve">. </w:t>
      </w:r>
    </w:p>
    <w:p w:rsidR="008642DE" w:rsidRPr="00C17623" w:rsidRDefault="008642DE" w:rsidP="008642DE">
      <w:pPr>
        <w:spacing w:line="240" w:lineRule="auto"/>
        <w:rPr>
          <w:rFonts w:ascii="Times New Roman" w:hAnsi="Times New Roman" w:cs="Times New Roman"/>
          <w:szCs w:val="28"/>
        </w:rPr>
      </w:pPr>
      <w:r w:rsidRPr="00C17623">
        <w:rPr>
          <w:rFonts w:ascii="Times New Roman" w:hAnsi="Times New Roman" w:cs="Times New Roman"/>
          <w:szCs w:val="28"/>
        </w:rPr>
        <w:t>Як показали розрахунки, такі позитивні ефекти</w:t>
      </w:r>
      <w:r w:rsidR="00467D69">
        <w:rPr>
          <w:rFonts w:ascii="Times New Roman" w:hAnsi="Times New Roman" w:cs="Times New Roman"/>
          <w:szCs w:val="28"/>
        </w:rPr>
        <w:t xml:space="preserve"> можуть спостерігатись у</w:t>
      </w:r>
      <w:r w:rsidRPr="00C17623">
        <w:rPr>
          <w:rFonts w:ascii="Times New Roman" w:hAnsi="Times New Roman" w:cs="Times New Roman"/>
          <w:szCs w:val="28"/>
        </w:rPr>
        <w:t>же у середньостроковій перспективі. Так, у 2017 році, за умови вдалої реалізації сцен</w:t>
      </w:r>
      <w:r w:rsidR="00467D69">
        <w:rPr>
          <w:rFonts w:ascii="Times New Roman" w:hAnsi="Times New Roman" w:cs="Times New Roman"/>
          <w:szCs w:val="28"/>
        </w:rPr>
        <w:t>арію низьковуглецевого розвитку</w:t>
      </w:r>
      <w:r w:rsidRPr="00C17623">
        <w:rPr>
          <w:rFonts w:ascii="Times New Roman" w:hAnsi="Times New Roman" w:cs="Times New Roman"/>
          <w:szCs w:val="28"/>
        </w:rPr>
        <w:t xml:space="preserve"> додаткові надходження до Зведеного бюджету від податків на виробництво та імпорт становитимуть близько 1,7 </w:t>
      </w:r>
      <w:r w:rsidR="00C17623" w:rsidRPr="00C17623">
        <w:rPr>
          <w:rFonts w:ascii="Times New Roman" w:hAnsi="Times New Roman" w:cs="Times New Roman"/>
          <w:szCs w:val="28"/>
        </w:rPr>
        <w:t>млрд.</w:t>
      </w:r>
      <w:r w:rsidRPr="00C17623">
        <w:rPr>
          <w:rFonts w:ascii="Times New Roman" w:hAnsi="Times New Roman" w:cs="Times New Roman"/>
          <w:szCs w:val="28"/>
        </w:rPr>
        <w:t xml:space="preserve"> </w:t>
      </w:r>
      <w:r w:rsidR="00C17623" w:rsidRPr="00C17623">
        <w:rPr>
          <w:rFonts w:ascii="Times New Roman" w:hAnsi="Times New Roman" w:cs="Times New Roman"/>
          <w:szCs w:val="28"/>
        </w:rPr>
        <w:t>грн.</w:t>
      </w:r>
      <w:r w:rsidRPr="00C17623">
        <w:rPr>
          <w:rFonts w:ascii="Times New Roman" w:hAnsi="Times New Roman" w:cs="Times New Roman"/>
          <w:szCs w:val="28"/>
        </w:rPr>
        <w:t xml:space="preserve">, а у 2030 році, за умови подальшої реалізації цього сценарію, можуть досягнути 17,3 </w:t>
      </w:r>
      <w:r w:rsidR="00C17623" w:rsidRPr="00C17623">
        <w:rPr>
          <w:rFonts w:ascii="Times New Roman" w:hAnsi="Times New Roman" w:cs="Times New Roman"/>
          <w:szCs w:val="28"/>
        </w:rPr>
        <w:t>млрд.</w:t>
      </w:r>
      <w:r w:rsidRPr="00C17623">
        <w:rPr>
          <w:rFonts w:ascii="Times New Roman" w:hAnsi="Times New Roman" w:cs="Times New Roman"/>
          <w:szCs w:val="28"/>
        </w:rPr>
        <w:t xml:space="preserve"> </w:t>
      </w:r>
      <w:r w:rsidR="00C17623" w:rsidRPr="00C17623">
        <w:rPr>
          <w:rFonts w:ascii="Times New Roman" w:hAnsi="Times New Roman" w:cs="Times New Roman"/>
          <w:szCs w:val="28"/>
        </w:rPr>
        <w:t>гр</w:t>
      </w:r>
      <w:r w:rsidR="00467D69">
        <w:rPr>
          <w:rFonts w:ascii="Times New Roman" w:hAnsi="Times New Roman" w:cs="Times New Roman"/>
          <w:szCs w:val="28"/>
        </w:rPr>
        <w:t>иве</w:t>
      </w:r>
      <w:r w:rsidR="00C17623" w:rsidRPr="00C17623">
        <w:rPr>
          <w:rFonts w:ascii="Times New Roman" w:hAnsi="Times New Roman" w:cs="Times New Roman"/>
          <w:szCs w:val="28"/>
        </w:rPr>
        <w:t>н</w:t>
      </w:r>
      <w:r w:rsidR="00467D69">
        <w:rPr>
          <w:rFonts w:ascii="Times New Roman" w:hAnsi="Times New Roman" w:cs="Times New Roman"/>
          <w:szCs w:val="28"/>
        </w:rPr>
        <w:t>ь</w:t>
      </w:r>
      <w:r w:rsidR="00C17623" w:rsidRPr="00C17623">
        <w:rPr>
          <w:rFonts w:ascii="Times New Roman" w:hAnsi="Times New Roman" w:cs="Times New Roman"/>
          <w:szCs w:val="28"/>
        </w:rPr>
        <w:t>.</w:t>
      </w:r>
      <w:r w:rsidRPr="00C17623">
        <w:rPr>
          <w:rFonts w:ascii="Times New Roman" w:hAnsi="Times New Roman" w:cs="Times New Roman"/>
          <w:szCs w:val="28"/>
        </w:rPr>
        <w:t xml:space="preserve"> (рис</w:t>
      </w:r>
      <w:r w:rsidR="00C17623">
        <w:rPr>
          <w:rFonts w:ascii="Times New Roman" w:hAnsi="Times New Roman" w:cs="Times New Roman"/>
          <w:szCs w:val="28"/>
        </w:rPr>
        <w:t>. 1</w:t>
      </w:r>
      <w:r w:rsidRPr="00C17623">
        <w:rPr>
          <w:rFonts w:ascii="Times New Roman" w:hAnsi="Times New Roman" w:cs="Times New Roman"/>
          <w:szCs w:val="28"/>
        </w:rPr>
        <w:t>).</w:t>
      </w:r>
    </w:p>
    <w:p w:rsidR="008642DE" w:rsidRDefault="008642DE" w:rsidP="008642DE">
      <w:pPr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val="ru-RU" w:eastAsia="ru-RU"/>
        </w:rPr>
        <w:lastRenderedPageBreak/>
        <w:drawing>
          <wp:inline distT="0" distB="0" distL="0" distR="0" wp14:anchorId="7CF28402" wp14:editId="7EBF2CC5">
            <wp:extent cx="4581524" cy="232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32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2DE" w:rsidRDefault="008642DE" w:rsidP="008642DE">
      <w:pPr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C17623">
        <w:rPr>
          <w:rFonts w:ascii="Times New Roman" w:hAnsi="Times New Roman" w:cs="Times New Roman"/>
          <w:szCs w:val="28"/>
        </w:rPr>
        <w:t xml:space="preserve">Рис. </w:t>
      </w:r>
      <w:r w:rsidR="00C17623" w:rsidRPr="00C17623">
        <w:rPr>
          <w:rFonts w:ascii="Times New Roman" w:hAnsi="Times New Roman" w:cs="Times New Roman"/>
          <w:szCs w:val="28"/>
        </w:rPr>
        <w:t>1</w:t>
      </w:r>
      <w:r w:rsidRPr="00C17623">
        <w:rPr>
          <w:rFonts w:ascii="Times New Roman" w:hAnsi="Times New Roman" w:cs="Times New Roman"/>
          <w:szCs w:val="28"/>
        </w:rPr>
        <w:t xml:space="preserve"> Оцінка додаткових надходжень до Зведеного бюджету від податків на виробництво та імпорт внаслідок реалізації політики низьковуглецевого розвитку, </w:t>
      </w:r>
      <w:r w:rsidR="00C17623">
        <w:rPr>
          <w:rFonts w:ascii="Times New Roman" w:hAnsi="Times New Roman" w:cs="Times New Roman"/>
          <w:szCs w:val="28"/>
        </w:rPr>
        <w:t>млн. </w:t>
      </w:r>
      <w:r w:rsidR="00C17623" w:rsidRPr="00C17623">
        <w:rPr>
          <w:rFonts w:ascii="Times New Roman" w:hAnsi="Times New Roman" w:cs="Times New Roman"/>
          <w:szCs w:val="28"/>
        </w:rPr>
        <w:t>грн.</w:t>
      </w:r>
      <w:r w:rsidRPr="00C17623">
        <w:rPr>
          <w:rStyle w:val="a7"/>
          <w:rFonts w:ascii="Times New Roman" w:hAnsi="Times New Roman" w:cs="Times New Roman"/>
          <w:szCs w:val="28"/>
        </w:rPr>
        <w:footnoteReference w:id="2"/>
      </w:r>
    </w:p>
    <w:p w:rsidR="00C17623" w:rsidRPr="00C17623" w:rsidRDefault="00C17623" w:rsidP="008642DE">
      <w:pPr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8642DE" w:rsidRDefault="007037AA" w:rsidP="008642D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="008642DE">
        <w:rPr>
          <w:rFonts w:ascii="Times New Roman" w:hAnsi="Times New Roman" w:cs="Times New Roman"/>
          <w:szCs w:val="28"/>
        </w:rPr>
        <w:t xml:space="preserve"> галузевому розрізі ключове зростання податкових надходжень забезпечуватиметься</w:t>
      </w:r>
      <w:r>
        <w:rPr>
          <w:rFonts w:ascii="Times New Roman" w:hAnsi="Times New Roman" w:cs="Times New Roman"/>
          <w:szCs w:val="28"/>
        </w:rPr>
        <w:t>,</w:t>
      </w:r>
      <w:r w:rsidR="008642DE">
        <w:rPr>
          <w:rFonts w:ascii="Times New Roman" w:hAnsi="Times New Roman" w:cs="Times New Roman"/>
          <w:szCs w:val="28"/>
        </w:rPr>
        <w:t xml:space="preserve"> передусім</w:t>
      </w:r>
      <w:r>
        <w:rPr>
          <w:rFonts w:ascii="Times New Roman" w:hAnsi="Times New Roman" w:cs="Times New Roman"/>
          <w:szCs w:val="28"/>
        </w:rPr>
        <w:t>,</w:t>
      </w:r>
      <w:r w:rsidR="008642DE">
        <w:rPr>
          <w:rFonts w:ascii="Times New Roman" w:hAnsi="Times New Roman" w:cs="Times New Roman"/>
          <w:szCs w:val="28"/>
        </w:rPr>
        <w:t xml:space="preserve"> за рахунок інвестиційно-орієнтованих видів ек</w:t>
      </w:r>
      <w:r>
        <w:rPr>
          <w:rFonts w:ascii="Times New Roman" w:hAnsi="Times New Roman" w:cs="Times New Roman"/>
          <w:szCs w:val="28"/>
        </w:rPr>
        <w:t>ономічної діяльності, таких як будівництво; в</w:t>
      </w:r>
      <w:r w:rsidR="008642DE">
        <w:rPr>
          <w:rFonts w:ascii="Times New Roman" w:hAnsi="Times New Roman" w:cs="Times New Roman"/>
          <w:szCs w:val="28"/>
        </w:rPr>
        <w:t xml:space="preserve">иробництво металів та готових металевих виробів, крім машин і </w:t>
      </w:r>
      <w:r w:rsidR="00C17623">
        <w:rPr>
          <w:rFonts w:ascii="Times New Roman" w:hAnsi="Times New Roman" w:cs="Times New Roman"/>
          <w:szCs w:val="28"/>
        </w:rPr>
        <w:t>устаткування</w:t>
      </w:r>
      <w:r w:rsidR="008642DE">
        <w:rPr>
          <w:rFonts w:ascii="Times New Roman" w:hAnsi="Times New Roman" w:cs="Times New Roman"/>
          <w:szCs w:val="28"/>
        </w:rPr>
        <w:t xml:space="preserve">; </w:t>
      </w:r>
      <w:r>
        <w:rPr>
          <w:rFonts w:ascii="Times New Roman" w:hAnsi="Times New Roman" w:cs="Times New Roman"/>
          <w:szCs w:val="28"/>
        </w:rPr>
        <w:t>в</w:t>
      </w:r>
      <w:r w:rsidR="008642DE">
        <w:rPr>
          <w:rFonts w:ascii="Times New Roman" w:hAnsi="Times New Roman" w:cs="Times New Roman"/>
          <w:szCs w:val="28"/>
        </w:rPr>
        <w:t xml:space="preserve">иробництво машин та </w:t>
      </w:r>
      <w:r w:rsidR="00C17623">
        <w:rPr>
          <w:rFonts w:ascii="Times New Roman" w:hAnsi="Times New Roman" w:cs="Times New Roman"/>
          <w:szCs w:val="28"/>
        </w:rPr>
        <w:t>устаткування</w:t>
      </w:r>
      <w:r>
        <w:rPr>
          <w:rFonts w:ascii="Times New Roman" w:hAnsi="Times New Roman" w:cs="Times New Roman"/>
          <w:szCs w:val="28"/>
        </w:rPr>
        <w:t>,</w:t>
      </w:r>
      <w:r w:rsidR="008642DE">
        <w:rPr>
          <w:rFonts w:ascii="Times New Roman" w:hAnsi="Times New Roman" w:cs="Times New Roman"/>
          <w:szCs w:val="28"/>
        </w:rPr>
        <w:t xml:space="preserve"> не віднесених до інших угруповань; </w:t>
      </w:r>
      <w:r>
        <w:rPr>
          <w:rFonts w:ascii="Times New Roman" w:hAnsi="Times New Roman" w:cs="Times New Roman"/>
          <w:szCs w:val="28"/>
        </w:rPr>
        <w:t>в</w:t>
      </w:r>
      <w:r w:rsidR="008642DE">
        <w:rPr>
          <w:rFonts w:ascii="Times New Roman" w:hAnsi="Times New Roman" w:cs="Times New Roman"/>
          <w:szCs w:val="28"/>
        </w:rPr>
        <w:t xml:space="preserve">иробництво автотранспортних засобів, причепів і напівпричепів та інших транспортних засобів тощо. Серед секторів сфери послуг основні додаткові податкові надходження будуть забезпечуватись за рахунок таких галузей, як </w:t>
      </w:r>
      <w:r>
        <w:rPr>
          <w:rFonts w:ascii="Times New Roman" w:hAnsi="Times New Roman" w:cs="Times New Roman"/>
          <w:szCs w:val="28"/>
        </w:rPr>
        <w:t>о</w:t>
      </w:r>
      <w:r w:rsidR="008642DE">
        <w:rPr>
          <w:rFonts w:ascii="Times New Roman" w:hAnsi="Times New Roman" w:cs="Times New Roman"/>
          <w:szCs w:val="28"/>
        </w:rPr>
        <w:t xml:space="preserve">птова та роздрібна торгівля, ремонт автотранспортних засобів і мотоциклів; </w:t>
      </w:r>
      <w:r>
        <w:rPr>
          <w:rFonts w:ascii="Times New Roman" w:hAnsi="Times New Roman" w:cs="Times New Roman"/>
          <w:szCs w:val="28"/>
        </w:rPr>
        <w:t>т</w:t>
      </w:r>
      <w:r w:rsidR="008642DE">
        <w:rPr>
          <w:rFonts w:ascii="Times New Roman" w:hAnsi="Times New Roman" w:cs="Times New Roman"/>
          <w:szCs w:val="28"/>
        </w:rPr>
        <w:t>ел</w:t>
      </w:r>
      <w:r w:rsidR="00467D69">
        <w:rPr>
          <w:rFonts w:ascii="Times New Roman" w:hAnsi="Times New Roman" w:cs="Times New Roman"/>
          <w:szCs w:val="28"/>
        </w:rPr>
        <w:t>екомунікації (електрозв’язок); к</w:t>
      </w:r>
      <w:r w:rsidR="008642DE">
        <w:rPr>
          <w:rFonts w:ascii="Times New Roman" w:hAnsi="Times New Roman" w:cs="Times New Roman"/>
          <w:szCs w:val="28"/>
        </w:rPr>
        <w:t xml:space="preserve">омп’ютерне програмування та надання інших інформаційних послуг; </w:t>
      </w:r>
      <w:r>
        <w:rPr>
          <w:rFonts w:ascii="Times New Roman" w:hAnsi="Times New Roman" w:cs="Times New Roman"/>
          <w:szCs w:val="28"/>
        </w:rPr>
        <w:t>ф</w:t>
      </w:r>
      <w:r w:rsidR="008642DE">
        <w:rPr>
          <w:rFonts w:ascii="Times New Roman" w:hAnsi="Times New Roman" w:cs="Times New Roman"/>
          <w:szCs w:val="28"/>
        </w:rPr>
        <w:t xml:space="preserve">інансова та страхова діяльність </w:t>
      </w:r>
      <w:r>
        <w:rPr>
          <w:rFonts w:ascii="Times New Roman" w:hAnsi="Times New Roman" w:cs="Times New Roman"/>
          <w:szCs w:val="28"/>
        </w:rPr>
        <w:t>тощо</w:t>
      </w:r>
      <w:r w:rsidR="008642DE">
        <w:rPr>
          <w:rFonts w:ascii="Times New Roman" w:hAnsi="Times New Roman" w:cs="Times New Roman"/>
          <w:szCs w:val="28"/>
        </w:rPr>
        <w:t>.</w:t>
      </w:r>
    </w:p>
    <w:p w:rsidR="008642DE" w:rsidRPr="00EF1B9D" w:rsidRDefault="007037AA" w:rsidP="008642D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="008642DE" w:rsidRPr="00EF1B9D">
        <w:rPr>
          <w:rFonts w:ascii="Times New Roman" w:hAnsi="Times New Roman" w:cs="Times New Roman"/>
          <w:szCs w:val="28"/>
        </w:rPr>
        <w:t xml:space="preserve"> сільськогосподарській діяльності збільшення викидів ПГ відбувається переважно внаслідок збезлісення територій, кишкової ферментації великої рогатої худоби, концентрації зберігання гною та застосування мінеральних добрив при вирощуванні рослинницької продукції. Незважаючи на те, що в структурі викидів ПГ частка сільського господарства менше 10%, інтенсивний розвиток рослинницької галузі в Україні, що має місце з 2005 р., найімовірніше</w:t>
      </w:r>
      <w:r>
        <w:rPr>
          <w:rFonts w:ascii="Times New Roman" w:hAnsi="Times New Roman" w:cs="Times New Roman"/>
          <w:szCs w:val="28"/>
        </w:rPr>
        <w:t>,</w:t>
      </w:r>
      <w:r w:rsidR="008642DE" w:rsidRPr="00EF1B9D">
        <w:rPr>
          <w:rFonts w:ascii="Times New Roman" w:hAnsi="Times New Roman" w:cs="Times New Roman"/>
          <w:szCs w:val="28"/>
        </w:rPr>
        <w:t xml:space="preserve"> зберігатиметься у найближчі 5-10 років, оскільки на аграрний потенціал робиться велика ставка як всередині країни (урядом), так і ззовні (зокрема, ФАО, Світовим банком).</w:t>
      </w:r>
    </w:p>
    <w:p w:rsidR="008642DE" w:rsidRPr="00EF1B9D" w:rsidRDefault="008642DE" w:rsidP="008642DE">
      <w:pPr>
        <w:spacing w:line="240" w:lineRule="auto"/>
        <w:rPr>
          <w:rFonts w:ascii="Times New Roman" w:hAnsi="Times New Roman" w:cs="Times New Roman"/>
          <w:szCs w:val="28"/>
        </w:rPr>
      </w:pPr>
      <w:r w:rsidRPr="00EF1B9D">
        <w:rPr>
          <w:rFonts w:ascii="Times New Roman" w:hAnsi="Times New Roman" w:cs="Times New Roman"/>
          <w:szCs w:val="28"/>
        </w:rPr>
        <w:t>Протягом 2013-2015 рр.</w:t>
      </w:r>
      <w:r w:rsidR="007037AA">
        <w:rPr>
          <w:rFonts w:ascii="Times New Roman" w:hAnsi="Times New Roman" w:cs="Times New Roman"/>
          <w:szCs w:val="28"/>
        </w:rPr>
        <w:t>,</w:t>
      </w:r>
      <w:r w:rsidRPr="00EF1B9D">
        <w:rPr>
          <w:rFonts w:ascii="Times New Roman" w:hAnsi="Times New Roman" w:cs="Times New Roman"/>
          <w:szCs w:val="28"/>
        </w:rPr>
        <w:t xml:space="preserve"> завдяки сприятливим погодно-кліматичним факторам (тепловому забезпеченню, перш за все)</w:t>
      </w:r>
      <w:r w:rsidR="007037AA">
        <w:rPr>
          <w:rFonts w:ascii="Times New Roman" w:hAnsi="Times New Roman" w:cs="Times New Roman"/>
          <w:szCs w:val="28"/>
        </w:rPr>
        <w:t>,</w:t>
      </w:r>
      <w:r w:rsidRPr="00EF1B9D">
        <w:rPr>
          <w:rFonts w:ascii="Times New Roman" w:hAnsi="Times New Roman" w:cs="Times New Roman"/>
          <w:szCs w:val="28"/>
        </w:rPr>
        <w:t xml:space="preserve"> в Україні три роки </w:t>
      </w:r>
      <w:r w:rsidR="007037AA">
        <w:rPr>
          <w:rFonts w:ascii="Times New Roman" w:hAnsi="Times New Roman" w:cs="Times New Roman"/>
          <w:szCs w:val="28"/>
        </w:rPr>
        <w:t>поспіль</w:t>
      </w:r>
      <w:r w:rsidRPr="00EF1B9D">
        <w:rPr>
          <w:rFonts w:ascii="Times New Roman" w:hAnsi="Times New Roman" w:cs="Times New Roman"/>
          <w:szCs w:val="28"/>
        </w:rPr>
        <w:t xml:space="preserve"> сільськогосподарські (</w:t>
      </w:r>
      <w:proofErr w:type="spellStart"/>
      <w:r w:rsidRPr="00EF1B9D">
        <w:rPr>
          <w:rFonts w:ascii="Times New Roman" w:hAnsi="Times New Roman" w:cs="Times New Roman"/>
          <w:szCs w:val="28"/>
        </w:rPr>
        <w:t>с.г</w:t>
      </w:r>
      <w:proofErr w:type="spellEnd"/>
      <w:r w:rsidRPr="00EF1B9D">
        <w:rPr>
          <w:rFonts w:ascii="Times New Roman" w:hAnsi="Times New Roman" w:cs="Times New Roman"/>
          <w:szCs w:val="28"/>
        </w:rPr>
        <w:t xml:space="preserve">.) виробники отримують високі врожаї основних </w:t>
      </w:r>
      <w:proofErr w:type="spellStart"/>
      <w:r w:rsidRPr="00EF1B9D">
        <w:rPr>
          <w:rFonts w:ascii="Times New Roman" w:hAnsi="Times New Roman" w:cs="Times New Roman"/>
          <w:szCs w:val="28"/>
        </w:rPr>
        <w:t>с.г</w:t>
      </w:r>
      <w:proofErr w:type="spellEnd"/>
      <w:r w:rsidRPr="00EF1B9D">
        <w:rPr>
          <w:rFonts w:ascii="Times New Roman" w:hAnsi="Times New Roman" w:cs="Times New Roman"/>
          <w:szCs w:val="28"/>
        </w:rPr>
        <w:t>. культур, що дозволило підвищити, головним чином, експортний потенціал країни, тим самим підтримуючи торг</w:t>
      </w:r>
      <w:r w:rsidR="007037AA">
        <w:rPr>
          <w:rFonts w:ascii="Times New Roman" w:hAnsi="Times New Roman" w:cs="Times New Roman"/>
          <w:szCs w:val="28"/>
        </w:rPr>
        <w:t>о</w:t>
      </w:r>
      <w:r w:rsidRPr="00EF1B9D">
        <w:rPr>
          <w:rFonts w:ascii="Times New Roman" w:hAnsi="Times New Roman" w:cs="Times New Roman"/>
          <w:szCs w:val="28"/>
        </w:rPr>
        <w:t>вельний баланс країни.</w:t>
      </w:r>
    </w:p>
    <w:p w:rsidR="008642DE" w:rsidRDefault="008642DE" w:rsidP="008642DE">
      <w:pPr>
        <w:spacing w:line="240" w:lineRule="auto"/>
        <w:rPr>
          <w:rFonts w:ascii="Times New Roman" w:hAnsi="Times New Roman" w:cs="Times New Roman"/>
          <w:szCs w:val="28"/>
        </w:rPr>
      </w:pPr>
      <w:r w:rsidRPr="00EF1B9D">
        <w:rPr>
          <w:rFonts w:ascii="Times New Roman" w:hAnsi="Times New Roman" w:cs="Times New Roman"/>
          <w:szCs w:val="28"/>
        </w:rPr>
        <w:t xml:space="preserve">Незважаючи на підвищення продуктивності </w:t>
      </w:r>
      <w:proofErr w:type="spellStart"/>
      <w:r w:rsidRPr="00EF1B9D">
        <w:rPr>
          <w:rFonts w:ascii="Times New Roman" w:hAnsi="Times New Roman" w:cs="Times New Roman"/>
          <w:szCs w:val="28"/>
        </w:rPr>
        <w:t>с.г</w:t>
      </w:r>
      <w:proofErr w:type="spellEnd"/>
      <w:r w:rsidRPr="00EF1B9D">
        <w:rPr>
          <w:rFonts w:ascii="Times New Roman" w:hAnsi="Times New Roman" w:cs="Times New Roman"/>
          <w:szCs w:val="28"/>
        </w:rPr>
        <w:t xml:space="preserve">. культур в останні три роки, значна частина </w:t>
      </w:r>
      <w:proofErr w:type="spellStart"/>
      <w:r w:rsidRPr="00EF1B9D">
        <w:rPr>
          <w:rFonts w:ascii="Times New Roman" w:hAnsi="Times New Roman" w:cs="Times New Roman"/>
          <w:szCs w:val="28"/>
        </w:rPr>
        <w:t>с.г</w:t>
      </w:r>
      <w:proofErr w:type="spellEnd"/>
      <w:r w:rsidRPr="00EF1B9D">
        <w:rPr>
          <w:rFonts w:ascii="Times New Roman" w:hAnsi="Times New Roman" w:cs="Times New Roman"/>
          <w:szCs w:val="28"/>
        </w:rPr>
        <w:t>. підприємств використовує переважн</w:t>
      </w:r>
      <w:r w:rsidR="00467D69">
        <w:rPr>
          <w:rFonts w:ascii="Times New Roman" w:hAnsi="Times New Roman" w:cs="Times New Roman"/>
          <w:szCs w:val="28"/>
        </w:rPr>
        <w:t>о дію природних чинників. Проте</w:t>
      </w:r>
      <w:r w:rsidRPr="00EF1B9D">
        <w:rPr>
          <w:rFonts w:ascii="Times New Roman" w:hAnsi="Times New Roman" w:cs="Times New Roman"/>
          <w:szCs w:val="28"/>
        </w:rPr>
        <w:t xml:space="preserve"> відповідно до розрахунків фахівців ДУ «Інститут економіки та </w:t>
      </w:r>
      <w:r w:rsidRPr="00EF1B9D">
        <w:rPr>
          <w:rFonts w:ascii="Times New Roman" w:hAnsi="Times New Roman" w:cs="Times New Roman"/>
          <w:szCs w:val="28"/>
        </w:rPr>
        <w:lastRenderedPageBreak/>
        <w:t>прогнозування НАН України» очікуваний позитивний вплив</w:t>
      </w:r>
      <w:r w:rsidR="007037AA">
        <w:rPr>
          <w:rFonts w:ascii="Times New Roman" w:hAnsi="Times New Roman" w:cs="Times New Roman"/>
          <w:szCs w:val="28"/>
        </w:rPr>
        <w:t>,</w:t>
      </w:r>
      <w:r w:rsidRPr="00EF1B9D">
        <w:rPr>
          <w:rFonts w:ascii="Times New Roman" w:hAnsi="Times New Roman" w:cs="Times New Roman"/>
          <w:szCs w:val="28"/>
        </w:rPr>
        <w:t xml:space="preserve"> найімовірніше</w:t>
      </w:r>
      <w:r w:rsidR="007037AA">
        <w:rPr>
          <w:rFonts w:ascii="Times New Roman" w:hAnsi="Times New Roman" w:cs="Times New Roman"/>
          <w:szCs w:val="28"/>
        </w:rPr>
        <w:t>,</w:t>
      </w:r>
      <w:r w:rsidRPr="00EF1B9D">
        <w:rPr>
          <w:rFonts w:ascii="Times New Roman" w:hAnsi="Times New Roman" w:cs="Times New Roman"/>
          <w:szCs w:val="28"/>
        </w:rPr>
        <w:t xml:space="preserve"> змінить свій вектор після досягнення критичного рівня підвищення глобальної температури (понад 1,5-2 градуси Цельсія, що за поточних темпів розвитку очікується до 2030 р</w:t>
      </w:r>
      <w:r w:rsidR="007037AA">
        <w:rPr>
          <w:rFonts w:ascii="Times New Roman" w:hAnsi="Times New Roman" w:cs="Times New Roman"/>
          <w:szCs w:val="28"/>
        </w:rPr>
        <w:t>оку</w:t>
      </w:r>
      <w:r w:rsidRPr="00EF1B9D">
        <w:rPr>
          <w:rFonts w:ascii="Times New Roman" w:hAnsi="Times New Roman" w:cs="Times New Roman"/>
          <w:szCs w:val="28"/>
        </w:rPr>
        <w:t xml:space="preserve">). Зважаючи на це, сільське господарство, зокрема рослинництво, може зробити свій позитивний внесок у скорочення викидів ПГ завдяки застосуванню нових методів внесення мінеральних добрив при збільшенні їх кількості до рівня розвинених країн (ЄС, США </w:t>
      </w:r>
      <w:r w:rsidR="007037AA">
        <w:rPr>
          <w:rFonts w:ascii="Times New Roman" w:hAnsi="Times New Roman" w:cs="Times New Roman"/>
          <w:szCs w:val="28"/>
        </w:rPr>
        <w:t>тощо</w:t>
      </w:r>
      <w:r w:rsidRPr="00EF1B9D">
        <w:rPr>
          <w:rFonts w:ascii="Times New Roman" w:hAnsi="Times New Roman" w:cs="Times New Roman"/>
          <w:szCs w:val="28"/>
        </w:rPr>
        <w:t xml:space="preserve">). </w:t>
      </w:r>
      <w:r>
        <w:rPr>
          <w:rFonts w:ascii="Times New Roman" w:hAnsi="Times New Roman" w:cs="Times New Roman"/>
          <w:szCs w:val="28"/>
        </w:rPr>
        <w:t>Проведені</w:t>
      </w:r>
      <w:r w:rsidRPr="00EF1B9D">
        <w:rPr>
          <w:rFonts w:ascii="Times New Roman" w:hAnsi="Times New Roman" w:cs="Times New Roman"/>
          <w:szCs w:val="28"/>
        </w:rPr>
        <w:t xml:space="preserve"> розрахунки підтверджують ці пропозиції. Зокрема, </w:t>
      </w:r>
      <w:r>
        <w:rPr>
          <w:rFonts w:ascii="Times New Roman" w:hAnsi="Times New Roman" w:cs="Times New Roman"/>
          <w:szCs w:val="28"/>
        </w:rPr>
        <w:t>як показали отримані</w:t>
      </w:r>
      <w:r w:rsidR="007037AA">
        <w:rPr>
          <w:rFonts w:ascii="Times New Roman" w:hAnsi="Times New Roman" w:cs="Times New Roman"/>
          <w:szCs w:val="28"/>
        </w:rPr>
        <w:t xml:space="preserve"> оцінк</w:t>
      </w:r>
      <w:r w:rsidRPr="00EF1B9D">
        <w:rPr>
          <w:rFonts w:ascii="Times New Roman" w:hAnsi="Times New Roman" w:cs="Times New Roman"/>
          <w:szCs w:val="28"/>
        </w:rPr>
        <w:t>и, впровадження нових методів внесення мінеральних добрив з доведенням їх рівня до передових с.</w:t>
      </w:r>
      <w:r w:rsidR="00C17623">
        <w:rPr>
          <w:rFonts w:ascii="Times New Roman" w:hAnsi="Times New Roman" w:cs="Times New Roman"/>
          <w:szCs w:val="28"/>
        </w:rPr>
        <w:t> </w:t>
      </w:r>
      <w:r w:rsidRPr="00EF1B9D">
        <w:rPr>
          <w:rFonts w:ascii="Times New Roman" w:hAnsi="Times New Roman" w:cs="Times New Roman"/>
          <w:szCs w:val="28"/>
        </w:rPr>
        <w:t>г. підприємств Україн</w:t>
      </w:r>
      <w:r>
        <w:rPr>
          <w:rFonts w:ascii="Times New Roman" w:hAnsi="Times New Roman" w:cs="Times New Roman"/>
          <w:szCs w:val="28"/>
        </w:rPr>
        <w:t>и</w:t>
      </w:r>
      <w:r w:rsidRPr="00EF1B9D">
        <w:rPr>
          <w:rFonts w:ascii="Times New Roman" w:hAnsi="Times New Roman" w:cs="Times New Roman"/>
          <w:szCs w:val="28"/>
        </w:rPr>
        <w:t xml:space="preserve"> може забезпечити отримання додатково 1,3 </w:t>
      </w:r>
      <w:r w:rsidR="00C17623" w:rsidRPr="00EF1B9D">
        <w:rPr>
          <w:rFonts w:ascii="Times New Roman" w:hAnsi="Times New Roman" w:cs="Times New Roman"/>
          <w:szCs w:val="28"/>
        </w:rPr>
        <w:t>млн.</w:t>
      </w:r>
      <w:r>
        <w:rPr>
          <w:rFonts w:ascii="Times New Roman" w:hAnsi="Times New Roman" w:cs="Times New Roman"/>
          <w:szCs w:val="28"/>
        </w:rPr>
        <w:t xml:space="preserve"> т</w:t>
      </w:r>
      <w:r w:rsidRPr="00EF1B9D">
        <w:rPr>
          <w:rFonts w:ascii="Times New Roman" w:hAnsi="Times New Roman" w:cs="Times New Roman"/>
          <w:szCs w:val="28"/>
        </w:rPr>
        <w:t xml:space="preserve"> пшениці, 3,0 </w:t>
      </w:r>
      <w:r w:rsidR="00C17623">
        <w:rPr>
          <w:rFonts w:ascii="Times New Roman" w:hAnsi="Times New Roman" w:cs="Times New Roman"/>
          <w:szCs w:val="28"/>
        </w:rPr>
        <w:t>млн.</w:t>
      </w:r>
      <w:r>
        <w:rPr>
          <w:rFonts w:ascii="Times New Roman" w:hAnsi="Times New Roman" w:cs="Times New Roman"/>
          <w:szCs w:val="28"/>
        </w:rPr>
        <w:t xml:space="preserve"> т кукурудзи, 1,9 </w:t>
      </w:r>
      <w:r w:rsidR="00C17623">
        <w:rPr>
          <w:rFonts w:ascii="Times New Roman" w:hAnsi="Times New Roman" w:cs="Times New Roman"/>
          <w:szCs w:val="28"/>
        </w:rPr>
        <w:t>млн.</w:t>
      </w:r>
      <w:r>
        <w:rPr>
          <w:rFonts w:ascii="Times New Roman" w:hAnsi="Times New Roman" w:cs="Times New Roman"/>
          <w:szCs w:val="28"/>
        </w:rPr>
        <w:t xml:space="preserve"> т</w:t>
      </w:r>
      <w:r w:rsidRPr="00EF1B9D">
        <w:rPr>
          <w:rFonts w:ascii="Times New Roman" w:hAnsi="Times New Roman" w:cs="Times New Roman"/>
          <w:szCs w:val="28"/>
        </w:rPr>
        <w:t xml:space="preserve"> </w:t>
      </w:r>
      <w:r w:rsidRPr="00C17623">
        <w:rPr>
          <w:rFonts w:ascii="Times New Roman" w:hAnsi="Times New Roman" w:cs="Times New Roman"/>
          <w:szCs w:val="28"/>
        </w:rPr>
        <w:t xml:space="preserve">насіння соняшника та 0,9 </w:t>
      </w:r>
      <w:r w:rsidR="00C17623" w:rsidRPr="00C17623">
        <w:rPr>
          <w:rFonts w:ascii="Times New Roman" w:hAnsi="Times New Roman" w:cs="Times New Roman"/>
          <w:szCs w:val="28"/>
        </w:rPr>
        <w:t>млн.</w:t>
      </w:r>
      <w:r w:rsidRPr="00C17623">
        <w:rPr>
          <w:rFonts w:ascii="Times New Roman" w:hAnsi="Times New Roman" w:cs="Times New Roman"/>
          <w:szCs w:val="28"/>
        </w:rPr>
        <w:t xml:space="preserve"> т насіння ріпаку. В умовах повного забезпечення внутрішніх продовольчих потреб додатково отримані обсяги сільськогосподарської продукції (лише </w:t>
      </w:r>
      <w:r w:rsidR="00467D69">
        <w:rPr>
          <w:rFonts w:ascii="Times New Roman" w:hAnsi="Times New Roman" w:cs="Times New Roman"/>
          <w:szCs w:val="28"/>
        </w:rPr>
        <w:t>щодо</w:t>
      </w:r>
      <w:r w:rsidRPr="00C17623">
        <w:rPr>
          <w:rFonts w:ascii="Times New Roman" w:hAnsi="Times New Roman" w:cs="Times New Roman"/>
          <w:szCs w:val="28"/>
        </w:rPr>
        <w:t xml:space="preserve"> чотирьо</w:t>
      </w:r>
      <w:r w:rsidR="001619EC">
        <w:rPr>
          <w:rFonts w:ascii="Times New Roman" w:hAnsi="Times New Roman" w:cs="Times New Roman"/>
          <w:szCs w:val="28"/>
        </w:rPr>
        <w:t>х</w:t>
      </w:r>
      <w:r w:rsidRPr="00C17623">
        <w:rPr>
          <w:rFonts w:ascii="Times New Roman" w:hAnsi="Times New Roman" w:cs="Times New Roman"/>
          <w:szCs w:val="28"/>
        </w:rPr>
        <w:t xml:space="preserve"> згадани</w:t>
      </w:r>
      <w:r w:rsidR="001619EC">
        <w:rPr>
          <w:rFonts w:ascii="Times New Roman" w:hAnsi="Times New Roman" w:cs="Times New Roman"/>
          <w:szCs w:val="28"/>
        </w:rPr>
        <w:t>х</w:t>
      </w:r>
      <w:r w:rsidRPr="00C17623">
        <w:rPr>
          <w:rFonts w:ascii="Times New Roman" w:hAnsi="Times New Roman" w:cs="Times New Roman"/>
          <w:szCs w:val="28"/>
        </w:rPr>
        <w:t xml:space="preserve"> культур) можуть забезпечити Україні валютні надходження у розмірі 2,04 </w:t>
      </w:r>
      <w:r w:rsidR="00C17623" w:rsidRPr="00C17623">
        <w:rPr>
          <w:rFonts w:ascii="Times New Roman" w:hAnsi="Times New Roman" w:cs="Times New Roman"/>
          <w:szCs w:val="28"/>
        </w:rPr>
        <w:t>млрд.</w:t>
      </w:r>
      <w:r w:rsidRPr="00C17623">
        <w:rPr>
          <w:rFonts w:ascii="Times New Roman" w:hAnsi="Times New Roman" w:cs="Times New Roman"/>
          <w:szCs w:val="28"/>
        </w:rPr>
        <w:t xml:space="preserve"> дол</w:t>
      </w:r>
      <w:r w:rsidR="00467D69">
        <w:rPr>
          <w:rFonts w:ascii="Times New Roman" w:hAnsi="Times New Roman" w:cs="Times New Roman"/>
          <w:szCs w:val="28"/>
        </w:rPr>
        <w:t>арів</w:t>
      </w:r>
      <w:r w:rsidRPr="00C17623">
        <w:rPr>
          <w:rFonts w:ascii="Times New Roman" w:hAnsi="Times New Roman" w:cs="Times New Roman"/>
          <w:szCs w:val="28"/>
        </w:rPr>
        <w:t xml:space="preserve"> (у цінах 2014 р</w:t>
      </w:r>
      <w:r w:rsidR="00467D69">
        <w:rPr>
          <w:rFonts w:ascii="Times New Roman" w:hAnsi="Times New Roman" w:cs="Times New Roman"/>
          <w:szCs w:val="28"/>
        </w:rPr>
        <w:t>оку</w:t>
      </w:r>
      <w:r w:rsidRPr="00C17623">
        <w:rPr>
          <w:rFonts w:ascii="Times New Roman" w:hAnsi="Times New Roman" w:cs="Times New Roman"/>
          <w:szCs w:val="28"/>
        </w:rPr>
        <w:t xml:space="preserve">). Реалізація </w:t>
      </w:r>
      <w:r w:rsidR="001619EC">
        <w:rPr>
          <w:rFonts w:ascii="Times New Roman" w:hAnsi="Times New Roman" w:cs="Times New Roman"/>
          <w:szCs w:val="28"/>
        </w:rPr>
        <w:t>цих</w:t>
      </w:r>
      <w:r w:rsidRPr="00C17623">
        <w:rPr>
          <w:rFonts w:ascii="Times New Roman" w:hAnsi="Times New Roman" w:cs="Times New Roman"/>
          <w:szCs w:val="28"/>
        </w:rPr>
        <w:t xml:space="preserve"> заходів</w:t>
      </w:r>
      <w:r w:rsidRPr="00EF1B9D">
        <w:rPr>
          <w:rFonts w:ascii="Times New Roman" w:hAnsi="Times New Roman" w:cs="Times New Roman"/>
          <w:szCs w:val="28"/>
        </w:rPr>
        <w:t xml:space="preserve"> вимагатиме </w:t>
      </w:r>
      <w:r>
        <w:rPr>
          <w:rFonts w:ascii="Times New Roman" w:hAnsi="Times New Roman" w:cs="Times New Roman"/>
          <w:szCs w:val="28"/>
        </w:rPr>
        <w:t xml:space="preserve">грошових </w:t>
      </w:r>
      <w:r w:rsidR="001619EC">
        <w:rPr>
          <w:rFonts w:ascii="Times New Roman" w:hAnsi="Times New Roman" w:cs="Times New Roman"/>
          <w:szCs w:val="28"/>
        </w:rPr>
        <w:t>витрат</w:t>
      </w:r>
      <w:r w:rsidRPr="00EF1B9D">
        <w:rPr>
          <w:rFonts w:ascii="Times New Roman" w:hAnsi="Times New Roman" w:cs="Times New Roman"/>
          <w:szCs w:val="28"/>
        </w:rPr>
        <w:t xml:space="preserve"> у зв’язку з додатковою потребою у </w:t>
      </w:r>
      <w:r>
        <w:rPr>
          <w:rFonts w:ascii="Times New Roman" w:hAnsi="Times New Roman" w:cs="Times New Roman"/>
          <w:szCs w:val="28"/>
        </w:rPr>
        <w:t xml:space="preserve">мінеральних добривах (10-12 </w:t>
      </w:r>
      <w:r w:rsidR="00C17623">
        <w:rPr>
          <w:rFonts w:ascii="Times New Roman" w:hAnsi="Times New Roman" w:cs="Times New Roman"/>
          <w:szCs w:val="28"/>
        </w:rPr>
        <w:t>млн.</w:t>
      </w:r>
      <w:r w:rsidRPr="00EF1B9D">
        <w:rPr>
          <w:rFonts w:ascii="Times New Roman" w:hAnsi="Times New Roman" w:cs="Times New Roman"/>
          <w:szCs w:val="28"/>
        </w:rPr>
        <w:t xml:space="preserve"> дол.) та інвестицій у модернізацію с.</w:t>
      </w:r>
      <w:r w:rsidR="00C17623">
        <w:rPr>
          <w:rFonts w:ascii="Times New Roman" w:hAnsi="Times New Roman" w:cs="Times New Roman"/>
          <w:szCs w:val="28"/>
        </w:rPr>
        <w:t> </w:t>
      </w:r>
      <w:r w:rsidRPr="00EF1B9D">
        <w:rPr>
          <w:rFonts w:ascii="Times New Roman" w:hAnsi="Times New Roman" w:cs="Times New Roman"/>
          <w:szCs w:val="28"/>
        </w:rPr>
        <w:t xml:space="preserve">г. техніки та обладнання. </w:t>
      </w:r>
      <w:r w:rsidR="00C17623">
        <w:rPr>
          <w:rFonts w:ascii="Times New Roman" w:hAnsi="Times New Roman" w:cs="Times New Roman"/>
          <w:szCs w:val="28"/>
        </w:rPr>
        <w:t>Ратифікація</w:t>
      </w:r>
      <w:r w:rsidRPr="00EF1B9D">
        <w:rPr>
          <w:rFonts w:ascii="Times New Roman" w:hAnsi="Times New Roman" w:cs="Times New Roman"/>
          <w:szCs w:val="28"/>
        </w:rPr>
        <w:t xml:space="preserve"> Паризької угоди відкриває Україні можливості доступу до </w:t>
      </w:r>
      <w:r w:rsidR="00AD1DA4">
        <w:rPr>
          <w:rFonts w:ascii="Times New Roman" w:hAnsi="Times New Roman" w:cs="Times New Roman"/>
          <w:szCs w:val="28"/>
        </w:rPr>
        <w:t>коштів, за рахунок яких</w:t>
      </w:r>
      <w:r>
        <w:rPr>
          <w:rFonts w:ascii="Times New Roman" w:hAnsi="Times New Roman" w:cs="Times New Roman"/>
          <w:szCs w:val="28"/>
        </w:rPr>
        <w:t xml:space="preserve"> можна</w:t>
      </w:r>
      <w:r w:rsidRPr="00EF1B9D">
        <w:rPr>
          <w:rFonts w:ascii="Times New Roman" w:hAnsi="Times New Roman" w:cs="Times New Roman"/>
          <w:szCs w:val="28"/>
        </w:rPr>
        <w:t xml:space="preserve"> частково профінансувати заходи щодо адаптації сільського господарства до змін клімату задля зниження викидів ПГ.</w:t>
      </w:r>
    </w:p>
    <w:p w:rsidR="008642DE" w:rsidRPr="00140463" w:rsidRDefault="008642DE" w:rsidP="008642D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Загалом, о</w:t>
      </w:r>
      <w:r w:rsidRPr="00140463">
        <w:rPr>
          <w:rFonts w:ascii="Times New Roman" w:hAnsi="Times New Roman" w:cs="Times New Roman"/>
          <w:szCs w:val="28"/>
        </w:rPr>
        <w:t xml:space="preserve">дним з найбільш важливих факторів ефективної реалізації політики низьковуглецевого розвитку України виступає створення економічно обґрунтованих стимулів імплементації заходів зі скорочення викидів ПГ на рівні підприємств, підкріплених залученням достатнього обсягу інвестиційних ресурсів.  </w:t>
      </w:r>
    </w:p>
    <w:p w:rsidR="008642DE" w:rsidRPr="00140463" w:rsidRDefault="008642DE" w:rsidP="008642DE">
      <w:pPr>
        <w:spacing w:line="240" w:lineRule="auto"/>
        <w:rPr>
          <w:rFonts w:ascii="Times New Roman" w:hAnsi="Times New Roman" w:cs="Times New Roman"/>
          <w:szCs w:val="28"/>
        </w:rPr>
      </w:pPr>
      <w:r w:rsidRPr="00140463">
        <w:rPr>
          <w:rFonts w:ascii="Times New Roman" w:hAnsi="Times New Roman" w:cs="Times New Roman"/>
          <w:szCs w:val="28"/>
        </w:rPr>
        <w:t xml:space="preserve">Як показує досвід країн ЄС, дієвими в цьому контексті можуть виступати </w:t>
      </w:r>
      <w:r w:rsidRPr="00C17623">
        <w:rPr>
          <w:rFonts w:ascii="Times New Roman" w:hAnsi="Times New Roman" w:cs="Times New Roman"/>
          <w:szCs w:val="28"/>
        </w:rPr>
        <w:t>механізми оподаткування та торгівлі квотами на викиди ПГ</w:t>
      </w:r>
      <w:r w:rsidRPr="00140463">
        <w:rPr>
          <w:rFonts w:ascii="Times New Roman" w:hAnsi="Times New Roman" w:cs="Times New Roman"/>
          <w:szCs w:val="28"/>
        </w:rPr>
        <w:t xml:space="preserve"> (СТВ). В Україні на сьогодні відсутня СТВ, а наявний інструмент у вигляді екологічного податку на викиди діє переважно для підприємств енергетичної галузі та обробної промисловості. При цьому згідно </w:t>
      </w:r>
      <w:r w:rsidR="001619EC">
        <w:rPr>
          <w:rFonts w:ascii="Times New Roman" w:hAnsi="Times New Roman" w:cs="Times New Roman"/>
          <w:szCs w:val="28"/>
        </w:rPr>
        <w:t>із Податковим</w:t>
      </w:r>
      <w:r w:rsidRPr="00140463">
        <w:rPr>
          <w:rFonts w:ascii="Times New Roman" w:hAnsi="Times New Roman" w:cs="Times New Roman"/>
          <w:szCs w:val="28"/>
        </w:rPr>
        <w:t xml:space="preserve"> кодекс</w:t>
      </w:r>
      <w:r w:rsidR="001619EC">
        <w:rPr>
          <w:rFonts w:ascii="Times New Roman" w:hAnsi="Times New Roman" w:cs="Times New Roman"/>
          <w:szCs w:val="28"/>
        </w:rPr>
        <w:t>ом України</w:t>
      </w:r>
      <w:r w:rsidRPr="00140463">
        <w:rPr>
          <w:rFonts w:ascii="Times New Roman" w:hAnsi="Times New Roman" w:cs="Times New Roman"/>
          <w:szCs w:val="28"/>
        </w:rPr>
        <w:t xml:space="preserve"> ставка податку на викиди СО</w:t>
      </w:r>
      <w:r w:rsidRPr="00EA5FC3">
        <w:rPr>
          <w:rFonts w:ascii="Times New Roman" w:hAnsi="Times New Roman" w:cs="Times New Roman"/>
          <w:szCs w:val="28"/>
          <w:vertAlign w:val="subscript"/>
        </w:rPr>
        <w:t>2</w:t>
      </w:r>
      <w:r w:rsidRPr="00140463">
        <w:rPr>
          <w:rFonts w:ascii="Times New Roman" w:hAnsi="Times New Roman" w:cs="Times New Roman"/>
          <w:szCs w:val="28"/>
        </w:rPr>
        <w:t xml:space="preserve"> становить 0,33 </w:t>
      </w:r>
      <w:r w:rsidR="00C17623" w:rsidRPr="00140463">
        <w:rPr>
          <w:rFonts w:ascii="Times New Roman" w:hAnsi="Times New Roman" w:cs="Times New Roman"/>
          <w:szCs w:val="28"/>
        </w:rPr>
        <w:t>грн.</w:t>
      </w:r>
      <w:r w:rsidRPr="00140463">
        <w:rPr>
          <w:rFonts w:ascii="Times New Roman" w:hAnsi="Times New Roman" w:cs="Times New Roman"/>
          <w:vertAlign w:val="superscript"/>
        </w:rPr>
        <w:footnoteReference w:id="3"/>
      </w:r>
      <w:r w:rsidRPr="00140463">
        <w:rPr>
          <w:rFonts w:ascii="Times New Roman" w:hAnsi="Times New Roman" w:cs="Times New Roman"/>
          <w:szCs w:val="28"/>
        </w:rPr>
        <w:t xml:space="preserve">, що приблизно дорівнює 0,015 </w:t>
      </w:r>
      <w:r w:rsidR="001619EC">
        <w:rPr>
          <w:rFonts w:ascii="Times New Roman" w:hAnsi="Times New Roman" w:cs="Times New Roman"/>
          <w:szCs w:val="28"/>
        </w:rPr>
        <w:t>є</w:t>
      </w:r>
      <w:r w:rsidRPr="00140463">
        <w:rPr>
          <w:rFonts w:ascii="Times New Roman" w:hAnsi="Times New Roman" w:cs="Times New Roman"/>
          <w:szCs w:val="28"/>
        </w:rPr>
        <w:t xml:space="preserve">вро, тоді як в ЄС наразі ринкова ціна за 1 т СО2 </w:t>
      </w:r>
      <w:r w:rsidR="001619EC">
        <w:rPr>
          <w:rFonts w:ascii="Times New Roman" w:hAnsi="Times New Roman" w:cs="Times New Roman"/>
          <w:szCs w:val="28"/>
        </w:rPr>
        <w:t>становить</w:t>
      </w:r>
      <w:r w:rsidRPr="00140463">
        <w:rPr>
          <w:rFonts w:ascii="Times New Roman" w:hAnsi="Times New Roman" w:cs="Times New Roman"/>
          <w:szCs w:val="28"/>
        </w:rPr>
        <w:t xml:space="preserve"> близько 6 </w:t>
      </w:r>
      <w:r w:rsidR="001619EC">
        <w:rPr>
          <w:rFonts w:ascii="Times New Roman" w:hAnsi="Times New Roman" w:cs="Times New Roman"/>
          <w:szCs w:val="28"/>
        </w:rPr>
        <w:t>є</w:t>
      </w:r>
      <w:r w:rsidRPr="00140463">
        <w:rPr>
          <w:rFonts w:ascii="Times New Roman" w:hAnsi="Times New Roman" w:cs="Times New Roman"/>
          <w:szCs w:val="28"/>
        </w:rPr>
        <w:t xml:space="preserve">вро (рис. </w:t>
      </w:r>
      <w:r>
        <w:rPr>
          <w:rFonts w:ascii="Times New Roman" w:hAnsi="Times New Roman" w:cs="Times New Roman"/>
          <w:szCs w:val="28"/>
        </w:rPr>
        <w:t>2</w:t>
      </w:r>
      <w:r w:rsidRPr="00140463">
        <w:rPr>
          <w:rFonts w:ascii="Times New Roman" w:hAnsi="Times New Roman" w:cs="Times New Roman"/>
          <w:szCs w:val="28"/>
        </w:rPr>
        <w:t xml:space="preserve">). Такий податок на </w:t>
      </w:r>
      <w:r>
        <w:rPr>
          <w:rFonts w:ascii="Times New Roman" w:hAnsi="Times New Roman" w:cs="Times New Roman"/>
          <w:szCs w:val="28"/>
        </w:rPr>
        <w:t xml:space="preserve">викиди </w:t>
      </w:r>
      <w:r w:rsidRPr="00140463">
        <w:rPr>
          <w:rFonts w:ascii="Times New Roman" w:hAnsi="Times New Roman" w:cs="Times New Roman"/>
          <w:szCs w:val="28"/>
        </w:rPr>
        <w:t>СО</w:t>
      </w:r>
      <w:r w:rsidRPr="0087022B">
        <w:rPr>
          <w:rFonts w:ascii="Times New Roman" w:hAnsi="Times New Roman" w:cs="Times New Roman"/>
          <w:szCs w:val="28"/>
          <w:vertAlign w:val="subscript"/>
        </w:rPr>
        <w:t>2</w:t>
      </w:r>
      <w:r w:rsidRPr="00140463">
        <w:rPr>
          <w:rFonts w:ascii="Times New Roman" w:hAnsi="Times New Roman" w:cs="Times New Roman"/>
          <w:szCs w:val="28"/>
        </w:rPr>
        <w:t xml:space="preserve"> в Україні практично не створює стимулів до зменшення викидів, а відтак і не виступає дієвим інструментом екологічної політики. Крім того, реалізація в Україні СТВ передбачена Угодою про асоціацію з ЄС, зокрема Директивою №2003/87/ЄС</w:t>
      </w:r>
      <w:r w:rsidRPr="00140463">
        <w:rPr>
          <w:rFonts w:ascii="Times New Roman" w:hAnsi="Times New Roman" w:cs="Times New Roman"/>
          <w:vertAlign w:val="superscript"/>
        </w:rPr>
        <w:footnoteReference w:id="4"/>
      </w:r>
      <w:r w:rsidRPr="00140463">
        <w:rPr>
          <w:rFonts w:ascii="Times New Roman" w:hAnsi="Times New Roman" w:cs="Times New Roman"/>
          <w:szCs w:val="28"/>
        </w:rPr>
        <w:t>.</w:t>
      </w:r>
    </w:p>
    <w:p w:rsidR="008642DE" w:rsidRDefault="008642DE" w:rsidP="008642DE">
      <w:pPr>
        <w:spacing w:line="240" w:lineRule="auto"/>
        <w:ind w:firstLine="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07257F13" wp14:editId="4488B8F8">
            <wp:extent cx="5400675" cy="1981200"/>
            <wp:effectExtent l="19050" t="19050" r="952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2 Pr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19807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642DE" w:rsidRPr="00C17623" w:rsidRDefault="00C17623" w:rsidP="008642DE">
      <w:pPr>
        <w:pStyle w:val="TableTitle"/>
        <w:rPr>
          <w:b w:val="0"/>
        </w:rPr>
      </w:pPr>
      <w:r w:rsidRPr="00C17623">
        <w:rPr>
          <w:b w:val="0"/>
        </w:rPr>
        <w:t xml:space="preserve">Рис. </w:t>
      </w:r>
      <w:r w:rsidR="008642DE" w:rsidRPr="00C17623">
        <w:rPr>
          <w:b w:val="0"/>
        </w:rPr>
        <w:t>2. Ціна за 1 т СО</w:t>
      </w:r>
      <w:r w:rsidR="008642DE" w:rsidRPr="00C17623">
        <w:rPr>
          <w:b w:val="0"/>
          <w:vertAlign w:val="subscript"/>
        </w:rPr>
        <w:t xml:space="preserve">2 </w:t>
      </w:r>
      <w:r w:rsidR="008642DE" w:rsidRPr="00C17623">
        <w:rPr>
          <w:b w:val="0"/>
        </w:rPr>
        <w:t>на європейському ринку</w:t>
      </w:r>
      <w:r w:rsidR="008642DE" w:rsidRPr="00C17623">
        <w:rPr>
          <w:rStyle w:val="a7"/>
          <w:b w:val="0"/>
        </w:rPr>
        <w:footnoteReference w:id="5"/>
      </w:r>
    </w:p>
    <w:p w:rsidR="008642DE" w:rsidRDefault="008642DE" w:rsidP="008642DE">
      <w:pPr>
        <w:spacing w:line="240" w:lineRule="auto"/>
      </w:pPr>
    </w:p>
    <w:p w:rsidR="008642DE" w:rsidRDefault="008642DE" w:rsidP="008642DE">
      <w:pPr>
        <w:spacing w:line="240" w:lineRule="auto"/>
        <w:rPr>
          <w:rFonts w:ascii="Times New Roman" w:hAnsi="Times New Roman" w:cs="Times New Roman"/>
        </w:rPr>
      </w:pPr>
      <w:r w:rsidRPr="0061688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гідно </w:t>
      </w:r>
      <w:r w:rsidR="001619EC">
        <w:rPr>
          <w:rFonts w:ascii="Times New Roman" w:hAnsi="Times New Roman" w:cs="Times New Roman"/>
        </w:rPr>
        <w:t xml:space="preserve">із </w:t>
      </w:r>
      <w:r>
        <w:rPr>
          <w:rFonts w:ascii="Times New Roman" w:hAnsi="Times New Roman" w:cs="Times New Roman"/>
        </w:rPr>
        <w:t>Звіт</w:t>
      </w:r>
      <w:r w:rsidR="001619EC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про </w:t>
      </w:r>
      <w:r w:rsidRPr="00616880">
        <w:rPr>
          <w:rFonts w:ascii="Times New Roman" w:hAnsi="Times New Roman" w:cs="Times New Roman"/>
        </w:rPr>
        <w:t xml:space="preserve">виконання Зведеного бюджету України </w:t>
      </w:r>
      <w:r>
        <w:rPr>
          <w:rFonts w:ascii="Times New Roman" w:hAnsi="Times New Roman" w:cs="Times New Roman"/>
        </w:rPr>
        <w:t>за 2014 рі</w:t>
      </w:r>
      <w:r w:rsidR="001619EC">
        <w:rPr>
          <w:rFonts w:ascii="Times New Roman" w:hAnsi="Times New Roman" w:cs="Times New Roman"/>
        </w:rPr>
        <w:t>к</w:t>
      </w:r>
      <w:r w:rsidR="00EF0E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затверджен</w:t>
      </w:r>
      <w:r w:rsidR="00EF0E83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="00EF0E83">
        <w:rPr>
          <w:rFonts w:ascii="Times New Roman" w:hAnsi="Times New Roman" w:cs="Times New Roman"/>
        </w:rPr>
        <w:t>н</w:t>
      </w:r>
      <w:r w:rsidRPr="00616880">
        <w:rPr>
          <w:rFonts w:ascii="Times New Roman" w:hAnsi="Times New Roman" w:cs="Times New Roman"/>
        </w:rPr>
        <w:t>аказ</w:t>
      </w:r>
      <w:r>
        <w:rPr>
          <w:rFonts w:ascii="Times New Roman" w:hAnsi="Times New Roman" w:cs="Times New Roman"/>
        </w:rPr>
        <w:t>ом</w:t>
      </w:r>
      <w:r w:rsidRPr="00616880">
        <w:rPr>
          <w:rFonts w:ascii="Times New Roman" w:hAnsi="Times New Roman" w:cs="Times New Roman"/>
        </w:rPr>
        <w:t xml:space="preserve"> Міністерства фінансів України від 28.12.2011</w:t>
      </w:r>
      <w:r>
        <w:rPr>
          <w:rFonts w:ascii="Times New Roman" w:hAnsi="Times New Roman" w:cs="Times New Roman"/>
        </w:rPr>
        <w:t xml:space="preserve"> </w:t>
      </w:r>
      <w:r w:rsidRPr="00616880">
        <w:rPr>
          <w:rFonts w:ascii="Times New Roman" w:hAnsi="Times New Roman" w:cs="Times New Roman"/>
        </w:rPr>
        <w:t>№1774</w:t>
      </w:r>
      <w:r>
        <w:rPr>
          <w:rStyle w:val="a7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>, н</w:t>
      </w:r>
      <w:r w:rsidRPr="00616880">
        <w:rPr>
          <w:rFonts w:ascii="Times New Roman" w:hAnsi="Times New Roman" w:cs="Times New Roman"/>
        </w:rPr>
        <w:t xml:space="preserve">адходження від викидів забруднюючих речовин </w:t>
      </w:r>
      <w:r>
        <w:rPr>
          <w:rFonts w:ascii="Times New Roman" w:hAnsi="Times New Roman" w:cs="Times New Roman"/>
        </w:rPr>
        <w:t xml:space="preserve">(у тому числі </w:t>
      </w:r>
      <w:r w:rsidRPr="00616880">
        <w:rPr>
          <w:rFonts w:ascii="Times New Roman" w:hAnsi="Times New Roman" w:cs="Times New Roman"/>
        </w:rPr>
        <w:t xml:space="preserve">викиди </w:t>
      </w:r>
      <w:r>
        <w:rPr>
          <w:rFonts w:ascii="Times New Roman" w:hAnsi="Times New Roman" w:cs="Times New Roman"/>
        </w:rPr>
        <w:t>СО</w:t>
      </w:r>
      <w:r w:rsidRPr="0061688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</w:t>
      </w:r>
      <w:r w:rsidRPr="00616880">
        <w:rPr>
          <w:rFonts w:ascii="Times New Roman" w:hAnsi="Times New Roman" w:cs="Times New Roman"/>
        </w:rPr>
        <w:t>в атмосферне повітря стац</w:t>
      </w:r>
      <w:r>
        <w:rPr>
          <w:rFonts w:ascii="Times New Roman" w:hAnsi="Times New Roman" w:cs="Times New Roman"/>
        </w:rPr>
        <w:t xml:space="preserve">іонарними джерелами забруднення в 2014 р. становили </w:t>
      </w:r>
      <w:r w:rsidR="00EF0E83">
        <w:rPr>
          <w:rFonts w:ascii="Times New Roman" w:hAnsi="Times New Roman" w:cs="Times New Roman"/>
        </w:rPr>
        <w:t>понад</w:t>
      </w:r>
      <w:r>
        <w:rPr>
          <w:rFonts w:ascii="Times New Roman" w:hAnsi="Times New Roman" w:cs="Times New Roman"/>
        </w:rPr>
        <w:t xml:space="preserve"> 2 </w:t>
      </w:r>
      <w:r w:rsidR="00C17623">
        <w:rPr>
          <w:rFonts w:ascii="Times New Roman" w:hAnsi="Times New Roman" w:cs="Times New Roman"/>
        </w:rPr>
        <w:t>млрд.</w:t>
      </w:r>
      <w:r>
        <w:rPr>
          <w:rFonts w:ascii="Times New Roman" w:hAnsi="Times New Roman" w:cs="Times New Roman"/>
        </w:rPr>
        <w:t xml:space="preserve"> гр</w:t>
      </w:r>
      <w:r w:rsidR="00EF0E83">
        <w:rPr>
          <w:rFonts w:ascii="Times New Roman" w:hAnsi="Times New Roman" w:cs="Times New Roman"/>
        </w:rPr>
        <w:t>ивень</w:t>
      </w:r>
      <w:r>
        <w:rPr>
          <w:rFonts w:ascii="Times New Roman" w:hAnsi="Times New Roman" w:cs="Times New Roman"/>
        </w:rPr>
        <w:t xml:space="preserve">. Надходження до </w:t>
      </w:r>
      <w:r w:rsidRPr="002321BE">
        <w:rPr>
          <w:rFonts w:ascii="Times New Roman" w:hAnsi="Times New Roman" w:cs="Times New Roman"/>
        </w:rPr>
        <w:t>бюджетів Автономної Республіки Крим, областей, міст Києва та Севастополя</w:t>
      </w:r>
      <w:r>
        <w:rPr>
          <w:rStyle w:val="a7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 xml:space="preserve"> в 2014 р. </w:t>
      </w:r>
      <w:r w:rsidRPr="002321BE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 xml:space="preserve">оподаткування </w:t>
      </w:r>
      <w:r w:rsidRPr="002321BE">
        <w:rPr>
          <w:rFonts w:ascii="Times New Roman" w:hAnsi="Times New Roman" w:cs="Times New Roman"/>
        </w:rPr>
        <w:t>викидів забруднюючих речовин в атмосферне повітря</w:t>
      </w:r>
      <w:r w:rsidR="00467D69">
        <w:rPr>
          <w:rFonts w:ascii="Times New Roman" w:hAnsi="Times New Roman" w:cs="Times New Roman"/>
        </w:rPr>
        <w:t>,</w:t>
      </w:r>
      <w:r w:rsidRPr="002321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тому числі </w:t>
      </w:r>
      <w:r w:rsidRPr="00616880">
        <w:rPr>
          <w:rFonts w:ascii="Times New Roman" w:hAnsi="Times New Roman" w:cs="Times New Roman"/>
        </w:rPr>
        <w:t xml:space="preserve">викиди </w:t>
      </w:r>
      <w:r>
        <w:rPr>
          <w:rFonts w:ascii="Times New Roman" w:hAnsi="Times New Roman" w:cs="Times New Roman"/>
        </w:rPr>
        <w:t>СО</w:t>
      </w:r>
      <w:r w:rsidRPr="0061688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</w:t>
      </w:r>
      <w:r w:rsidRPr="002321BE">
        <w:rPr>
          <w:rFonts w:ascii="Times New Roman" w:hAnsi="Times New Roman" w:cs="Times New Roman"/>
        </w:rPr>
        <w:t>стаціонарними джерелами забруднення</w:t>
      </w:r>
      <w:r>
        <w:rPr>
          <w:rFonts w:ascii="Times New Roman" w:hAnsi="Times New Roman" w:cs="Times New Roman"/>
        </w:rPr>
        <w:t xml:space="preserve"> становили </w:t>
      </w:r>
      <w:r w:rsidR="00EF0E83">
        <w:rPr>
          <w:rFonts w:ascii="Times New Roman" w:hAnsi="Times New Roman" w:cs="Times New Roman"/>
        </w:rPr>
        <w:t>понад</w:t>
      </w:r>
      <w:r>
        <w:rPr>
          <w:rFonts w:ascii="Times New Roman" w:hAnsi="Times New Roman" w:cs="Times New Roman"/>
        </w:rPr>
        <w:t xml:space="preserve"> 700 </w:t>
      </w:r>
      <w:r w:rsidR="00C17623">
        <w:rPr>
          <w:rFonts w:ascii="Times New Roman" w:hAnsi="Times New Roman" w:cs="Times New Roman"/>
        </w:rPr>
        <w:t>млн.</w:t>
      </w:r>
      <w:r>
        <w:rPr>
          <w:rFonts w:ascii="Times New Roman" w:hAnsi="Times New Roman" w:cs="Times New Roman"/>
        </w:rPr>
        <w:t xml:space="preserve"> гр</w:t>
      </w:r>
      <w:r w:rsidR="00EF0E83">
        <w:rPr>
          <w:rFonts w:ascii="Times New Roman" w:hAnsi="Times New Roman" w:cs="Times New Roman"/>
        </w:rPr>
        <w:t>ивень</w:t>
      </w:r>
      <w:r>
        <w:rPr>
          <w:rFonts w:ascii="Times New Roman" w:hAnsi="Times New Roman" w:cs="Times New Roman"/>
        </w:rPr>
        <w:t xml:space="preserve">. </w:t>
      </w:r>
    </w:p>
    <w:p w:rsidR="008642DE" w:rsidRDefault="008642DE" w:rsidP="008642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За оцінками ДУ "Інститут економіки та прогнозування НАН України"</w:t>
      </w:r>
      <w:r w:rsidR="00EF0E83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</w:rPr>
        <w:t xml:space="preserve"> в період дії Паризької угоди динаміка викидів ПГ в Україні буде висхідною, тобто викиди ПГ зростатимуть, однак</w:t>
      </w:r>
      <w:r w:rsidR="00467D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темпи їхнього зростання залежатимуть від інтенсивності </w:t>
      </w:r>
      <w:r w:rsidRPr="00CD4F85">
        <w:rPr>
          <w:rFonts w:ascii="Times New Roman" w:hAnsi="Times New Roman" w:cs="Times New Roman"/>
          <w:szCs w:val="28"/>
        </w:rPr>
        <w:t xml:space="preserve">запровадження заходів з енергоефективності, енергозбереження, </w:t>
      </w:r>
      <w:r>
        <w:rPr>
          <w:rFonts w:ascii="Times New Roman" w:hAnsi="Times New Roman" w:cs="Times New Roman"/>
          <w:szCs w:val="28"/>
        </w:rPr>
        <w:t>розвитку відновлювальної енергетики</w:t>
      </w:r>
      <w:r w:rsidRPr="00CD4F85">
        <w:rPr>
          <w:rFonts w:ascii="Times New Roman" w:hAnsi="Times New Roman" w:cs="Times New Roman"/>
          <w:szCs w:val="28"/>
        </w:rPr>
        <w:t xml:space="preserve">, а також </w:t>
      </w:r>
      <w:r>
        <w:rPr>
          <w:rFonts w:ascii="Times New Roman" w:hAnsi="Times New Roman" w:cs="Times New Roman"/>
          <w:szCs w:val="28"/>
        </w:rPr>
        <w:t>від економічної та екологічної політик.</w:t>
      </w:r>
      <w:r>
        <w:rPr>
          <w:rFonts w:ascii="Times New Roman" w:hAnsi="Times New Roman" w:cs="Times New Roman"/>
        </w:rPr>
        <w:t xml:space="preserve"> Тим не менш, у разі </w:t>
      </w:r>
      <w:r w:rsidRPr="00616880">
        <w:rPr>
          <w:rFonts w:ascii="Times New Roman" w:hAnsi="Times New Roman" w:cs="Times New Roman"/>
        </w:rPr>
        <w:t>перегля</w:t>
      </w:r>
      <w:r>
        <w:rPr>
          <w:rFonts w:ascii="Times New Roman" w:hAnsi="Times New Roman" w:cs="Times New Roman"/>
        </w:rPr>
        <w:t>ду (</w:t>
      </w:r>
      <w:r w:rsidR="00EF0E83">
        <w:rPr>
          <w:rFonts w:ascii="Times New Roman" w:hAnsi="Times New Roman" w:cs="Times New Roman"/>
        </w:rPr>
        <w:t>у бік</w:t>
      </w:r>
      <w:r>
        <w:rPr>
          <w:rFonts w:ascii="Times New Roman" w:hAnsi="Times New Roman" w:cs="Times New Roman"/>
        </w:rPr>
        <w:t xml:space="preserve"> збільшення)</w:t>
      </w:r>
      <w:r w:rsidRPr="00616880">
        <w:rPr>
          <w:rFonts w:ascii="Times New Roman" w:hAnsi="Times New Roman" w:cs="Times New Roman"/>
        </w:rPr>
        <w:t xml:space="preserve"> податку на викиди ПГ в </w:t>
      </w:r>
      <w:r>
        <w:rPr>
          <w:rFonts w:ascii="Times New Roman" w:hAnsi="Times New Roman" w:cs="Times New Roman"/>
        </w:rPr>
        <w:t>Україні з метою їх скорочення</w:t>
      </w:r>
      <w:r w:rsidR="00EF0E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надходження до державного бюджету та місцевих бюджетів будуть зростати.</w:t>
      </w:r>
    </w:p>
    <w:p w:rsidR="008642DE" w:rsidRDefault="00EF0E83" w:rsidP="008642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іншого</w:t>
      </w:r>
      <w:r w:rsidR="00864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боку</w:t>
      </w:r>
      <w:r w:rsidR="008642DE">
        <w:rPr>
          <w:rFonts w:ascii="Times New Roman" w:hAnsi="Times New Roman" w:cs="Times New Roman"/>
        </w:rPr>
        <w:t>, виконання умов Паризької угоди потребуватиме від України здійснення певних внесків для участі в ній, здійснення видатків з державного бюджету на підготовку додаткової звітної документації тощо, однак ці витрати можуть бути повністю п</w:t>
      </w:r>
      <w:r>
        <w:rPr>
          <w:rFonts w:ascii="Times New Roman" w:hAnsi="Times New Roman" w:cs="Times New Roman"/>
        </w:rPr>
        <w:t>ерекриті тими вигодами, про які</w:t>
      </w:r>
      <w:r w:rsidR="008642DE">
        <w:rPr>
          <w:rFonts w:ascii="Times New Roman" w:hAnsi="Times New Roman" w:cs="Times New Roman"/>
        </w:rPr>
        <w:t xml:space="preserve"> йшлося вище.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b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Таким чином, Україна має великий потенціал щодо зменшення викидів парникових газів та для підвищення амбітності її визначених на національному рівні внесків вона може залучити підтримку з боку інвесторів, при цьому підвищуючи </w:t>
      </w:r>
      <w:r w:rsidR="00EF0E83">
        <w:rPr>
          <w:szCs w:val="28"/>
          <w:lang w:val="uk-UA" w:eastAsia="uk-UA"/>
        </w:rPr>
        <w:t xml:space="preserve">свій </w:t>
      </w:r>
      <w:r>
        <w:rPr>
          <w:szCs w:val="28"/>
          <w:lang w:val="uk-UA" w:eastAsia="uk-UA"/>
        </w:rPr>
        <w:t>як економічний</w:t>
      </w:r>
      <w:r w:rsidR="00EF0E83">
        <w:rPr>
          <w:szCs w:val="28"/>
          <w:lang w:val="uk-UA" w:eastAsia="uk-UA"/>
        </w:rPr>
        <w:t>,</w:t>
      </w:r>
      <w:r>
        <w:rPr>
          <w:szCs w:val="28"/>
          <w:lang w:val="uk-UA" w:eastAsia="uk-UA"/>
        </w:rPr>
        <w:t xml:space="preserve"> так </w:t>
      </w:r>
      <w:r w:rsidR="00EF0E83">
        <w:rPr>
          <w:szCs w:val="28"/>
          <w:lang w:val="uk-UA" w:eastAsia="uk-UA"/>
        </w:rPr>
        <w:t>і</w:t>
      </w:r>
      <w:r>
        <w:rPr>
          <w:szCs w:val="28"/>
          <w:lang w:val="uk-UA" w:eastAsia="uk-UA"/>
        </w:rPr>
        <w:t xml:space="preserve"> технологічний</w:t>
      </w:r>
      <w:r w:rsidR="00EF0E83" w:rsidRPr="00EF0E83">
        <w:rPr>
          <w:szCs w:val="28"/>
          <w:lang w:val="uk-UA" w:eastAsia="uk-UA"/>
        </w:rPr>
        <w:t xml:space="preserve"> </w:t>
      </w:r>
      <w:r w:rsidR="00EF0E83">
        <w:rPr>
          <w:szCs w:val="28"/>
          <w:lang w:val="uk-UA" w:eastAsia="uk-UA"/>
        </w:rPr>
        <w:t>рівні розвитку</w:t>
      </w:r>
      <w:r>
        <w:rPr>
          <w:szCs w:val="28"/>
          <w:lang w:val="uk-UA" w:eastAsia="uk-UA"/>
        </w:rPr>
        <w:t xml:space="preserve">. 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Взявши зобов’язання у рамках Кіотського протоколу, у період 2009 -2012</w:t>
      </w:r>
      <w:r w:rsidR="00EF0E83">
        <w:rPr>
          <w:szCs w:val="28"/>
          <w:lang w:val="uk-UA" w:eastAsia="uk-UA"/>
        </w:rPr>
        <w:t> </w:t>
      </w:r>
      <w:r>
        <w:rPr>
          <w:szCs w:val="28"/>
          <w:lang w:val="uk-UA" w:eastAsia="uk-UA"/>
        </w:rPr>
        <w:t xml:space="preserve">рр. Україні вдалося залучити кошти </w:t>
      </w:r>
      <w:r w:rsidR="00EF0E83">
        <w:rPr>
          <w:szCs w:val="28"/>
          <w:lang w:val="uk-UA" w:eastAsia="uk-UA"/>
        </w:rPr>
        <w:t>в</w:t>
      </w:r>
      <w:r>
        <w:rPr>
          <w:szCs w:val="28"/>
          <w:lang w:val="uk-UA" w:eastAsia="uk-UA"/>
        </w:rPr>
        <w:t xml:space="preserve"> обсязі </w:t>
      </w:r>
      <w:r w:rsidR="00EF0E83">
        <w:rPr>
          <w:szCs w:val="28"/>
          <w:lang w:val="uk-UA" w:eastAsia="uk-UA"/>
        </w:rPr>
        <w:t>понад</w:t>
      </w:r>
      <w:r>
        <w:rPr>
          <w:szCs w:val="28"/>
          <w:lang w:val="uk-UA" w:eastAsia="uk-UA"/>
        </w:rPr>
        <w:t xml:space="preserve"> 1200 млн. євро на реалізацію різних кліматичних проектів, що мали не лише екологічне, але й політичне, соціальне та економічне значення для України. </w:t>
      </w:r>
    </w:p>
    <w:p w:rsidR="00B03EC1" w:rsidRDefault="00EF0E83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>За аналогією</w:t>
      </w:r>
      <w:r w:rsidR="00B03EC1">
        <w:rPr>
          <w:szCs w:val="28"/>
          <w:lang w:val="uk-UA" w:eastAsia="uk-UA"/>
        </w:rPr>
        <w:t xml:space="preserve"> з Кіотським протоколом стаття 6 Угоди встановлює можливість співпраці між Сторонами для підвищення амбітності їх дій щодо запобігання зміні клімату та адаптації до неї. У зв’язку з тим, що текст самої Угоди був погоджений Сторонами Конвенції лише у грудні 2015 року, процедури реалізації такої співпраці поки не встановлені, однак, з огляду на наявну міжнародну практику, імовірно</w:t>
      </w:r>
      <w:r w:rsidR="00467D69">
        <w:rPr>
          <w:szCs w:val="28"/>
          <w:lang w:val="uk-UA" w:eastAsia="uk-UA"/>
        </w:rPr>
        <w:t>,</w:t>
      </w:r>
      <w:r w:rsidR="00B03EC1">
        <w:rPr>
          <w:szCs w:val="28"/>
          <w:lang w:val="uk-UA" w:eastAsia="uk-UA"/>
        </w:rPr>
        <w:t xml:space="preserve"> певні елементи впровадження </w:t>
      </w:r>
      <w:r w:rsidR="00467D69">
        <w:rPr>
          <w:szCs w:val="28"/>
          <w:lang w:val="uk-UA" w:eastAsia="uk-UA"/>
        </w:rPr>
        <w:t xml:space="preserve">статті 17 Кіотського протоколу </w:t>
      </w:r>
      <w:r w:rsidR="00B03EC1">
        <w:rPr>
          <w:szCs w:val="28"/>
          <w:lang w:val="uk-UA" w:eastAsia="uk-UA"/>
        </w:rPr>
        <w:t xml:space="preserve">будуть застосовані для імплементації статті 6 Угоди. 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Відповідно до положень статті 17 Кіотського протоколу Україні вдалось залучити безпосередньо до державного бюджету 470 млн. євро на реалізацію проектів схеми зелених інвестицій, а отже</w:t>
      </w:r>
      <w:r w:rsidR="00EF0E83">
        <w:rPr>
          <w:szCs w:val="28"/>
          <w:lang w:val="uk-UA" w:eastAsia="uk-UA"/>
        </w:rPr>
        <w:t>,</w:t>
      </w:r>
      <w:r>
        <w:rPr>
          <w:szCs w:val="28"/>
          <w:lang w:val="uk-UA" w:eastAsia="uk-UA"/>
        </w:rPr>
        <w:t xml:space="preserve"> положення статті 6 Угоди відкривають можливості для України залучати </w:t>
      </w:r>
      <w:r w:rsidR="00EF0E83">
        <w:rPr>
          <w:szCs w:val="28"/>
          <w:lang w:val="uk-UA" w:eastAsia="uk-UA"/>
        </w:rPr>
        <w:t>чи</w:t>
      </w:r>
      <w:r>
        <w:rPr>
          <w:szCs w:val="28"/>
          <w:lang w:val="uk-UA" w:eastAsia="uk-UA"/>
        </w:rPr>
        <w:t xml:space="preserve">малі кошти на реалізацію кліматичних проектів. Слід зазначити, що технологічно розвинуті країни досягли межі скорочення викидів парникових газів, та практично їм вигідніше надавати відповідну підтримку для скорочення таких викидів у інших країнах, які технологічно є менш розвинутими та мають відповідний потенціал. Україна </w:t>
      </w:r>
      <w:r w:rsidR="00EF0E83">
        <w:rPr>
          <w:szCs w:val="28"/>
          <w:lang w:val="uk-UA" w:eastAsia="uk-UA"/>
        </w:rPr>
        <w:t xml:space="preserve">- </w:t>
      </w:r>
      <w:r>
        <w:rPr>
          <w:szCs w:val="28"/>
          <w:lang w:val="uk-UA" w:eastAsia="uk-UA"/>
        </w:rPr>
        <w:t>одна з тих країн, що має великий потенціал щодо скорочення викидів парникових газів, а також спеціалістів та досвід реалізації відповідних проектів.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Також у статті 6 Угоди передбачений механізм сприяння скороченню викидів парникових газів і підтримки сталого розвитку. В основу цього механізму вже закладені принципи проектів спільного впровадження, що реалізовувались у рамках статті 6 Кіотського </w:t>
      </w:r>
      <w:r w:rsidR="00467D69">
        <w:rPr>
          <w:szCs w:val="28"/>
          <w:lang w:val="uk-UA" w:eastAsia="uk-UA"/>
        </w:rPr>
        <w:t>протоколу</w:t>
      </w:r>
      <w:r>
        <w:rPr>
          <w:szCs w:val="28"/>
          <w:lang w:val="uk-UA" w:eastAsia="uk-UA"/>
        </w:rPr>
        <w:t xml:space="preserve">, а також механізму чистого розвитку, що впроваджується згідно </w:t>
      </w:r>
      <w:r w:rsidR="00467D69">
        <w:rPr>
          <w:szCs w:val="28"/>
          <w:lang w:val="uk-UA" w:eastAsia="uk-UA"/>
        </w:rPr>
        <w:t>і</w:t>
      </w:r>
      <w:r w:rsidR="00EF0E83">
        <w:rPr>
          <w:szCs w:val="28"/>
          <w:lang w:val="uk-UA" w:eastAsia="uk-UA"/>
        </w:rPr>
        <w:t>з статтею</w:t>
      </w:r>
      <w:r>
        <w:rPr>
          <w:szCs w:val="28"/>
          <w:lang w:val="uk-UA" w:eastAsia="uk-UA"/>
        </w:rPr>
        <w:t xml:space="preserve"> 12 Кіотського протоколу. 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Як відомо</w:t>
      </w:r>
      <w:r w:rsidR="00EF0E83">
        <w:rPr>
          <w:szCs w:val="28"/>
          <w:lang w:val="uk-UA" w:eastAsia="uk-UA"/>
        </w:rPr>
        <w:t>,</w:t>
      </w:r>
      <w:r>
        <w:rPr>
          <w:szCs w:val="28"/>
          <w:lang w:val="uk-UA" w:eastAsia="uk-UA"/>
        </w:rPr>
        <w:t xml:space="preserve"> Україна займає перше місце у світі, реалізувавши 278 проектів спільного впровадження. За оцінками експертів</w:t>
      </w:r>
      <w:r w:rsidR="00DE7E24">
        <w:rPr>
          <w:szCs w:val="28"/>
          <w:lang w:val="uk-UA" w:eastAsia="uk-UA"/>
        </w:rPr>
        <w:t>,</w:t>
      </w:r>
      <w:r>
        <w:rPr>
          <w:szCs w:val="28"/>
          <w:lang w:val="uk-UA" w:eastAsia="uk-UA"/>
        </w:rPr>
        <w:t xml:space="preserve"> у рамках реалізації саме цих проектів було залучено близько 800 млн. євро у розвиток приватних промислових підприємств різних галузей економіки майже по всій території України.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Окрім зазначеного, стаття 9 Угоди передбачає, що Сторони, які є розвинутими країнами, надають фінансові ресурси. Відповідно до Рішення 1/СР.21 Конференції Сторін для розвинутих країн та інших Сторін Угоди, що добровільно надаватимуть фінансову підтримку, до 2025 року буде встановлена нова колективна та кількісна фінансова мета – мобілізувати фінансові ресурси у розмірі не менше 100 млрд. дол. США на рік. 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Фінансовий механізм, що діятиме у рамках Угоди</w:t>
      </w:r>
      <w:r w:rsidR="00DE7E24">
        <w:rPr>
          <w:szCs w:val="28"/>
          <w:lang w:val="uk-UA" w:eastAsia="uk-UA"/>
        </w:rPr>
        <w:t>,</w:t>
      </w:r>
      <w:r>
        <w:rPr>
          <w:szCs w:val="28"/>
          <w:lang w:val="uk-UA" w:eastAsia="uk-UA"/>
        </w:rPr>
        <w:t xml:space="preserve"> буде розроблений Допоміжним органом для консультацій з наукових та технічних аспектів, однак відповідно до п.59 Рішення 1/СР.21 саме через Зелений кліматичний фонд та Глобальний екологічний фонд (далі - ГЕФ ) буде забезпечено фінансування кліматичних дій. 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Україна є членом ГЕФ та протягом 1991-2016 рр. реалізувала проектів у сфері зміни клімату на загальну суму 14 456 670 дол. США. Ставши Стороною Угоди, Україна продовжуватиме співпрацю з ГЕФ, реалізуючи проекти у сфері зміни клімату. </w:t>
      </w:r>
    </w:p>
    <w:p w:rsidR="00B03EC1" w:rsidRDefault="00DE7E24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З</w:t>
      </w:r>
      <w:r w:rsidR="00B03EC1">
        <w:rPr>
          <w:szCs w:val="28"/>
          <w:lang w:val="uk-UA" w:eastAsia="uk-UA"/>
        </w:rPr>
        <w:t xml:space="preserve">абезпечення участі України у Зеленому кліматичному фонді потребуватиме окремої роботи та відповідних консультацій, оскільки поки що в Україні не було прецеденту використання цього фонду </w:t>
      </w:r>
      <w:r>
        <w:rPr>
          <w:szCs w:val="28"/>
          <w:lang w:val="uk-UA" w:eastAsia="uk-UA"/>
        </w:rPr>
        <w:t>як</w:t>
      </w:r>
      <w:r w:rsidR="00B03EC1">
        <w:rPr>
          <w:szCs w:val="28"/>
          <w:lang w:val="uk-UA" w:eastAsia="uk-UA"/>
        </w:rPr>
        <w:t xml:space="preserve"> фінансов</w:t>
      </w:r>
      <w:r w:rsidR="00467D69">
        <w:rPr>
          <w:szCs w:val="28"/>
          <w:lang w:val="uk-UA" w:eastAsia="uk-UA"/>
        </w:rPr>
        <w:t>ої</w:t>
      </w:r>
      <w:r w:rsidR="00B03EC1">
        <w:rPr>
          <w:szCs w:val="28"/>
          <w:lang w:val="uk-UA" w:eastAsia="uk-UA"/>
        </w:rPr>
        <w:t xml:space="preserve"> підтримк</w:t>
      </w:r>
      <w:r w:rsidR="00467D69">
        <w:rPr>
          <w:szCs w:val="28"/>
          <w:lang w:val="uk-UA" w:eastAsia="uk-UA"/>
        </w:rPr>
        <w:t>и</w:t>
      </w:r>
      <w:r w:rsidR="00B03EC1">
        <w:rPr>
          <w:szCs w:val="28"/>
          <w:lang w:val="uk-UA" w:eastAsia="uk-UA"/>
        </w:rPr>
        <w:t xml:space="preserve"> для кліматичних проектів. </w:t>
      </w:r>
    </w:p>
    <w:p w:rsidR="00B03EC1" w:rsidRPr="008642DE" w:rsidRDefault="00DE7E24" w:rsidP="00350984">
      <w:pPr>
        <w:pStyle w:val="a8"/>
        <w:tabs>
          <w:tab w:val="left" w:pos="993"/>
        </w:tabs>
        <w:suppressAutoHyphens/>
        <w:spacing w:after="0"/>
        <w:rPr>
          <w:b/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>З урахуванням</w:t>
      </w:r>
      <w:r w:rsidR="00192642" w:rsidRPr="008642DE">
        <w:rPr>
          <w:szCs w:val="28"/>
          <w:lang w:val="uk-UA" w:eastAsia="uk-UA"/>
        </w:rPr>
        <w:t xml:space="preserve"> вище</w:t>
      </w:r>
      <w:r w:rsidR="00B03EC1" w:rsidRPr="008642DE">
        <w:rPr>
          <w:szCs w:val="28"/>
          <w:lang w:val="uk-UA" w:eastAsia="uk-UA"/>
        </w:rPr>
        <w:t>викладен</w:t>
      </w:r>
      <w:r>
        <w:rPr>
          <w:szCs w:val="28"/>
          <w:lang w:val="uk-UA" w:eastAsia="uk-UA"/>
        </w:rPr>
        <w:t>ого</w:t>
      </w:r>
      <w:r w:rsidR="00B03EC1" w:rsidRPr="008642DE">
        <w:rPr>
          <w:szCs w:val="28"/>
          <w:lang w:val="uk-UA" w:eastAsia="uk-UA"/>
        </w:rPr>
        <w:t xml:space="preserve">, </w:t>
      </w:r>
      <w:r w:rsidR="00C17623">
        <w:rPr>
          <w:szCs w:val="28"/>
          <w:lang w:val="uk-UA" w:eastAsia="uk-UA"/>
        </w:rPr>
        <w:t>ратифікація</w:t>
      </w:r>
      <w:r w:rsidR="00B03EC1" w:rsidRPr="008642DE">
        <w:rPr>
          <w:szCs w:val="28"/>
          <w:lang w:val="uk-UA" w:eastAsia="uk-UA"/>
        </w:rPr>
        <w:t xml:space="preserve"> Угоди відкриває можливості для залучення коштів у проекти зі зміни клімату, що охоплюють різні сектори економіки</w:t>
      </w:r>
      <w:r w:rsidR="00467D69">
        <w:rPr>
          <w:szCs w:val="28"/>
          <w:lang w:val="uk-UA" w:eastAsia="uk-UA"/>
        </w:rPr>
        <w:t>:</w:t>
      </w:r>
      <w:r w:rsidR="00B03EC1" w:rsidRPr="008642DE">
        <w:rPr>
          <w:szCs w:val="28"/>
          <w:lang w:val="uk-UA" w:eastAsia="uk-UA"/>
        </w:rPr>
        <w:t xml:space="preserve"> від енергетичного до аграрного. Наразі складно оцінити точну суму потенційних інвестицій, яка</w:t>
      </w:r>
      <w:r>
        <w:rPr>
          <w:szCs w:val="28"/>
          <w:lang w:val="uk-UA" w:eastAsia="uk-UA"/>
        </w:rPr>
        <w:t>,</w:t>
      </w:r>
      <w:r w:rsidR="00B03EC1" w:rsidRPr="008642DE">
        <w:rPr>
          <w:szCs w:val="28"/>
          <w:lang w:val="uk-UA" w:eastAsia="uk-UA"/>
        </w:rPr>
        <w:t xml:space="preserve"> в першу чергу</w:t>
      </w:r>
      <w:r>
        <w:rPr>
          <w:szCs w:val="28"/>
          <w:lang w:val="uk-UA" w:eastAsia="uk-UA"/>
        </w:rPr>
        <w:t>,</w:t>
      </w:r>
      <w:r w:rsidR="00B03EC1" w:rsidRPr="008642DE">
        <w:rPr>
          <w:szCs w:val="28"/>
          <w:lang w:val="uk-UA" w:eastAsia="uk-UA"/>
        </w:rPr>
        <w:t xml:space="preserve"> залежатиме від якості загального інвестиційного клімату в Україні та її подальшої енергетичної та кліматичної політики. Однак спираючись на досвід участі України у Кіотському протоколі, можна впевнено стверджувати, що</w:t>
      </w:r>
      <w:r>
        <w:rPr>
          <w:szCs w:val="28"/>
          <w:lang w:val="uk-UA" w:eastAsia="uk-UA"/>
        </w:rPr>
        <w:t>,</w:t>
      </w:r>
      <w:r w:rsidR="00B03EC1" w:rsidRPr="008642DE">
        <w:rPr>
          <w:szCs w:val="28"/>
          <w:lang w:val="uk-UA" w:eastAsia="uk-UA"/>
        </w:rPr>
        <w:t xml:space="preserve"> доклавши зусиль</w:t>
      </w:r>
      <w:r>
        <w:rPr>
          <w:szCs w:val="28"/>
          <w:lang w:val="uk-UA" w:eastAsia="uk-UA"/>
        </w:rPr>
        <w:t>,</w:t>
      </w:r>
      <w:r w:rsidR="00B03EC1" w:rsidRPr="008642DE">
        <w:rPr>
          <w:szCs w:val="28"/>
          <w:lang w:val="uk-UA" w:eastAsia="uk-UA"/>
        </w:rPr>
        <w:t xml:space="preserve"> країна може отримати значні фінансові надходження у розбудову своєї економіки, модернізацію виробництва, покращення екології та</w:t>
      </w:r>
      <w:r>
        <w:rPr>
          <w:szCs w:val="28"/>
          <w:lang w:val="uk-UA" w:eastAsia="uk-UA"/>
        </w:rPr>
        <w:t>,</w:t>
      </w:r>
      <w:r w:rsidR="00B03EC1" w:rsidRPr="008642DE">
        <w:rPr>
          <w:szCs w:val="28"/>
          <w:lang w:val="uk-UA" w:eastAsia="uk-UA"/>
        </w:rPr>
        <w:t xml:space="preserve"> як наслідок</w:t>
      </w:r>
      <w:r>
        <w:rPr>
          <w:szCs w:val="28"/>
          <w:lang w:val="uk-UA" w:eastAsia="uk-UA"/>
        </w:rPr>
        <w:t>,</w:t>
      </w:r>
      <w:r w:rsidR="00B03EC1" w:rsidRPr="008642DE">
        <w:rPr>
          <w:szCs w:val="28"/>
          <w:lang w:val="uk-UA" w:eastAsia="uk-UA"/>
        </w:rPr>
        <w:t xml:space="preserve"> підвищення рівня життя. </w:t>
      </w:r>
    </w:p>
    <w:p w:rsidR="000961E0" w:rsidRDefault="00DE7E24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Виходячи з вище</w:t>
      </w:r>
      <w:r w:rsidR="00B03EC1" w:rsidRPr="008642DE">
        <w:rPr>
          <w:szCs w:val="28"/>
          <w:lang w:val="uk-UA" w:eastAsia="uk-UA"/>
        </w:rPr>
        <w:t xml:space="preserve">зазначеного, вважаємо, що існують обґрунтовані соціально-економічні передумови для </w:t>
      </w:r>
      <w:r w:rsidR="00C17623">
        <w:rPr>
          <w:szCs w:val="28"/>
          <w:lang w:val="uk-UA" w:eastAsia="uk-UA"/>
        </w:rPr>
        <w:t>ратифікації</w:t>
      </w:r>
      <w:r w:rsidR="00B03EC1" w:rsidRPr="008642DE">
        <w:rPr>
          <w:szCs w:val="28"/>
          <w:lang w:val="uk-UA" w:eastAsia="uk-UA"/>
        </w:rPr>
        <w:t xml:space="preserve"> Україною Паризької угоди. Необхідно використати великі можливості цієї </w:t>
      </w:r>
      <w:r w:rsidR="00467D69">
        <w:rPr>
          <w:szCs w:val="28"/>
          <w:lang w:val="uk-UA" w:eastAsia="uk-UA"/>
        </w:rPr>
        <w:t>У</w:t>
      </w:r>
      <w:bookmarkStart w:id="0" w:name="_GoBack"/>
      <w:bookmarkEnd w:id="0"/>
      <w:r w:rsidR="00B03EC1" w:rsidRPr="008642DE">
        <w:rPr>
          <w:szCs w:val="28"/>
          <w:lang w:val="uk-UA" w:eastAsia="uk-UA"/>
        </w:rPr>
        <w:t xml:space="preserve">годи, щоб не тільки модернізувати економіку, але й стати на шлях низьковуглецевого розвитку та </w:t>
      </w:r>
      <w:r>
        <w:rPr>
          <w:szCs w:val="28"/>
          <w:lang w:val="uk-UA" w:eastAsia="uk-UA"/>
        </w:rPr>
        <w:t xml:space="preserve">вжити </w:t>
      </w:r>
      <w:r w:rsidR="00B03EC1" w:rsidRPr="008642DE">
        <w:rPr>
          <w:szCs w:val="28"/>
          <w:lang w:val="uk-UA" w:eastAsia="uk-UA"/>
        </w:rPr>
        <w:t>заход</w:t>
      </w:r>
      <w:r>
        <w:rPr>
          <w:szCs w:val="28"/>
          <w:lang w:val="uk-UA" w:eastAsia="uk-UA"/>
        </w:rPr>
        <w:t>ів</w:t>
      </w:r>
      <w:r w:rsidR="00B03EC1" w:rsidRPr="008642DE">
        <w:rPr>
          <w:szCs w:val="28"/>
          <w:lang w:val="uk-UA" w:eastAsia="uk-UA"/>
        </w:rPr>
        <w:t xml:space="preserve"> з адаптації до змін клімату.</w:t>
      </w:r>
      <w:r w:rsidR="00B03EC1">
        <w:rPr>
          <w:szCs w:val="28"/>
          <w:lang w:val="uk-UA" w:eastAsia="uk-UA"/>
        </w:rPr>
        <w:t xml:space="preserve"> </w:t>
      </w:r>
    </w:p>
    <w:p w:rsidR="000961E0" w:rsidRDefault="000961E0">
      <w:pPr>
        <w:rPr>
          <w:rFonts w:ascii="Times New Roman" w:eastAsia="Times New Roman" w:hAnsi="Times New Roman" w:cs="Times New Roman"/>
          <w:szCs w:val="28"/>
          <w:lang w:eastAsia="uk-UA"/>
        </w:rPr>
      </w:pPr>
      <w:r>
        <w:rPr>
          <w:szCs w:val="28"/>
          <w:lang w:eastAsia="uk-UA"/>
        </w:rPr>
        <w:br w:type="page"/>
      </w: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  <w:proofErr w:type="spellStart"/>
      <w:r w:rsidRPr="000961E0">
        <w:rPr>
          <w:szCs w:val="28"/>
          <w:lang w:eastAsia="uk-UA"/>
        </w:rPr>
        <w:lastRenderedPageBreak/>
        <w:t>Кузьо</w:t>
      </w:r>
      <w:proofErr w:type="spellEnd"/>
      <w:r w:rsidRPr="000961E0">
        <w:rPr>
          <w:szCs w:val="28"/>
          <w:lang w:eastAsia="uk-UA"/>
        </w:rPr>
        <w:t xml:space="preserve"> М. С.          __________________</w:t>
      </w: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  <w:r w:rsidRPr="000961E0">
        <w:rPr>
          <w:szCs w:val="28"/>
          <w:lang w:eastAsia="uk-UA"/>
        </w:rPr>
        <w:t>Бучко В. А.           __________________</w:t>
      </w:r>
    </w:p>
    <w:p w:rsid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val="uk-UA" w:eastAsia="uk-UA"/>
        </w:rPr>
      </w:pPr>
    </w:p>
    <w:p w:rsid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val="uk-UA" w:eastAsia="uk-UA"/>
        </w:rPr>
      </w:pPr>
      <w:proofErr w:type="spellStart"/>
      <w:r>
        <w:rPr>
          <w:szCs w:val="28"/>
          <w:lang w:eastAsia="uk-UA"/>
        </w:rPr>
        <w:t>Ярова</w:t>
      </w:r>
      <w:proofErr w:type="spellEnd"/>
      <w:proofErr w:type="gramStart"/>
      <w:r>
        <w:rPr>
          <w:szCs w:val="28"/>
          <w:lang w:eastAsia="uk-UA"/>
        </w:rPr>
        <w:t xml:space="preserve"> </w:t>
      </w:r>
      <w:r>
        <w:rPr>
          <w:szCs w:val="28"/>
          <w:lang w:val="uk-UA" w:eastAsia="uk-UA"/>
        </w:rPr>
        <w:t>Є.</w:t>
      </w:r>
      <w:proofErr w:type="gramEnd"/>
      <w:r>
        <w:rPr>
          <w:szCs w:val="28"/>
          <w:lang w:val="uk-UA" w:eastAsia="uk-UA"/>
        </w:rPr>
        <w:t>В.            __________________</w:t>
      </w: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val="uk-UA" w:eastAsia="uk-UA"/>
        </w:rPr>
      </w:pP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  <w:r w:rsidRPr="000961E0">
        <w:rPr>
          <w:szCs w:val="28"/>
          <w:lang w:eastAsia="uk-UA"/>
        </w:rPr>
        <w:t>Пилипенко В. М.  __________________</w:t>
      </w: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  <w:r w:rsidRPr="000961E0">
        <w:rPr>
          <w:szCs w:val="28"/>
          <w:lang w:eastAsia="uk-UA"/>
        </w:rPr>
        <w:t>Гринчук С. В.       __________________</w:t>
      </w: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  <w:proofErr w:type="spellStart"/>
      <w:r w:rsidRPr="000961E0">
        <w:rPr>
          <w:szCs w:val="28"/>
          <w:lang w:eastAsia="uk-UA"/>
        </w:rPr>
        <w:t>Чиженко</w:t>
      </w:r>
      <w:proofErr w:type="spellEnd"/>
      <w:r w:rsidRPr="000961E0">
        <w:rPr>
          <w:szCs w:val="28"/>
          <w:lang w:eastAsia="uk-UA"/>
        </w:rPr>
        <w:t xml:space="preserve"> М. І.       __________________</w:t>
      </w: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  <w:r w:rsidRPr="000961E0">
        <w:rPr>
          <w:szCs w:val="28"/>
          <w:lang w:eastAsia="uk-UA"/>
        </w:rPr>
        <w:t>Черненко О.Ю.     __________________</w:t>
      </w: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</w:p>
    <w:p w:rsidR="000961E0" w:rsidRPr="000961E0" w:rsidRDefault="000961E0" w:rsidP="000961E0">
      <w:pPr>
        <w:pStyle w:val="a8"/>
        <w:tabs>
          <w:tab w:val="left" w:pos="993"/>
        </w:tabs>
        <w:suppressAutoHyphens/>
        <w:rPr>
          <w:szCs w:val="28"/>
          <w:lang w:eastAsia="uk-UA"/>
        </w:rPr>
      </w:pPr>
      <w:r w:rsidRPr="000961E0">
        <w:rPr>
          <w:szCs w:val="28"/>
          <w:lang w:eastAsia="uk-UA"/>
        </w:rPr>
        <w:t>Усенко Н. О.         __________________</w:t>
      </w:r>
    </w:p>
    <w:p w:rsidR="00B03EC1" w:rsidRDefault="00B03EC1" w:rsidP="00350984">
      <w:pPr>
        <w:pStyle w:val="a8"/>
        <w:tabs>
          <w:tab w:val="left" w:pos="993"/>
        </w:tabs>
        <w:suppressAutoHyphens/>
        <w:spacing w:after="0"/>
        <w:rPr>
          <w:szCs w:val="28"/>
          <w:lang w:val="uk-UA" w:eastAsia="uk-UA"/>
        </w:rPr>
      </w:pPr>
    </w:p>
    <w:sectPr w:rsidR="00B03EC1" w:rsidSect="009C29C3">
      <w:headerReference w:type="default" r:id="rId11"/>
      <w:pgSz w:w="11913" w:h="16834" w:code="9"/>
      <w:pgMar w:top="907" w:right="714" w:bottom="907" w:left="709" w:header="624" w:footer="720" w:gutter="567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12" w:rsidRDefault="00442312" w:rsidP="00B9738E">
      <w:pPr>
        <w:spacing w:line="240" w:lineRule="auto"/>
      </w:pPr>
      <w:r>
        <w:separator/>
      </w:r>
    </w:p>
  </w:endnote>
  <w:endnote w:type="continuationSeparator" w:id="0">
    <w:p w:rsidR="00442312" w:rsidRDefault="00442312" w:rsidP="00B97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12" w:rsidRDefault="00442312" w:rsidP="00B9738E">
      <w:pPr>
        <w:spacing w:line="240" w:lineRule="auto"/>
      </w:pPr>
      <w:r>
        <w:separator/>
      </w:r>
    </w:p>
  </w:footnote>
  <w:footnote w:type="continuationSeparator" w:id="0">
    <w:p w:rsidR="00442312" w:rsidRDefault="00442312" w:rsidP="00B9738E">
      <w:pPr>
        <w:spacing w:line="240" w:lineRule="auto"/>
      </w:pPr>
      <w:r>
        <w:continuationSeparator/>
      </w:r>
    </w:p>
  </w:footnote>
  <w:footnote w:id="1">
    <w:p w:rsidR="008642DE" w:rsidRPr="007359A9" w:rsidRDefault="008642DE" w:rsidP="008642DE">
      <w:pPr>
        <w:pStyle w:val="a5"/>
        <w:jc w:val="both"/>
        <w:rPr>
          <w:lang w:val="uk-UA"/>
        </w:rPr>
      </w:pPr>
      <w:r w:rsidRPr="007359A9">
        <w:rPr>
          <w:rStyle w:val="a7"/>
          <w:lang w:val="uk-UA"/>
        </w:rPr>
        <w:footnoteRef/>
      </w:r>
      <w:r w:rsidRPr="007359A9">
        <w:rPr>
          <w:lang w:val="uk-UA"/>
        </w:rPr>
        <w:t xml:space="preserve"> Оцінки були отримані фахівцями ДУ «Інститут економіки та прогнозування» на базі динамічної обчислюваної моделі загальної рівноваги з розширеним енергетичним блоком в рамках дослідження сценаріїв низьковуглецевого розвитку економіки України на період до 2030 р. Під додатковими податковими надходженнями маються на увазі додаткові надходження у порівнянні з базовим сценарієм (</w:t>
      </w:r>
      <w:r w:rsidRPr="007359A9">
        <w:rPr>
          <w:lang w:val="en-GB"/>
        </w:rPr>
        <w:t>Business</w:t>
      </w:r>
      <w:r w:rsidRPr="00B03EC1">
        <w:t xml:space="preserve"> </w:t>
      </w:r>
      <w:r w:rsidRPr="007359A9">
        <w:rPr>
          <w:lang w:val="en-GB"/>
        </w:rPr>
        <w:t>as</w:t>
      </w:r>
      <w:r w:rsidRPr="00B03EC1">
        <w:t xml:space="preserve"> </w:t>
      </w:r>
      <w:r w:rsidRPr="007359A9">
        <w:rPr>
          <w:lang w:val="en-GB"/>
        </w:rPr>
        <w:t>usual</w:t>
      </w:r>
      <w:r w:rsidRPr="007359A9">
        <w:rPr>
          <w:lang w:val="uk-UA"/>
        </w:rPr>
        <w:t>) за якого заходи низьковуглецевого розвитку в Україні не реалізуються.</w:t>
      </w:r>
    </w:p>
    <w:p w:rsidR="008642DE" w:rsidRPr="007359A9" w:rsidRDefault="008642DE" w:rsidP="008642DE">
      <w:pPr>
        <w:pStyle w:val="a5"/>
        <w:jc w:val="both"/>
        <w:rPr>
          <w:lang w:val="uk-UA"/>
        </w:rPr>
      </w:pPr>
      <w:r w:rsidRPr="007359A9">
        <w:rPr>
          <w:lang w:val="uk-UA"/>
        </w:rPr>
        <w:t>Результати були отримані в рамках проекту Агентства США з міжнародного розвитку «Муніципальна енергетична реформа в Україні» (Прогнозування викидів парникових газів в Україні до 2030 р. та подальшу перспективу [Електронний ресурс] / Агентство США з міжнародного розвитку (USAID) ; Державна установа "Інститут економіки та прогнозування НАН України". – 2015. – 91 с. – Доступний з : http://www.menr.gov.ua/docs/klimatychna-polityka/USAID_MERP.docx)</w:t>
      </w:r>
    </w:p>
  </w:footnote>
  <w:footnote w:id="2">
    <w:p w:rsidR="008642DE" w:rsidRDefault="008642DE" w:rsidP="008642DE">
      <w:pPr>
        <w:pStyle w:val="a5"/>
      </w:pPr>
      <w:r w:rsidRPr="007359A9">
        <w:rPr>
          <w:rStyle w:val="a7"/>
          <w:lang w:val="uk-UA"/>
        </w:rPr>
        <w:footnoteRef/>
      </w:r>
      <w:r w:rsidRPr="007359A9">
        <w:rPr>
          <w:lang w:val="uk-UA"/>
        </w:rPr>
        <w:t xml:space="preserve"> Результати розрахунків наведено у постійних цінах 2016 р.</w:t>
      </w:r>
    </w:p>
  </w:footnote>
  <w:footnote w:id="3">
    <w:p w:rsidR="008642DE" w:rsidRDefault="008642DE" w:rsidP="008642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981D59">
        <w:t>Податков</w:t>
      </w:r>
      <w:r>
        <w:t>ий</w:t>
      </w:r>
      <w:proofErr w:type="spellEnd"/>
      <w:r w:rsidRPr="00981D59">
        <w:t xml:space="preserve"> кодекс </w:t>
      </w:r>
      <w:proofErr w:type="spellStart"/>
      <w:r>
        <w:t>України</w:t>
      </w:r>
      <w:proofErr w:type="spellEnd"/>
      <w:r>
        <w:t xml:space="preserve">. — Режим доступу: </w:t>
      </w:r>
      <w:r w:rsidRPr="00981D59">
        <w:t>http://sfs.gov.ua/nk/</w:t>
      </w:r>
    </w:p>
  </w:footnote>
  <w:footnote w:id="4">
    <w:p w:rsidR="008642DE" w:rsidRDefault="008642DE" w:rsidP="008642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266F8">
        <w:t>Директив</w:t>
      </w:r>
      <w:r>
        <w:t>а</w:t>
      </w:r>
      <w:r w:rsidRPr="008266F8">
        <w:t xml:space="preserve"> №2003/87</w:t>
      </w:r>
      <w:proofErr w:type="gramStart"/>
      <w:r w:rsidRPr="008266F8">
        <w:t>/ЄС</w:t>
      </w:r>
      <w:proofErr w:type="gramEnd"/>
      <w:r w:rsidRPr="008266F8">
        <w:t xml:space="preserve"> </w:t>
      </w:r>
      <w:proofErr w:type="spellStart"/>
      <w:r w:rsidRPr="008266F8">
        <w:t>Щодо</w:t>
      </w:r>
      <w:proofErr w:type="spellEnd"/>
      <w:r w:rsidRPr="008266F8">
        <w:t xml:space="preserve"> </w:t>
      </w:r>
      <w:proofErr w:type="spellStart"/>
      <w:r w:rsidRPr="008266F8">
        <w:t>заснування</w:t>
      </w:r>
      <w:proofErr w:type="spellEnd"/>
      <w:r w:rsidRPr="008266F8">
        <w:t xml:space="preserve"> </w:t>
      </w:r>
      <w:proofErr w:type="spellStart"/>
      <w:r w:rsidRPr="008266F8">
        <w:t>схеми</w:t>
      </w:r>
      <w:proofErr w:type="spellEnd"/>
      <w:r w:rsidRPr="008266F8">
        <w:t xml:space="preserve"> для </w:t>
      </w:r>
      <w:proofErr w:type="spellStart"/>
      <w:r w:rsidRPr="008266F8">
        <w:t>зменшення</w:t>
      </w:r>
      <w:proofErr w:type="spellEnd"/>
      <w:r w:rsidRPr="008266F8">
        <w:t xml:space="preserve"> </w:t>
      </w:r>
      <w:proofErr w:type="spellStart"/>
      <w:r w:rsidRPr="008266F8">
        <w:t>викидів</w:t>
      </w:r>
      <w:proofErr w:type="spellEnd"/>
      <w:r w:rsidRPr="008266F8">
        <w:t xml:space="preserve"> в атмосферу </w:t>
      </w:r>
      <w:proofErr w:type="spellStart"/>
      <w:r w:rsidRPr="008266F8">
        <w:t>парникових</w:t>
      </w:r>
      <w:proofErr w:type="spellEnd"/>
      <w:r w:rsidRPr="008266F8">
        <w:t xml:space="preserve"> </w:t>
      </w:r>
      <w:proofErr w:type="spellStart"/>
      <w:r w:rsidRPr="008266F8">
        <w:t>газів</w:t>
      </w:r>
      <w:proofErr w:type="spellEnd"/>
      <w:r w:rsidRPr="008266F8">
        <w:t xml:space="preserve">, </w:t>
      </w:r>
      <w:proofErr w:type="spellStart"/>
      <w:r w:rsidRPr="008266F8">
        <w:t>торгуючи</w:t>
      </w:r>
      <w:proofErr w:type="spellEnd"/>
      <w:r w:rsidRPr="008266F8">
        <w:t xml:space="preserve"> в межах </w:t>
      </w:r>
      <w:proofErr w:type="spellStart"/>
      <w:r w:rsidRPr="008266F8">
        <w:t>Співтовариства</w:t>
      </w:r>
      <w:proofErr w:type="spellEnd"/>
      <w:r w:rsidRPr="008266F8">
        <w:t xml:space="preserve"> та про </w:t>
      </w:r>
      <w:proofErr w:type="spellStart"/>
      <w:r w:rsidRPr="008266F8">
        <w:t>внесення</w:t>
      </w:r>
      <w:proofErr w:type="spellEnd"/>
      <w:r w:rsidRPr="008266F8">
        <w:t xml:space="preserve"> </w:t>
      </w:r>
      <w:proofErr w:type="spellStart"/>
      <w:r w:rsidRPr="008266F8">
        <w:t>змін</w:t>
      </w:r>
      <w:proofErr w:type="spellEnd"/>
      <w:r w:rsidRPr="008266F8">
        <w:t xml:space="preserve"> до </w:t>
      </w:r>
      <w:proofErr w:type="spellStart"/>
      <w:r w:rsidRPr="008266F8">
        <w:t>Директиви</w:t>
      </w:r>
      <w:proofErr w:type="spellEnd"/>
      <w:r w:rsidRPr="008266F8">
        <w:t xml:space="preserve"> Ради 96/61/ЄС</w:t>
      </w:r>
      <w:r>
        <w:t xml:space="preserve">. — Режим доступу: </w:t>
      </w:r>
      <w:r w:rsidRPr="008266F8">
        <w:t>http://old.minjust.gov.ua/file/33006</w:t>
      </w:r>
      <w:r>
        <w:t>.</w:t>
      </w:r>
    </w:p>
  </w:footnote>
  <w:footnote w:id="5">
    <w:p w:rsidR="008642DE" w:rsidRPr="00140463" w:rsidRDefault="008642DE" w:rsidP="008642DE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140463">
        <w:rPr>
          <w:lang w:val="en-US"/>
        </w:rPr>
        <w:t xml:space="preserve"> </w:t>
      </w:r>
      <w:proofErr w:type="gramStart"/>
      <w:r w:rsidRPr="00140463">
        <w:rPr>
          <w:lang w:val="en-US"/>
        </w:rPr>
        <w:t>The European Energy Exchange.</w:t>
      </w:r>
      <w:proofErr w:type="gramEnd"/>
      <w:r w:rsidRPr="00140463">
        <w:rPr>
          <w:lang w:val="en-US"/>
        </w:rPr>
        <w:t xml:space="preserve"> — </w:t>
      </w:r>
      <w:r>
        <w:t>Режим</w:t>
      </w:r>
      <w:r w:rsidRPr="00140463">
        <w:rPr>
          <w:lang w:val="en-US"/>
        </w:rPr>
        <w:t xml:space="preserve"> </w:t>
      </w:r>
      <w:r>
        <w:t>доступу</w:t>
      </w:r>
      <w:r w:rsidRPr="00140463">
        <w:rPr>
          <w:lang w:val="en-US"/>
        </w:rPr>
        <w:t>:  https://www.eex.com/en/market-data/emission-allowances/spot-market/european-emission-allowances#!/2016/05/20</w:t>
      </w:r>
    </w:p>
  </w:footnote>
  <w:footnote w:id="6">
    <w:p w:rsidR="008642DE" w:rsidRPr="002321BE" w:rsidRDefault="008642DE" w:rsidP="008642DE">
      <w:pPr>
        <w:pStyle w:val="a5"/>
        <w:jc w:val="both"/>
        <w:rPr>
          <w:lang w:val="uk-UA"/>
        </w:rPr>
      </w:pPr>
      <w:r>
        <w:rPr>
          <w:rStyle w:val="a7"/>
        </w:rPr>
        <w:footnoteRef/>
      </w:r>
      <w:r w:rsidRPr="002321BE">
        <w:t xml:space="preserve"> </w:t>
      </w:r>
      <w:proofErr w:type="spellStart"/>
      <w:proofErr w:type="gramStart"/>
      <w:r w:rsidRPr="002321BE">
        <w:t>Р</w:t>
      </w:r>
      <w:proofErr w:type="gramEnd"/>
      <w:r w:rsidRPr="002321BE">
        <w:t>ічний</w:t>
      </w:r>
      <w:proofErr w:type="spellEnd"/>
      <w:r w:rsidRPr="002321BE">
        <w:t xml:space="preserve"> </w:t>
      </w:r>
      <w:proofErr w:type="spellStart"/>
      <w:r w:rsidRPr="002321BE">
        <w:t>звіт</w:t>
      </w:r>
      <w:proofErr w:type="spellEnd"/>
      <w:r w:rsidRPr="002321BE">
        <w:t xml:space="preserve"> про </w:t>
      </w:r>
      <w:proofErr w:type="spellStart"/>
      <w:r w:rsidRPr="002321BE">
        <w:t>виконання</w:t>
      </w:r>
      <w:proofErr w:type="spellEnd"/>
      <w:r w:rsidRPr="002321BE">
        <w:t xml:space="preserve"> державного бюджету на 01.01.2015 року</w:t>
      </w:r>
      <w:r>
        <w:rPr>
          <w:lang w:val="uk-UA"/>
        </w:rPr>
        <w:t xml:space="preserve"> / Державна казначейська служба України. — Режим доступу: </w:t>
      </w:r>
      <w:r w:rsidRPr="002321BE">
        <w:rPr>
          <w:lang w:val="uk-UA"/>
        </w:rPr>
        <w:t>http://www.treasury.gov.ua/main/uk/doccatalog/list?currDir=257806</w:t>
      </w:r>
    </w:p>
  </w:footnote>
  <w:footnote w:id="7">
    <w:p w:rsidR="008642DE" w:rsidRPr="002321BE" w:rsidRDefault="008642DE" w:rsidP="008642DE">
      <w:pPr>
        <w:pStyle w:val="a5"/>
        <w:jc w:val="both"/>
        <w:rPr>
          <w:lang w:val="uk-UA"/>
        </w:rPr>
      </w:pPr>
      <w:r>
        <w:rPr>
          <w:rStyle w:val="a7"/>
        </w:rPr>
        <w:footnoteRef/>
      </w:r>
      <w:r w:rsidRPr="002321BE">
        <w:rPr>
          <w:lang w:val="uk-UA"/>
        </w:rPr>
        <w:t xml:space="preserve"> Без врахування суми міжбюджетних трансфертів, які передаються місцевими бюджетами різних рівнів або між місцевими бюджетами однієї підпорядкованості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81656"/>
      <w:docPartObj>
        <w:docPartGallery w:val="Page Numbers (Top of Page)"/>
        <w:docPartUnique/>
      </w:docPartObj>
    </w:sdtPr>
    <w:sdtEndPr/>
    <w:sdtContent>
      <w:p w:rsidR="009C29C3" w:rsidRDefault="009C29C3" w:rsidP="009C29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69" w:rsidRPr="00467D69">
          <w:rPr>
            <w:noProof/>
            <w:lang w:val="ru-RU"/>
          </w:rPr>
          <w:t>10</w:t>
        </w:r>
        <w:r>
          <w:fldChar w:fldCharType="end"/>
        </w:r>
      </w:p>
      <w:p w:rsidR="009C29C3" w:rsidRDefault="00467D69" w:rsidP="009C29C3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21EA"/>
    <w:multiLevelType w:val="hybridMultilevel"/>
    <w:tmpl w:val="9BCC74F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2C"/>
    <w:rsid w:val="0001669A"/>
    <w:rsid w:val="00036F4B"/>
    <w:rsid w:val="00037E37"/>
    <w:rsid w:val="00045E5A"/>
    <w:rsid w:val="00073F8A"/>
    <w:rsid w:val="000817B4"/>
    <w:rsid w:val="000961E0"/>
    <w:rsid w:val="000B1EFD"/>
    <w:rsid w:val="000D70DA"/>
    <w:rsid w:val="000F2129"/>
    <w:rsid w:val="00133E2C"/>
    <w:rsid w:val="0013471D"/>
    <w:rsid w:val="00140463"/>
    <w:rsid w:val="001468D5"/>
    <w:rsid w:val="001619EC"/>
    <w:rsid w:val="00192642"/>
    <w:rsid w:val="001D2CAF"/>
    <w:rsid w:val="001E6668"/>
    <w:rsid w:val="002321BE"/>
    <w:rsid w:val="00237E39"/>
    <w:rsid w:val="002442F4"/>
    <w:rsid w:val="00252376"/>
    <w:rsid w:val="002C1FC0"/>
    <w:rsid w:val="002D28A1"/>
    <w:rsid w:val="00350984"/>
    <w:rsid w:val="00362077"/>
    <w:rsid w:val="00375911"/>
    <w:rsid w:val="003923BF"/>
    <w:rsid w:val="003B6A8D"/>
    <w:rsid w:val="003C3C73"/>
    <w:rsid w:val="004011DC"/>
    <w:rsid w:val="004028DA"/>
    <w:rsid w:val="004174A8"/>
    <w:rsid w:val="00422E74"/>
    <w:rsid w:val="00430DA6"/>
    <w:rsid w:val="00441F93"/>
    <w:rsid w:val="00442312"/>
    <w:rsid w:val="00467D69"/>
    <w:rsid w:val="004A4280"/>
    <w:rsid w:val="004B1CA6"/>
    <w:rsid w:val="004B7F6F"/>
    <w:rsid w:val="004D2687"/>
    <w:rsid w:val="004E04A4"/>
    <w:rsid w:val="004E36A5"/>
    <w:rsid w:val="004F4250"/>
    <w:rsid w:val="004F6242"/>
    <w:rsid w:val="005833F8"/>
    <w:rsid w:val="00584A4B"/>
    <w:rsid w:val="00592AAD"/>
    <w:rsid w:val="005B6C18"/>
    <w:rsid w:val="005E783E"/>
    <w:rsid w:val="005F7FBE"/>
    <w:rsid w:val="006154C6"/>
    <w:rsid w:val="00616880"/>
    <w:rsid w:val="00626CAD"/>
    <w:rsid w:val="00652A98"/>
    <w:rsid w:val="0065345C"/>
    <w:rsid w:val="00671812"/>
    <w:rsid w:val="006B076C"/>
    <w:rsid w:val="006D3426"/>
    <w:rsid w:val="006E1B6F"/>
    <w:rsid w:val="007037AA"/>
    <w:rsid w:val="00731BD6"/>
    <w:rsid w:val="007359A9"/>
    <w:rsid w:val="00744C8E"/>
    <w:rsid w:val="0075342C"/>
    <w:rsid w:val="0079790B"/>
    <w:rsid w:val="007B7D72"/>
    <w:rsid w:val="007F5B83"/>
    <w:rsid w:val="00806D60"/>
    <w:rsid w:val="00814410"/>
    <w:rsid w:val="00851BCE"/>
    <w:rsid w:val="008642DE"/>
    <w:rsid w:val="00867CFD"/>
    <w:rsid w:val="0087022B"/>
    <w:rsid w:val="008779FA"/>
    <w:rsid w:val="00882441"/>
    <w:rsid w:val="0088462F"/>
    <w:rsid w:val="008A3F81"/>
    <w:rsid w:val="008C690E"/>
    <w:rsid w:val="008D2DDF"/>
    <w:rsid w:val="009152F0"/>
    <w:rsid w:val="00926886"/>
    <w:rsid w:val="009A1E75"/>
    <w:rsid w:val="009B415A"/>
    <w:rsid w:val="009B5BA4"/>
    <w:rsid w:val="009C29C3"/>
    <w:rsid w:val="009E32F2"/>
    <w:rsid w:val="009F5331"/>
    <w:rsid w:val="00A00EE0"/>
    <w:rsid w:val="00A3497E"/>
    <w:rsid w:val="00AB5D24"/>
    <w:rsid w:val="00AD1DA4"/>
    <w:rsid w:val="00AF0723"/>
    <w:rsid w:val="00B03EC1"/>
    <w:rsid w:val="00B370F5"/>
    <w:rsid w:val="00B47EDC"/>
    <w:rsid w:val="00B62023"/>
    <w:rsid w:val="00B9738E"/>
    <w:rsid w:val="00BB6E6D"/>
    <w:rsid w:val="00BE1667"/>
    <w:rsid w:val="00BF7956"/>
    <w:rsid w:val="00C029FA"/>
    <w:rsid w:val="00C17623"/>
    <w:rsid w:val="00C4463D"/>
    <w:rsid w:val="00C71B92"/>
    <w:rsid w:val="00C724FA"/>
    <w:rsid w:val="00CA11C6"/>
    <w:rsid w:val="00CD0CA6"/>
    <w:rsid w:val="00CD4F85"/>
    <w:rsid w:val="00CE46D7"/>
    <w:rsid w:val="00D23A74"/>
    <w:rsid w:val="00D86096"/>
    <w:rsid w:val="00DC773A"/>
    <w:rsid w:val="00DD3F66"/>
    <w:rsid w:val="00DE7E24"/>
    <w:rsid w:val="00E919B9"/>
    <w:rsid w:val="00EA5FC3"/>
    <w:rsid w:val="00EC3AD7"/>
    <w:rsid w:val="00ED0F7E"/>
    <w:rsid w:val="00EF0E83"/>
    <w:rsid w:val="00EF1B9D"/>
    <w:rsid w:val="00EF24AA"/>
    <w:rsid w:val="00F04536"/>
    <w:rsid w:val="00F83DB0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Title"/>
    <w:basedOn w:val="a"/>
    <w:qFormat/>
    <w:rsid w:val="00252376"/>
    <w:pPr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F2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29"/>
    <w:rPr>
      <w:rFonts w:ascii="Tahoma" w:hAnsi="Tahoma" w:cs="Tahoma"/>
      <w:sz w:val="16"/>
      <w:szCs w:val="16"/>
    </w:rPr>
  </w:style>
  <w:style w:type="paragraph" w:styleId="a5">
    <w:name w:val="footnote text"/>
    <w:aliases w:val="Fu?note,Fußnote,Текст сноски Знак1,Текст сноски Знак Знак,Fußnote Знак Знак,Fu?note Знак Знак,Fußnote Знак1,Fu?note Знак1,Podrozdział Знак Знак,Footnote Знак Знак,WB-Fußnotentext Знак Знак,WB-Fußnotentext Char Char Знак Знак, Знак,Знак,f"/>
    <w:basedOn w:val="a"/>
    <w:link w:val="a6"/>
    <w:uiPriority w:val="99"/>
    <w:rsid w:val="00B9738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aliases w:val="Fu?note Знак,Fußnote Знак,Текст сноски Знак1 Знак,Текст сноски Знак Знак Знак,Fußnote Знак Знак Знак,Fu?note Знак Знак Знак,Fußnote Знак1 Знак,Fu?note Знак1 Знак,Podrozdział Знак Знак Знак,Footnote Знак Знак Знак, Знак Знак,Знак Знак"/>
    <w:basedOn w:val="a0"/>
    <w:link w:val="a5"/>
    <w:uiPriority w:val="99"/>
    <w:rsid w:val="00B973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aliases w:val="Footnote Reference Number,сноска,Знак сноски-FN,EN Footnote Reference,number,Footnote reference number,Footnote symbol,note TESI,-E Fußnotenzeichen,SUPERS,Times 10 Point,Exposant 3 Point, Exposant 3 Point,Odwołanie przypisu,Ciae niinee-FN,fr"/>
    <w:basedOn w:val="a0"/>
    <w:uiPriority w:val="99"/>
    <w:rsid w:val="00B9738E"/>
    <w:rPr>
      <w:vertAlign w:val="superscript"/>
    </w:rPr>
  </w:style>
  <w:style w:type="paragraph" w:styleId="a8">
    <w:name w:val="Body Text Indent"/>
    <w:basedOn w:val="a"/>
    <w:link w:val="a9"/>
    <w:semiHidden/>
    <w:rsid w:val="00CD4F85"/>
    <w:pPr>
      <w:spacing w:after="120" w:line="240" w:lineRule="auto"/>
      <w:ind w:firstLine="720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D4F85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C29C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29C3"/>
  </w:style>
  <w:style w:type="paragraph" w:styleId="ac">
    <w:name w:val="footer"/>
    <w:basedOn w:val="a"/>
    <w:link w:val="ad"/>
    <w:uiPriority w:val="99"/>
    <w:unhideWhenUsed/>
    <w:rsid w:val="009C29C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Title"/>
    <w:basedOn w:val="a"/>
    <w:qFormat/>
    <w:rsid w:val="00252376"/>
    <w:pPr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F2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29"/>
    <w:rPr>
      <w:rFonts w:ascii="Tahoma" w:hAnsi="Tahoma" w:cs="Tahoma"/>
      <w:sz w:val="16"/>
      <w:szCs w:val="16"/>
    </w:rPr>
  </w:style>
  <w:style w:type="paragraph" w:styleId="a5">
    <w:name w:val="footnote text"/>
    <w:aliases w:val="Fu?note,Fußnote,Текст сноски Знак1,Текст сноски Знак Знак,Fußnote Знак Знак,Fu?note Знак Знак,Fußnote Знак1,Fu?note Знак1,Podrozdział Знак Знак,Footnote Знак Знак,WB-Fußnotentext Знак Знак,WB-Fußnotentext Char Char Знак Знак, Знак,Знак,f"/>
    <w:basedOn w:val="a"/>
    <w:link w:val="a6"/>
    <w:uiPriority w:val="99"/>
    <w:rsid w:val="00B9738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aliases w:val="Fu?note Знак,Fußnote Знак,Текст сноски Знак1 Знак,Текст сноски Знак Знак Знак,Fußnote Знак Знак Знак,Fu?note Знак Знак Знак,Fußnote Знак1 Знак,Fu?note Знак1 Знак,Podrozdział Знак Знак Знак,Footnote Знак Знак Знак, Знак Знак,Знак Знак"/>
    <w:basedOn w:val="a0"/>
    <w:link w:val="a5"/>
    <w:uiPriority w:val="99"/>
    <w:rsid w:val="00B973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aliases w:val="Footnote Reference Number,сноска,Знак сноски-FN,EN Footnote Reference,number,Footnote reference number,Footnote symbol,note TESI,-E Fußnotenzeichen,SUPERS,Times 10 Point,Exposant 3 Point, Exposant 3 Point,Odwołanie przypisu,Ciae niinee-FN,fr"/>
    <w:basedOn w:val="a0"/>
    <w:uiPriority w:val="99"/>
    <w:rsid w:val="00B9738E"/>
    <w:rPr>
      <w:vertAlign w:val="superscript"/>
    </w:rPr>
  </w:style>
  <w:style w:type="paragraph" w:styleId="a8">
    <w:name w:val="Body Text Indent"/>
    <w:basedOn w:val="a"/>
    <w:link w:val="a9"/>
    <w:semiHidden/>
    <w:rsid w:val="00CD4F85"/>
    <w:pPr>
      <w:spacing w:after="120" w:line="240" w:lineRule="auto"/>
      <w:ind w:firstLine="720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D4F85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C29C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29C3"/>
  </w:style>
  <w:style w:type="paragraph" w:styleId="ac">
    <w:name w:val="footer"/>
    <w:basedOn w:val="a"/>
    <w:link w:val="ad"/>
    <w:uiPriority w:val="99"/>
    <w:unhideWhenUsed/>
    <w:rsid w:val="009C29C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ACEA-EEA6-48AD-8A59-79CB160F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Diachuk</dc:creator>
  <cp:lastModifiedBy>Башлик Денис Олександрович</cp:lastModifiedBy>
  <cp:revision>12</cp:revision>
  <cp:lastPrinted>2016-07-05T10:02:00Z</cp:lastPrinted>
  <dcterms:created xsi:type="dcterms:W3CDTF">2016-06-17T09:18:00Z</dcterms:created>
  <dcterms:modified xsi:type="dcterms:W3CDTF">2016-07-05T12:00:00Z</dcterms:modified>
</cp:coreProperties>
</file>