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984" w:rsidRDefault="002C3984" w:rsidP="002C3984">
      <w:pPr>
        <w:tabs>
          <w:tab w:val="left" w:pos="900"/>
        </w:tabs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                                                                </w:t>
      </w:r>
    </w:p>
    <w:p w:rsidR="002C3984" w:rsidRDefault="002C3984" w:rsidP="002C3984">
      <w:pPr>
        <w:tabs>
          <w:tab w:val="left" w:pos="900"/>
        </w:tabs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                                                                                         </w:t>
      </w:r>
    </w:p>
    <w:p w:rsidR="002C3984" w:rsidRDefault="002C3984" w:rsidP="002C3984">
      <w:pPr>
        <w:tabs>
          <w:tab w:val="left" w:pos="900"/>
        </w:tabs>
        <w:ind w:firstLine="709"/>
        <w:jc w:val="both"/>
        <w:rPr>
          <w:sz w:val="28"/>
        </w:rPr>
      </w:pPr>
      <w:r>
        <w:rPr>
          <w:sz w:val="28"/>
          <w:szCs w:val="22"/>
        </w:rPr>
        <w:t xml:space="preserve">                                                                                                </w:t>
      </w:r>
    </w:p>
    <w:p w:rsidR="002C3984" w:rsidRDefault="002C3984" w:rsidP="002C3984">
      <w:pPr>
        <w:tabs>
          <w:tab w:val="left" w:pos="900"/>
          <w:tab w:val="left" w:pos="7248"/>
        </w:tabs>
        <w:ind w:right="-23" w:firstLine="709"/>
        <w:jc w:val="both"/>
        <w:rPr>
          <w:sz w:val="28"/>
          <w:szCs w:val="28"/>
        </w:rPr>
      </w:pPr>
    </w:p>
    <w:p w:rsidR="002C3984" w:rsidRDefault="002C3984" w:rsidP="002C3984">
      <w:pPr>
        <w:tabs>
          <w:tab w:val="left" w:pos="900"/>
          <w:tab w:val="left" w:pos="7248"/>
        </w:tabs>
        <w:ind w:right="-23" w:firstLine="709"/>
        <w:jc w:val="both"/>
        <w:rPr>
          <w:sz w:val="28"/>
          <w:szCs w:val="28"/>
        </w:rPr>
      </w:pPr>
    </w:p>
    <w:p w:rsidR="002C3984" w:rsidRDefault="002C3984" w:rsidP="002C3984">
      <w:pPr>
        <w:tabs>
          <w:tab w:val="left" w:pos="900"/>
          <w:tab w:val="left" w:pos="7248"/>
        </w:tabs>
        <w:ind w:right="-23" w:firstLine="709"/>
        <w:jc w:val="both"/>
        <w:rPr>
          <w:sz w:val="28"/>
          <w:szCs w:val="28"/>
        </w:rPr>
      </w:pPr>
    </w:p>
    <w:p w:rsidR="002C3984" w:rsidRDefault="002C3984" w:rsidP="002C3984">
      <w:pPr>
        <w:tabs>
          <w:tab w:val="left" w:pos="900"/>
          <w:tab w:val="left" w:pos="7248"/>
        </w:tabs>
        <w:ind w:right="-23" w:firstLine="709"/>
        <w:jc w:val="both"/>
        <w:rPr>
          <w:sz w:val="28"/>
          <w:szCs w:val="28"/>
        </w:rPr>
      </w:pPr>
    </w:p>
    <w:p w:rsidR="002C3984" w:rsidRDefault="002C3984" w:rsidP="002C3984">
      <w:pPr>
        <w:tabs>
          <w:tab w:val="left" w:pos="900"/>
          <w:tab w:val="left" w:pos="7248"/>
        </w:tabs>
        <w:ind w:right="-23" w:firstLine="709"/>
        <w:jc w:val="both"/>
        <w:rPr>
          <w:sz w:val="28"/>
          <w:szCs w:val="28"/>
        </w:rPr>
      </w:pPr>
    </w:p>
    <w:p w:rsidR="002C3984" w:rsidRDefault="002C3984" w:rsidP="002C3984">
      <w:pPr>
        <w:tabs>
          <w:tab w:val="left" w:pos="900"/>
          <w:tab w:val="left" w:pos="7248"/>
        </w:tabs>
        <w:ind w:right="-23" w:firstLine="709"/>
        <w:jc w:val="both"/>
        <w:rPr>
          <w:sz w:val="28"/>
          <w:szCs w:val="28"/>
        </w:rPr>
      </w:pPr>
    </w:p>
    <w:p w:rsidR="002C3984" w:rsidRDefault="002C3984" w:rsidP="002C3984">
      <w:pPr>
        <w:tabs>
          <w:tab w:val="left" w:pos="900"/>
          <w:tab w:val="left" w:pos="7248"/>
        </w:tabs>
        <w:ind w:right="-23"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ВЕРХОВНА  РАДА  УКРАЇНИ</w:t>
      </w:r>
    </w:p>
    <w:p w:rsidR="002C3984" w:rsidRDefault="002C3984" w:rsidP="002C3984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2C3984" w:rsidRDefault="002C3984" w:rsidP="002C3984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2C3984" w:rsidRPr="00393302" w:rsidRDefault="002C3984" w:rsidP="002C3984">
      <w:pPr>
        <w:tabs>
          <w:tab w:val="left" w:pos="900"/>
        </w:tabs>
        <w:ind w:firstLine="709"/>
        <w:jc w:val="both"/>
        <w:rPr>
          <w:rFonts w:eastAsia="Times New Roman"/>
          <w:kern w:val="28"/>
          <w:sz w:val="28"/>
        </w:rPr>
      </w:pPr>
    </w:p>
    <w:p w:rsidR="00DC5E0F" w:rsidRDefault="002C3984" w:rsidP="00DC5E0F">
      <w:pPr>
        <w:pStyle w:val="3"/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</w:pPr>
      <w:r w:rsidRPr="00774A31">
        <w:rPr>
          <w:rFonts w:ascii="Times New Roman" w:eastAsia="Calibri" w:hAnsi="Times New Roman" w:cs="Times New Roman"/>
          <w:b w:val="0"/>
          <w:bCs w:val="0"/>
          <w:sz w:val="28"/>
          <w:szCs w:val="28"/>
          <w:lang w:val="uk-UA"/>
        </w:rPr>
        <w:t xml:space="preserve">За дорученням Голови Верховної Ради України </w:t>
      </w:r>
      <w:proofErr w:type="spellStart"/>
      <w:r w:rsidRPr="00774A31">
        <w:rPr>
          <w:rFonts w:ascii="Times New Roman" w:eastAsia="Calibri" w:hAnsi="Times New Roman" w:cs="Times New Roman"/>
          <w:b w:val="0"/>
          <w:bCs w:val="0"/>
          <w:sz w:val="28"/>
          <w:szCs w:val="28"/>
          <w:lang w:val="uk-UA"/>
        </w:rPr>
        <w:t>А.Парубія</w:t>
      </w:r>
      <w:proofErr w:type="spellEnd"/>
      <w:r w:rsidRPr="00774A31">
        <w:rPr>
          <w:rFonts w:ascii="Times New Roman" w:eastAsia="Calibri" w:hAnsi="Times New Roman" w:cs="Times New Roman"/>
          <w:b w:val="0"/>
          <w:bCs w:val="0"/>
          <w:sz w:val="28"/>
          <w:szCs w:val="28"/>
          <w:lang w:val="uk-UA"/>
        </w:rPr>
        <w:t xml:space="preserve"> Комітет з питань державного будівництва, регіональної політики та місцевого самоврядування розглянув на своєму засіданні </w:t>
      </w:r>
      <w:r w:rsidR="00DC5E0F">
        <w:rPr>
          <w:rFonts w:ascii="Times New Roman" w:eastAsia="Calibri" w:hAnsi="Times New Roman" w:cs="Times New Roman"/>
          <w:b w:val="0"/>
          <w:bCs w:val="0"/>
          <w:sz w:val="28"/>
          <w:szCs w:val="28"/>
          <w:lang w:val="uk-UA"/>
        </w:rPr>
        <w:t>12 квітня 2017 року</w:t>
      </w:r>
      <w:r w:rsidRPr="00774A31">
        <w:rPr>
          <w:rFonts w:ascii="Times New Roman" w:eastAsia="Calibri" w:hAnsi="Times New Roman" w:cs="Times New Roman"/>
          <w:b w:val="0"/>
          <w:bCs w:val="0"/>
          <w:sz w:val="28"/>
          <w:szCs w:val="28"/>
          <w:lang w:val="uk-UA"/>
        </w:rPr>
        <w:t xml:space="preserve"> (протокол засідання № 6</w:t>
      </w:r>
      <w:r w:rsidR="00DC5E0F">
        <w:rPr>
          <w:rFonts w:ascii="Times New Roman" w:eastAsia="Calibri" w:hAnsi="Times New Roman" w:cs="Times New Roman"/>
          <w:b w:val="0"/>
          <w:bCs w:val="0"/>
          <w:sz w:val="28"/>
          <w:szCs w:val="28"/>
          <w:lang w:val="uk-UA"/>
        </w:rPr>
        <w:t>9</w:t>
      </w:r>
      <w:r w:rsidRPr="00774A31">
        <w:rPr>
          <w:rFonts w:ascii="Times New Roman" w:eastAsia="Calibri" w:hAnsi="Times New Roman" w:cs="Times New Roman"/>
          <w:b w:val="0"/>
          <w:bCs w:val="0"/>
          <w:sz w:val="28"/>
          <w:szCs w:val="28"/>
          <w:lang w:val="uk-UA"/>
        </w:rPr>
        <w:t xml:space="preserve">) </w:t>
      </w:r>
      <w:r w:rsidR="00DC5E0F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 xml:space="preserve">проект Закону України </w:t>
      </w:r>
      <w:r w:rsidR="00DC5E0F" w:rsidRPr="008A2DF7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>про внесення змін до Закону України «Про місцеве самоврядування в Україні» щодо повноважень місцевих рад</w:t>
      </w:r>
      <w:r w:rsidR="00DC5E0F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 xml:space="preserve">  (реєстр. № 5231 від 05.10.2016 р.), поданий народними депутатами України </w:t>
      </w:r>
      <w:proofErr w:type="spellStart"/>
      <w:r w:rsidR="00DC5E0F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>Ю.Бубликом</w:t>
      </w:r>
      <w:proofErr w:type="spellEnd"/>
      <w:r w:rsidR="00DC5E0F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 xml:space="preserve"> та </w:t>
      </w:r>
      <w:proofErr w:type="spellStart"/>
      <w:r w:rsidR="00DC5E0F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>В.Гуляєвим</w:t>
      </w:r>
      <w:proofErr w:type="spellEnd"/>
      <w:r w:rsidR="00DC5E0F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>.</w:t>
      </w:r>
    </w:p>
    <w:p w:rsidR="00DC5E0F" w:rsidRPr="009E6830" w:rsidRDefault="00DC5E0F" w:rsidP="00DC5E0F">
      <w:pPr>
        <w:ind w:firstLine="54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За визначенням суб’єктів права законодавчої ініціативи, з</w:t>
      </w:r>
      <w:r w:rsidRPr="009E6830">
        <w:rPr>
          <w:color w:val="000000"/>
          <w:spacing w:val="-5"/>
          <w:sz w:val="28"/>
          <w:szCs w:val="28"/>
        </w:rPr>
        <w:t>аконопроект направлений на вдосконалення положень Закону України «Про місцеве самоврядування в Україні» щодо збільшення повноважень органам місцевого самоврядування.</w:t>
      </w:r>
    </w:p>
    <w:p w:rsidR="00DC5E0F" w:rsidRPr="009E6830" w:rsidRDefault="00DC5E0F" w:rsidP="00DC5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pacing w:val="-5"/>
          <w:sz w:val="28"/>
          <w:szCs w:val="28"/>
        </w:rPr>
      </w:pPr>
      <w:r w:rsidRPr="009E6830">
        <w:rPr>
          <w:color w:val="000000"/>
          <w:spacing w:val="-5"/>
          <w:sz w:val="28"/>
          <w:szCs w:val="28"/>
        </w:rPr>
        <w:t xml:space="preserve">Законопроектом пропонується </w:t>
      </w:r>
      <w:r>
        <w:rPr>
          <w:color w:val="000000"/>
          <w:spacing w:val="-5"/>
          <w:sz w:val="28"/>
          <w:szCs w:val="28"/>
        </w:rPr>
        <w:t xml:space="preserve">доповнити статті 26 та 43 </w:t>
      </w:r>
      <w:r w:rsidRPr="009E6830">
        <w:rPr>
          <w:color w:val="000000"/>
          <w:spacing w:val="-5"/>
          <w:sz w:val="28"/>
          <w:szCs w:val="28"/>
        </w:rPr>
        <w:t>Закону України «Про місцеве самоврядування в Україні</w:t>
      </w:r>
      <w:r>
        <w:rPr>
          <w:color w:val="000000"/>
          <w:spacing w:val="-5"/>
          <w:sz w:val="28"/>
          <w:szCs w:val="28"/>
        </w:rPr>
        <w:t xml:space="preserve">» новими пунктами, якими встановлюються повноваження, що здійснюватимуться </w:t>
      </w:r>
      <w:r w:rsidRPr="009E6830">
        <w:rPr>
          <w:color w:val="000000"/>
          <w:spacing w:val="-5"/>
          <w:sz w:val="28"/>
          <w:szCs w:val="28"/>
        </w:rPr>
        <w:t>сільськими, селищними</w:t>
      </w:r>
      <w:r>
        <w:rPr>
          <w:color w:val="000000"/>
          <w:spacing w:val="-5"/>
          <w:sz w:val="28"/>
          <w:szCs w:val="28"/>
        </w:rPr>
        <w:t>,</w:t>
      </w:r>
      <w:r w:rsidRPr="009E6830">
        <w:rPr>
          <w:color w:val="000000"/>
          <w:spacing w:val="-5"/>
          <w:sz w:val="28"/>
          <w:szCs w:val="28"/>
        </w:rPr>
        <w:t xml:space="preserve"> міськими</w:t>
      </w:r>
      <w:r>
        <w:rPr>
          <w:color w:val="000000"/>
          <w:spacing w:val="-5"/>
          <w:sz w:val="28"/>
          <w:szCs w:val="28"/>
        </w:rPr>
        <w:t xml:space="preserve">, </w:t>
      </w:r>
      <w:r w:rsidRPr="009E6830">
        <w:rPr>
          <w:color w:val="000000"/>
          <w:spacing w:val="-5"/>
          <w:sz w:val="28"/>
          <w:szCs w:val="28"/>
        </w:rPr>
        <w:t>районними та обласними радами</w:t>
      </w:r>
      <w:r>
        <w:rPr>
          <w:color w:val="000000"/>
          <w:spacing w:val="-5"/>
          <w:sz w:val="28"/>
          <w:szCs w:val="28"/>
        </w:rPr>
        <w:t xml:space="preserve">, зокрема, </w:t>
      </w:r>
      <w:r w:rsidRPr="009E6830">
        <w:rPr>
          <w:color w:val="000000"/>
          <w:spacing w:val="-5"/>
          <w:sz w:val="28"/>
          <w:szCs w:val="28"/>
        </w:rPr>
        <w:t>передбач</w:t>
      </w:r>
      <w:r>
        <w:rPr>
          <w:color w:val="000000"/>
          <w:spacing w:val="-5"/>
          <w:sz w:val="28"/>
          <w:szCs w:val="28"/>
        </w:rPr>
        <w:t>ається</w:t>
      </w:r>
      <w:r w:rsidRPr="009E6830">
        <w:rPr>
          <w:color w:val="000000"/>
          <w:spacing w:val="-5"/>
          <w:sz w:val="28"/>
          <w:szCs w:val="28"/>
        </w:rPr>
        <w:t xml:space="preserve"> заслуховування інформації керівників територіальних органів Державної фіскальної служби України щодо стану формування податкових надходжень до відповідного місцевого бюджету</w:t>
      </w:r>
      <w:r>
        <w:rPr>
          <w:color w:val="000000"/>
          <w:spacing w:val="-5"/>
          <w:sz w:val="28"/>
          <w:szCs w:val="28"/>
        </w:rPr>
        <w:t>.</w:t>
      </w:r>
    </w:p>
    <w:p w:rsidR="00DC5E0F" w:rsidRDefault="00DC5E0F" w:rsidP="00DC5E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Комітет з питань запобігання і протидії корупції у висновку від       22.12.2016 р. № 04-19/17-3853 вважає, що у проекті </w:t>
      </w:r>
      <w:proofErr w:type="spellStart"/>
      <w:r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 xml:space="preserve"> не виявлено </w:t>
      </w:r>
      <w:proofErr w:type="spellStart"/>
      <w:r>
        <w:rPr>
          <w:sz w:val="28"/>
          <w:szCs w:val="28"/>
        </w:rPr>
        <w:t>корупціогенних</w:t>
      </w:r>
      <w:proofErr w:type="spellEnd"/>
      <w:r>
        <w:rPr>
          <w:sz w:val="28"/>
          <w:szCs w:val="28"/>
        </w:rPr>
        <w:t xml:space="preserve"> факторів – проект </w:t>
      </w:r>
      <w:proofErr w:type="spellStart"/>
      <w:r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 xml:space="preserve"> відповідає вимогам антикорупційного законодавства. </w:t>
      </w:r>
    </w:p>
    <w:p w:rsidR="00DC5E0F" w:rsidRDefault="00DC5E0F" w:rsidP="00DC5E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Комітет з питань бюджету у висновку від 13.02.2017 р. № 04-13/8-224 звертає увагу, що законопроект не матиме впливу на показники  бюджетів.</w:t>
      </w:r>
    </w:p>
    <w:p w:rsidR="00DC5E0F" w:rsidRDefault="00DC5E0F" w:rsidP="00DC5E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Всеукраїнська асоціація органів місцевого самоврядування «Асоціація міст України» у висновку від 20.10.2016 р. № 5-545 підтримує зазначений законопроект та зазначає, що надання місцевим радам повноваження заслуховувати інформацію керівників територіальних органів Державної фіскальної служби щодо стану формування податкових надходжень до відповідного місцевого бюджету, є актуальним.</w:t>
      </w:r>
    </w:p>
    <w:p w:rsidR="00DC5E0F" w:rsidRDefault="00DC5E0F" w:rsidP="00DC5E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Головне науково-експертне управління Апарату Верховної Ради України у висновку від 30.01.2017 р. № 16/3-62/5231 зазначає, що законопроект за наслідками розгляду у першому читанні доцільно повернути суб’єкту права законодавчої ініціативи на доопрацювання. На думку фахівців Управління, </w:t>
      </w:r>
      <w:r w:rsidRPr="00B94D4E">
        <w:rPr>
          <w:sz w:val="28"/>
          <w:szCs w:val="28"/>
        </w:rPr>
        <w:t>істотною прогалиною чинного законодавства, яка потребує усунення, є те, що в ньому чітко не визначені форми взаємодії органів місцевого самоврядування та територіальних органів Державної фіскальної служби України.</w:t>
      </w:r>
      <w:r>
        <w:rPr>
          <w:sz w:val="28"/>
          <w:szCs w:val="28"/>
        </w:rPr>
        <w:t xml:space="preserve"> У висновку </w:t>
      </w:r>
      <w:r w:rsidRPr="00B94D4E">
        <w:rPr>
          <w:sz w:val="28"/>
          <w:szCs w:val="28"/>
        </w:rPr>
        <w:t xml:space="preserve">Головне управління вважає, що </w:t>
      </w:r>
      <w:r>
        <w:rPr>
          <w:sz w:val="28"/>
          <w:szCs w:val="28"/>
        </w:rPr>
        <w:t xml:space="preserve">запропоноване у законопроекті положення про заслуховування інформації </w:t>
      </w:r>
      <w:r w:rsidRPr="00216034">
        <w:rPr>
          <w:sz w:val="28"/>
          <w:szCs w:val="28"/>
        </w:rPr>
        <w:t>керівників територіальних органів Державної фіскальної служби України на пленарних засіданнях сільських, селищних, міських, районних</w:t>
      </w:r>
      <w:r>
        <w:rPr>
          <w:sz w:val="28"/>
          <w:szCs w:val="28"/>
        </w:rPr>
        <w:t xml:space="preserve"> та</w:t>
      </w:r>
      <w:r w:rsidRPr="00216034">
        <w:rPr>
          <w:sz w:val="28"/>
          <w:szCs w:val="28"/>
        </w:rPr>
        <w:t xml:space="preserve"> обласних рад </w:t>
      </w:r>
      <w:bookmarkStart w:id="0" w:name="o232"/>
      <w:bookmarkEnd w:id="0"/>
      <w:r>
        <w:rPr>
          <w:sz w:val="28"/>
          <w:szCs w:val="28"/>
        </w:rPr>
        <w:t>є невдал</w:t>
      </w:r>
      <w:r w:rsidR="00CD5331">
        <w:rPr>
          <w:sz w:val="28"/>
          <w:szCs w:val="28"/>
        </w:rPr>
        <w:t>им</w:t>
      </w:r>
      <w:bookmarkStart w:id="1" w:name="_GoBack"/>
      <w:bookmarkEnd w:id="1"/>
      <w:r>
        <w:rPr>
          <w:sz w:val="28"/>
          <w:szCs w:val="28"/>
        </w:rPr>
        <w:t xml:space="preserve">, зокрема, пропонується дану </w:t>
      </w:r>
      <w:r w:rsidRPr="00B94D4E">
        <w:rPr>
          <w:sz w:val="28"/>
          <w:szCs w:val="28"/>
        </w:rPr>
        <w:t>інформаці</w:t>
      </w:r>
      <w:r>
        <w:rPr>
          <w:sz w:val="28"/>
          <w:szCs w:val="28"/>
        </w:rPr>
        <w:t>ю</w:t>
      </w:r>
      <w:r w:rsidRPr="00B94D4E">
        <w:rPr>
          <w:sz w:val="28"/>
          <w:szCs w:val="28"/>
        </w:rPr>
        <w:t xml:space="preserve"> одерж</w:t>
      </w:r>
      <w:r>
        <w:rPr>
          <w:sz w:val="28"/>
          <w:szCs w:val="28"/>
        </w:rPr>
        <w:t>увати</w:t>
      </w:r>
      <w:r w:rsidRPr="00B94D4E">
        <w:rPr>
          <w:sz w:val="28"/>
          <w:szCs w:val="28"/>
        </w:rPr>
        <w:t xml:space="preserve"> у письмовому вигляді шляхом звернення відповідних рад, їх виконавчих органів чи посадових осіб до фіскальних органів</w:t>
      </w:r>
      <w:r>
        <w:rPr>
          <w:sz w:val="28"/>
          <w:szCs w:val="28"/>
        </w:rPr>
        <w:t xml:space="preserve">. Крім того, у висновку міститься зауваження </w:t>
      </w:r>
      <w:r w:rsidRPr="00B94D4E">
        <w:rPr>
          <w:sz w:val="28"/>
          <w:szCs w:val="28"/>
        </w:rPr>
        <w:t>техніко-юридичного характеру</w:t>
      </w:r>
      <w:r>
        <w:rPr>
          <w:sz w:val="28"/>
          <w:szCs w:val="28"/>
        </w:rPr>
        <w:t>.</w:t>
      </w:r>
    </w:p>
    <w:p w:rsidR="00195A10" w:rsidRDefault="00D8420C" w:rsidP="00195A10">
      <w:pPr>
        <w:pStyle w:val="3"/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uk-UA"/>
        </w:rPr>
      </w:pPr>
      <w:r w:rsidRPr="00AC3BA8">
        <w:rPr>
          <w:rFonts w:ascii="Times New Roman" w:eastAsia="Calibri" w:hAnsi="Times New Roman" w:cs="Times New Roman"/>
          <w:b w:val="0"/>
          <w:bCs w:val="0"/>
          <w:sz w:val="28"/>
          <w:szCs w:val="28"/>
          <w:lang w:val="uk-UA"/>
        </w:rPr>
        <w:t xml:space="preserve">З’ясувавши позицію народних депутатів України – членів Комітету, запрошених на засідання осіб та всебічно обговоривши питання, Комітет ухвалив висновок рекомендувати Верховній Раді України відповідно до </w:t>
      </w:r>
      <w:r w:rsidR="002C3984" w:rsidRPr="00AC3BA8">
        <w:rPr>
          <w:rFonts w:ascii="Times New Roman" w:eastAsia="Calibri" w:hAnsi="Times New Roman" w:cs="Times New Roman"/>
          <w:b w:val="0"/>
          <w:bCs w:val="0"/>
          <w:sz w:val="28"/>
          <w:szCs w:val="28"/>
          <w:lang w:val="uk-UA"/>
        </w:rPr>
        <w:t xml:space="preserve"> пункту 1 частини</w:t>
      </w:r>
      <w:r w:rsidR="002C3984" w:rsidRPr="00DC5E0F">
        <w:rPr>
          <w:rFonts w:ascii="Times New Roman" w:eastAsia="Calibri" w:hAnsi="Times New Roman" w:cs="Times New Roman"/>
          <w:b w:val="0"/>
          <w:bCs w:val="0"/>
          <w:sz w:val="28"/>
          <w:szCs w:val="28"/>
          <w:lang w:val="uk-UA"/>
        </w:rPr>
        <w:t xml:space="preserve"> першої</w:t>
      </w:r>
      <w:r w:rsidR="002C3984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="002C3984" w:rsidRPr="00693B29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uk-UA"/>
        </w:rPr>
        <w:t xml:space="preserve">статті 114 Регламенту Верховної Ради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 xml:space="preserve">проект Закону України </w:t>
      </w:r>
      <w:r w:rsidRPr="008A2DF7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>про внесення змін до Закону України «Про місцеве самоврядування в Україні» щодо повноважень місцевих рад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 xml:space="preserve">  (реєстр. № 5231 від 05.10.2016 р.), поданий народними депутатами України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>Ю.Бубликом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>В.Гуляєвим</w:t>
      </w:r>
      <w:proofErr w:type="spellEnd"/>
      <w:r w:rsidR="00195A10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 xml:space="preserve">, </w:t>
      </w:r>
      <w:r w:rsidR="00195A10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uk-UA"/>
        </w:rPr>
        <w:t>за наслідками розгляду в першому читанні прийняти за основу.</w:t>
      </w:r>
    </w:p>
    <w:p w:rsidR="002C3984" w:rsidRPr="00C6152D" w:rsidRDefault="002C3984" w:rsidP="00D8420C">
      <w:pPr>
        <w:pStyle w:val="3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</w:pPr>
      <w:r w:rsidRPr="00CB5F44">
        <w:rPr>
          <w:rFonts w:ascii="Times New Roman" w:eastAsia="Calibri" w:hAnsi="Times New Roman" w:cs="Times New Roman"/>
          <w:b w:val="0"/>
          <w:bCs w:val="0"/>
          <w:sz w:val="28"/>
          <w:szCs w:val="28"/>
          <w:lang w:val="uk-UA"/>
        </w:rPr>
        <w:t>Виступити на пленарному засіданні Верховної Ради України із співдоповіддю з цього питання Комітет доручив народному депутату України,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Pr="00C6152D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>голов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>і</w:t>
      </w:r>
      <w:r w:rsidRPr="00C6152D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 xml:space="preserve"> підкомітету з питань </w:t>
      </w:r>
      <w:r w:rsidR="00D8420C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 xml:space="preserve">місцевого самоврядування </w:t>
      </w:r>
      <w:proofErr w:type="spellStart"/>
      <w:r w:rsidR="00D8420C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>Ю.Бублику</w:t>
      </w:r>
      <w:proofErr w:type="spellEnd"/>
      <w:r w:rsidR="00D8420C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 xml:space="preserve">. </w:t>
      </w:r>
    </w:p>
    <w:p w:rsidR="002C3984" w:rsidRDefault="002C3984" w:rsidP="002C3984">
      <w:pPr>
        <w:tabs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Висновки Головного науково-експертного управління, комітетів з </w:t>
      </w:r>
      <w:r w:rsidR="004B0F68">
        <w:rPr>
          <w:sz w:val="28"/>
          <w:szCs w:val="28"/>
        </w:rPr>
        <w:t xml:space="preserve">питань </w:t>
      </w:r>
      <w:r w:rsidR="00680DC4">
        <w:rPr>
          <w:sz w:val="28"/>
          <w:szCs w:val="28"/>
        </w:rPr>
        <w:t xml:space="preserve">запобігання і протидії корупції та з </w:t>
      </w:r>
      <w:r>
        <w:rPr>
          <w:sz w:val="28"/>
          <w:szCs w:val="28"/>
        </w:rPr>
        <w:t xml:space="preserve">питань бюджету </w:t>
      </w:r>
      <w:r w:rsidRPr="009C6029">
        <w:rPr>
          <w:sz w:val="28"/>
          <w:szCs w:val="28"/>
        </w:rPr>
        <w:t>дода</w:t>
      </w:r>
      <w:r>
        <w:rPr>
          <w:sz w:val="28"/>
          <w:szCs w:val="28"/>
        </w:rPr>
        <w:t>ют</w:t>
      </w:r>
      <w:r w:rsidRPr="009C6029">
        <w:rPr>
          <w:sz w:val="28"/>
          <w:szCs w:val="28"/>
        </w:rPr>
        <w:t>ься.</w:t>
      </w:r>
    </w:p>
    <w:p w:rsidR="002C3984" w:rsidRPr="009C6029" w:rsidRDefault="002C3984" w:rsidP="002C3984">
      <w:pPr>
        <w:tabs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</w:p>
    <w:p w:rsidR="002C3984" w:rsidRDefault="002C3984" w:rsidP="002C3984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Просимо розглянути.</w:t>
      </w:r>
    </w:p>
    <w:p w:rsidR="002C3984" w:rsidRDefault="002C3984" w:rsidP="002C3984">
      <w:pPr>
        <w:pStyle w:val="3"/>
        <w:tabs>
          <w:tab w:val="left" w:pos="720"/>
          <w:tab w:val="left" w:pos="900"/>
        </w:tabs>
        <w:spacing w:before="0" w:beforeAutospacing="0" w:after="0" w:afterAutospacing="0"/>
        <w:ind w:right="-32" w:firstLine="709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uk-UA"/>
        </w:rPr>
      </w:pPr>
    </w:p>
    <w:p w:rsidR="002C3984" w:rsidRDefault="002C3984" w:rsidP="002C3984">
      <w:pPr>
        <w:pStyle w:val="3"/>
        <w:tabs>
          <w:tab w:val="left" w:pos="720"/>
          <w:tab w:val="left" w:pos="900"/>
        </w:tabs>
        <w:spacing w:before="0" w:beforeAutospacing="0" w:after="0" w:afterAutospacing="0"/>
        <w:ind w:right="-32" w:firstLine="709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uk-UA"/>
        </w:rPr>
      </w:pPr>
    </w:p>
    <w:p w:rsidR="002C3984" w:rsidRPr="00C91804" w:rsidRDefault="002C3984" w:rsidP="002C3984">
      <w:pPr>
        <w:pStyle w:val="3"/>
        <w:tabs>
          <w:tab w:val="left" w:pos="720"/>
          <w:tab w:val="left" w:pos="900"/>
        </w:tabs>
        <w:spacing w:before="0" w:beforeAutospacing="0" w:after="0" w:afterAutospacing="0"/>
        <w:ind w:right="-32" w:firstLine="709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uk-UA"/>
        </w:rPr>
      </w:pPr>
    </w:p>
    <w:p w:rsidR="002C3984" w:rsidRDefault="002C3984" w:rsidP="002C3984">
      <w:pPr>
        <w:pStyle w:val="a6"/>
        <w:tabs>
          <w:tab w:val="left" w:pos="567"/>
          <w:tab w:val="left" w:pos="851"/>
          <w:tab w:val="right" w:pos="9639"/>
        </w:tabs>
        <w:spacing w:after="0"/>
        <w:ind w:left="0"/>
        <w:jc w:val="both"/>
      </w:pPr>
      <w:r>
        <w:rPr>
          <w:b/>
          <w:sz w:val="28"/>
          <w:szCs w:val="28"/>
        </w:rPr>
        <w:t xml:space="preserve">           </w:t>
      </w:r>
      <w:r w:rsidRPr="00F40435">
        <w:rPr>
          <w:b/>
          <w:sz w:val="28"/>
          <w:szCs w:val="28"/>
        </w:rPr>
        <w:t>Голов</w:t>
      </w:r>
      <w:r>
        <w:rPr>
          <w:b/>
          <w:sz w:val="28"/>
          <w:szCs w:val="28"/>
        </w:rPr>
        <w:t>а</w:t>
      </w:r>
      <w:r w:rsidRPr="00F40435">
        <w:rPr>
          <w:b/>
          <w:sz w:val="28"/>
          <w:szCs w:val="28"/>
        </w:rPr>
        <w:t xml:space="preserve"> Комітету       </w:t>
      </w:r>
      <w:r>
        <w:rPr>
          <w:b/>
          <w:sz w:val="28"/>
          <w:szCs w:val="28"/>
        </w:rPr>
        <w:t xml:space="preserve">             </w:t>
      </w:r>
      <w:r w:rsidRPr="00F40435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С.ВЛАСЕНКО</w:t>
      </w:r>
      <w:r w:rsidRPr="002B040F">
        <w:t xml:space="preserve"> </w:t>
      </w:r>
    </w:p>
    <w:p w:rsidR="002C3984" w:rsidRDefault="002C3984" w:rsidP="002C3984"/>
    <w:p w:rsidR="005204CF" w:rsidRDefault="005204CF"/>
    <w:sectPr w:rsidR="005204CF" w:rsidSect="00C63D76">
      <w:headerReference w:type="even" r:id="rId6"/>
      <w:headerReference w:type="default" r:id="rId7"/>
      <w:headerReference w:type="first" r:id="rId8"/>
      <w:pgSz w:w="11906" w:h="16838"/>
      <w:pgMar w:top="1560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D04" w:rsidRDefault="00441D04" w:rsidP="002C3984">
      <w:r>
        <w:separator/>
      </w:r>
    </w:p>
  </w:endnote>
  <w:endnote w:type="continuationSeparator" w:id="0">
    <w:p w:rsidR="00441D04" w:rsidRDefault="00441D04" w:rsidP="002C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D04" w:rsidRDefault="00441D04" w:rsidP="002C3984">
      <w:r>
        <w:separator/>
      </w:r>
    </w:p>
  </w:footnote>
  <w:footnote w:type="continuationSeparator" w:id="0">
    <w:p w:rsidR="00441D04" w:rsidRDefault="00441D04" w:rsidP="002C3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78" w:rsidRDefault="009E36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47C78" w:rsidRDefault="00441D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78" w:rsidRDefault="009E36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5331">
      <w:rPr>
        <w:rStyle w:val="a5"/>
        <w:noProof/>
      </w:rPr>
      <w:t>2</w:t>
    </w:r>
    <w:r>
      <w:rPr>
        <w:rStyle w:val="a5"/>
      </w:rPr>
      <w:fldChar w:fldCharType="end"/>
    </w:r>
  </w:p>
  <w:p w:rsidR="00147C78" w:rsidRDefault="009E363B" w:rsidP="00752FA4">
    <w:pPr>
      <w:pStyle w:val="a3"/>
      <w:tabs>
        <w:tab w:val="clear" w:pos="4677"/>
        <w:tab w:val="clear" w:pos="9355"/>
        <w:tab w:val="left" w:pos="5208"/>
      </w:tabs>
    </w:pPr>
    <w:r>
      <w:tab/>
    </w:r>
  </w:p>
  <w:p w:rsidR="00147C78" w:rsidRDefault="00441D04" w:rsidP="00752FA4">
    <w:pPr>
      <w:pStyle w:val="a3"/>
      <w:tabs>
        <w:tab w:val="clear" w:pos="4677"/>
        <w:tab w:val="clear" w:pos="9355"/>
        <w:tab w:val="left" w:pos="5208"/>
      </w:tabs>
    </w:pPr>
  </w:p>
  <w:p w:rsidR="00147C78" w:rsidRDefault="00441D04" w:rsidP="00752FA4">
    <w:pPr>
      <w:pStyle w:val="a3"/>
      <w:tabs>
        <w:tab w:val="clear" w:pos="4677"/>
        <w:tab w:val="clear" w:pos="9355"/>
        <w:tab w:val="left" w:pos="520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78" w:rsidRDefault="009E363B" w:rsidP="00752FA4">
    <w:pPr>
      <w:pStyle w:val="a3"/>
      <w:jc w:val="right"/>
      <w:rPr>
        <w:sz w:val="28"/>
        <w:szCs w:val="22"/>
      </w:rPr>
    </w:pPr>
    <w:r>
      <w:rPr>
        <w:sz w:val="28"/>
        <w:szCs w:val="22"/>
      </w:rPr>
      <w:t xml:space="preserve">До реєстр. № </w:t>
    </w:r>
    <w:r w:rsidR="002C3984">
      <w:rPr>
        <w:sz w:val="28"/>
        <w:szCs w:val="22"/>
      </w:rPr>
      <w:t>5231</w:t>
    </w:r>
    <w:r>
      <w:rPr>
        <w:sz w:val="28"/>
        <w:szCs w:val="22"/>
      </w:rPr>
      <w:t xml:space="preserve"> від 0</w:t>
    </w:r>
    <w:r w:rsidR="002C3984">
      <w:rPr>
        <w:sz w:val="28"/>
        <w:szCs w:val="22"/>
      </w:rPr>
      <w:t>5</w:t>
    </w:r>
    <w:r>
      <w:rPr>
        <w:sz w:val="28"/>
        <w:szCs w:val="22"/>
      </w:rPr>
      <w:t>.</w:t>
    </w:r>
    <w:r w:rsidR="002C3984">
      <w:rPr>
        <w:sz w:val="28"/>
        <w:szCs w:val="22"/>
      </w:rPr>
      <w:t>1</w:t>
    </w:r>
    <w:r>
      <w:rPr>
        <w:sz w:val="28"/>
        <w:szCs w:val="22"/>
      </w:rPr>
      <w:t>0.2016</w:t>
    </w:r>
  </w:p>
  <w:p w:rsidR="00147C78" w:rsidRPr="001259BA" w:rsidRDefault="009E363B" w:rsidP="00752FA4">
    <w:pPr>
      <w:pStyle w:val="a3"/>
      <w:jc w:val="right"/>
    </w:pPr>
    <w:r>
      <w:rPr>
        <w:sz w:val="28"/>
        <w:szCs w:val="22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84"/>
    <w:rsid w:val="000F2D49"/>
    <w:rsid w:val="00195A10"/>
    <w:rsid w:val="002C3984"/>
    <w:rsid w:val="003D3E00"/>
    <w:rsid w:val="00441D04"/>
    <w:rsid w:val="004B0F68"/>
    <w:rsid w:val="005204CF"/>
    <w:rsid w:val="00680DC4"/>
    <w:rsid w:val="00943D52"/>
    <w:rsid w:val="009E363B"/>
    <w:rsid w:val="00CD5331"/>
    <w:rsid w:val="00D8420C"/>
    <w:rsid w:val="00DC5E0F"/>
    <w:rsid w:val="00DE4197"/>
    <w:rsid w:val="00F9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8A5C3"/>
  <w15:chartTrackingRefBased/>
  <w15:docId w15:val="{AF0073FC-0A84-47E3-B343-6AF5739A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984"/>
    <w:pPr>
      <w:spacing w:after="0" w:line="240" w:lineRule="auto"/>
    </w:pPr>
    <w:rPr>
      <w:rFonts w:eastAsia="Calibri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C3984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3984"/>
    <w:rPr>
      <w:rFonts w:ascii="Arial Unicode MS" w:eastAsia="Arial Unicode MS" w:hAnsi="Arial Unicode MS" w:cs="Arial Unicode MS"/>
      <w:b/>
      <w:bCs/>
      <w:sz w:val="27"/>
      <w:szCs w:val="27"/>
      <w:lang w:val="ru-RU" w:eastAsia="ru-RU"/>
    </w:rPr>
  </w:style>
  <w:style w:type="paragraph" w:styleId="a3">
    <w:name w:val="header"/>
    <w:basedOn w:val="a"/>
    <w:link w:val="a4"/>
    <w:semiHidden/>
    <w:rsid w:val="002C3984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semiHidden/>
    <w:rsid w:val="002C3984"/>
    <w:rPr>
      <w:rFonts w:eastAsia="Calibri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2C3984"/>
    <w:rPr>
      <w:rFonts w:cs="Times New Roman"/>
    </w:rPr>
  </w:style>
  <w:style w:type="paragraph" w:styleId="a6">
    <w:name w:val="Body Text Indent"/>
    <w:basedOn w:val="a"/>
    <w:link w:val="a7"/>
    <w:rsid w:val="002C3984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rsid w:val="002C3984"/>
    <w:rPr>
      <w:rFonts w:eastAsia="Calibri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C3984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2C3984"/>
    <w:rPr>
      <w:rFonts w:eastAsia="Calibri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5331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CD533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2665</Words>
  <Characters>1520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Корнієнко Тетяна Миколаївна</dc:creator>
  <cp:keywords/>
  <dc:description/>
  <cp:lastModifiedBy>Корнієнко Тетяна Миколаївна</cp:lastModifiedBy>
  <cp:revision>11</cp:revision>
  <cp:lastPrinted>2017-04-18T10:35:00Z</cp:lastPrinted>
  <dcterms:created xsi:type="dcterms:W3CDTF">2017-04-13T09:26:00Z</dcterms:created>
  <dcterms:modified xsi:type="dcterms:W3CDTF">2017-04-18T14:23:00Z</dcterms:modified>
</cp:coreProperties>
</file>