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4FF" w:rsidRDefault="005354FF" w:rsidP="00C35441">
      <w:pPr>
        <w:tabs>
          <w:tab w:val="left" w:pos="3780"/>
        </w:tabs>
        <w:spacing w:after="0" w:line="240" w:lineRule="auto"/>
        <w:ind w:left="6096"/>
        <w:jc w:val="right"/>
        <w:rPr>
          <w:szCs w:val="24"/>
          <w:lang w:val="uk-UA" w:eastAsia="ru-RU"/>
        </w:rPr>
      </w:pPr>
      <w:r w:rsidRPr="006B49D7">
        <w:rPr>
          <w:szCs w:val="24"/>
          <w:lang w:val="uk-UA" w:eastAsia="ru-RU"/>
        </w:rPr>
        <w:t xml:space="preserve">До </w:t>
      </w:r>
      <w:r w:rsidR="006B49D7">
        <w:rPr>
          <w:szCs w:val="24"/>
          <w:lang w:val="uk-UA" w:eastAsia="ru-RU"/>
        </w:rPr>
        <w:t>реєстр. № 6570</w:t>
      </w:r>
    </w:p>
    <w:p w:rsidR="006B49D7" w:rsidRDefault="006B49D7" w:rsidP="00C35441">
      <w:pPr>
        <w:tabs>
          <w:tab w:val="left" w:pos="3780"/>
        </w:tabs>
        <w:spacing w:after="0" w:line="240" w:lineRule="auto"/>
        <w:ind w:left="6096"/>
        <w:jc w:val="right"/>
        <w:rPr>
          <w:szCs w:val="24"/>
          <w:lang w:val="uk-UA" w:eastAsia="ru-RU"/>
        </w:rPr>
      </w:pPr>
      <w:r>
        <w:rPr>
          <w:szCs w:val="24"/>
          <w:lang w:val="uk-UA" w:eastAsia="ru-RU"/>
        </w:rPr>
        <w:t>від 8 червня 2017 року</w:t>
      </w:r>
    </w:p>
    <w:p w:rsidR="006B49D7" w:rsidRPr="006B49D7" w:rsidRDefault="006B49D7" w:rsidP="006B49D7">
      <w:pPr>
        <w:tabs>
          <w:tab w:val="left" w:pos="3780"/>
        </w:tabs>
        <w:spacing w:after="0" w:line="240" w:lineRule="auto"/>
        <w:rPr>
          <w:szCs w:val="24"/>
          <w:lang w:val="uk-UA" w:eastAsia="ru-RU"/>
        </w:rPr>
      </w:pPr>
    </w:p>
    <w:p w:rsidR="005354FF" w:rsidRDefault="005354FF" w:rsidP="005354FF">
      <w:pPr>
        <w:tabs>
          <w:tab w:val="left" w:pos="3780"/>
        </w:tabs>
        <w:spacing w:after="0" w:line="240" w:lineRule="auto"/>
        <w:jc w:val="center"/>
        <w:rPr>
          <w:b/>
          <w:szCs w:val="24"/>
          <w:lang w:val="uk-UA" w:eastAsia="ru-RU"/>
        </w:rPr>
      </w:pPr>
    </w:p>
    <w:p w:rsidR="005354FF" w:rsidRDefault="005354FF" w:rsidP="005354FF">
      <w:pPr>
        <w:tabs>
          <w:tab w:val="left" w:pos="3780"/>
        </w:tabs>
        <w:spacing w:after="0" w:line="240" w:lineRule="auto"/>
        <w:jc w:val="center"/>
        <w:rPr>
          <w:b/>
          <w:szCs w:val="24"/>
          <w:lang w:val="uk-UA" w:eastAsia="ru-RU"/>
        </w:rPr>
      </w:pPr>
    </w:p>
    <w:p w:rsidR="005354FF" w:rsidRDefault="005354FF" w:rsidP="005354FF">
      <w:pPr>
        <w:tabs>
          <w:tab w:val="left" w:pos="3780"/>
        </w:tabs>
        <w:spacing w:after="0" w:line="240" w:lineRule="auto"/>
        <w:jc w:val="center"/>
        <w:rPr>
          <w:b/>
          <w:szCs w:val="24"/>
          <w:lang w:val="uk-UA" w:eastAsia="ru-RU"/>
        </w:rPr>
      </w:pPr>
    </w:p>
    <w:p w:rsidR="005354FF" w:rsidRDefault="005354FF" w:rsidP="005354FF">
      <w:pPr>
        <w:tabs>
          <w:tab w:val="left" w:pos="3780"/>
        </w:tabs>
        <w:spacing w:after="0" w:line="240" w:lineRule="auto"/>
        <w:jc w:val="center"/>
        <w:rPr>
          <w:b/>
          <w:szCs w:val="24"/>
          <w:lang w:val="uk-UA" w:eastAsia="ru-RU"/>
        </w:rPr>
      </w:pPr>
    </w:p>
    <w:p w:rsidR="005354FF" w:rsidRDefault="005354FF" w:rsidP="005354FF">
      <w:pPr>
        <w:tabs>
          <w:tab w:val="left" w:pos="3780"/>
        </w:tabs>
        <w:spacing w:after="0" w:line="240" w:lineRule="auto"/>
        <w:jc w:val="center"/>
        <w:rPr>
          <w:b/>
          <w:szCs w:val="24"/>
          <w:lang w:val="uk-UA" w:eastAsia="ru-RU"/>
        </w:rPr>
      </w:pPr>
    </w:p>
    <w:p w:rsidR="005354FF" w:rsidRDefault="005354FF" w:rsidP="005354FF">
      <w:pPr>
        <w:tabs>
          <w:tab w:val="left" w:pos="3780"/>
        </w:tabs>
        <w:spacing w:after="0" w:line="240" w:lineRule="auto"/>
        <w:jc w:val="center"/>
        <w:rPr>
          <w:b/>
          <w:szCs w:val="24"/>
          <w:lang w:val="uk-UA" w:eastAsia="ru-RU"/>
        </w:rPr>
      </w:pPr>
    </w:p>
    <w:p w:rsidR="005354FF" w:rsidRDefault="005354FF" w:rsidP="005354FF">
      <w:pPr>
        <w:tabs>
          <w:tab w:val="left" w:pos="3780"/>
        </w:tabs>
        <w:spacing w:after="0" w:line="240" w:lineRule="auto"/>
        <w:jc w:val="center"/>
        <w:rPr>
          <w:b/>
          <w:szCs w:val="24"/>
          <w:lang w:val="uk-UA" w:eastAsia="ru-RU"/>
        </w:rPr>
      </w:pPr>
    </w:p>
    <w:p w:rsidR="005354FF" w:rsidRDefault="005354FF" w:rsidP="005354FF">
      <w:pPr>
        <w:tabs>
          <w:tab w:val="left" w:pos="3780"/>
        </w:tabs>
        <w:spacing w:after="0" w:line="240" w:lineRule="auto"/>
        <w:jc w:val="center"/>
        <w:rPr>
          <w:b/>
          <w:szCs w:val="24"/>
          <w:lang w:val="uk-UA" w:eastAsia="ru-RU"/>
        </w:rPr>
      </w:pPr>
    </w:p>
    <w:p w:rsidR="005354FF" w:rsidRDefault="005354FF" w:rsidP="005354FF">
      <w:pPr>
        <w:tabs>
          <w:tab w:val="left" w:pos="3780"/>
        </w:tabs>
        <w:spacing w:after="0" w:line="240" w:lineRule="auto"/>
        <w:jc w:val="center"/>
        <w:rPr>
          <w:b/>
          <w:szCs w:val="24"/>
          <w:lang w:val="uk-UA" w:eastAsia="ru-RU"/>
        </w:rPr>
      </w:pPr>
    </w:p>
    <w:p w:rsidR="005354FF" w:rsidRDefault="005354FF" w:rsidP="005354FF">
      <w:pPr>
        <w:tabs>
          <w:tab w:val="left" w:pos="3780"/>
        </w:tabs>
        <w:spacing w:after="0" w:line="240" w:lineRule="auto"/>
        <w:jc w:val="center"/>
        <w:rPr>
          <w:b/>
          <w:szCs w:val="24"/>
          <w:lang w:val="uk-UA" w:eastAsia="ru-RU"/>
        </w:rPr>
      </w:pPr>
    </w:p>
    <w:p w:rsidR="005354FF" w:rsidRDefault="005354FF" w:rsidP="005354FF">
      <w:pPr>
        <w:tabs>
          <w:tab w:val="left" w:pos="3780"/>
        </w:tabs>
        <w:spacing w:after="0" w:line="240" w:lineRule="auto"/>
        <w:jc w:val="center"/>
        <w:rPr>
          <w:b/>
          <w:szCs w:val="24"/>
          <w:lang w:val="uk-UA" w:eastAsia="ru-RU"/>
        </w:rPr>
      </w:pPr>
    </w:p>
    <w:p w:rsidR="005354FF" w:rsidRDefault="005354FF" w:rsidP="005354FF">
      <w:pPr>
        <w:tabs>
          <w:tab w:val="left" w:pos="3780"/>
        </w:tabs>
        <w:spacing w:after="0" w:line="240" w:lineRule="auto"/>
        <w:jc w:val="center"/>
        <w:rPr>
          <w:b/>
          <w:szCs w:val="24"/>
          <w:lang w:val="uk-UA" w:eastAsia="ru-RU"/>
        </w:rPr>
      </w:pPr>
    </w:p>
    <w:p w:rsidR="005354FF" w:rsidRDefault="005354FF" w:rsidP="005354FF">
      <w:pPr>
        <w:tabs>
          <w:tab w:val="left" w:pos="3780"/>
        </w:tabs>
        <w:spacing w:after="0" w:line="240" w:lineRule="auto"/>
        <w:jc w:val="center"/>
        <w:rPr>
          <w:b/>
          <w:szCs w:val="24"/>
          <w:lang w:val="uk-UA" w:eastAsia="ru-RU"/>
        </w:rPr>
      </w:pPr>
      <w:r>
        <w:rPr>
          <w:b/>
          <w:szCs w:val="24"/>
          <w:lang w:val="uk-UA" w:eastAsia="ru-RU"/>
        </w:rPr>
        <w:t>ВИСНОВОК</w:t>
      </w:r>
    </w:p>
    <w:p w:rsidR="005354FF" w:rsidRDefault="005354FF" w:rsidP="005354FF">
      <w:pPr>
        <w:tabs>
          <w:tab w:val="left" w:pos="1260"/>
        </w:tabs>
        <w:spacing w:after="0" w:line="240" w:lineRule="auto"/>
        <w:jc w:val="center"/>
        <w:rPr>
          <w:szCs w:val="24"/>
          <w:lang w:val="uk-UA" w:eastAsia="ru-RU"/>
        </w:rPr>
      </w:pPr>
      <w:r>
        <w:rPr>
          <w:szCs w:val="24"/>
          <w:lang w:val="uk-UA" w:eastAsia="ru-RU"/>
        </w:rPr>
        <w:t xml:space="preserve">щодо відповідності проекту нормативно-правового </w:t>
      </w:r>
      <w:proofErr w:type="spellStart"/>
      <w:r>
        <w:rPr>
          <w:szCs w:val="24"/>
          <w:lang w:val="uk-UA" w:eastAsia="ru-RU"/>
        </w:rPr>
        <w:t>акта</w:t>
      </w:r>
      <w:proofErr w:type="spellEnd"/>
    </w:p>
    <w:p w:rsidR="005354FF" w:rsidRPr="003D754A" w:rsidRDefault="005354FF" w:rsidP="003D754A">
      <w:pPr>
        <w:spacing w:after="360" w:line="240" w:lineRule="auto"/>
        <w:jc w:val="center"/>
        <w:rPr>
          <w:szCs w:val="28"/>
          <w:lang w:val="uk-UA" w:eastAsia="ru-RU"/>
        </w:rPr>
      </w:pPr>
      <w:r>
        <w:rPr>
          <w:szCs w:val="28"/>
          <w:lang w:val="uk-UA" w:eastAsia="ru-RU"/>
        </w:rPr>
        <w:t>вимогам антикорупційного законодавства</w:t>
      </w:r>
    </w:p>
    <w:p w:rsidR="005354FF" w:rsidRDefault="005354FF" w:rsidP="005354FF">
      <w:pPr>
        <w:tabs>
          <w:tab w:val="center" w:pos="4677"/>
          <w:tab w:val="right" w:pos="9355"/>
        </w:tabs>
        <w:spacing w:after="0" w:line="240" w:lineRule="auto"/>
        <w:ind w:left="709"/>
        <w:jc w:val="both"/>
        <w:rPr>
          <w:rFonts w:ascii="Calibri" w:hAnsi="Calibri"/>
          <w:sz w:val="16"/>
          <w:szCs w:val="16"/>
          <w:lang w:val="uk-UA" w:eastAsia="ru-RU"/>
        </w:rPr>
      </w:pPr>
      <w:r>
        <w:rPr>
          <w:rFonts w:ascii="Calibri" w:hAnsi="Calibri"/>
          <w:sz w:val="24"/>
          <w:szCs w:val="24"/>
          <w:lang w:val="uk-UA" w:eastAsia="ru-RU"/>
        </w:rPr>
        <w:t xml:space="preserve">Назва проекту </w:t>
      </w:r>
      <w:proofErr w:type="spellStart"/>
      <w:r>
        <w:rPr>
          <w:rFonts w:ascii="Calibri" w:hAnsi="Calibri"/>
          <w:sz w:val="24"/>
          <w:szCs w:val="24"/>
          <w:lang w:val="uk-UA" w:eastAsia="ru-RU"/>
        </w:rPr>
        <w:t>акта</w:t>
      </w:r>
      <w:proofErr w:type="spellEnd"/>
      <w:r>
        <w:rPr>
          <w:rFonts w:ascii="Calibri" w:hAnsi="Calibri"/>
          <w:sz w:val="24"/>
          <w:szCs w:val="24"/>
          <w:lang w:val="uk-UA" w:eastAsia="ru-RU"/>
        </w:rPr>
        <w:t xml:space="preserve">: </w:t>
      </w:r>
      <w:r w:rsidR="006B49D7" w:rsidRPr="006B49D7">
        <w:rPr>
          <w:rFonts w:ascii="Calibri" w:hAnsi="Calibri"/>
          <w:sz w:val="24"/>
          <w:szCs w:val="24"/>
          <w:lang w:val="uk-UA" w:eastAsia="ru-RU"/>
        </w:rPr>
        <w:t>Проект Закону про внесення змін до розділу ІI "Прикінцеві та перехідні положення"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w:t>
      </w:r>
    </w:p>
    <w:p w:rsidR="006B49D7" w:rsidRDefault="006B49D7" w:rsidP="005354FF">
      <w:pPr>
        <w:tabs>
          <w:tab w:val="center" w:pos="4677"/>
          <w:tab w:val="right" w:pos="9355"/>
        </w:tabs>
        <w:spacing w:after="0" w:line="240" w:lineRule="auto"/>
        <w:ind w:left="709"/>
        <w:jc w:val="both"/>
        <w:rPr>
          <w:rFonts w:ascii="Calibri" w:hAnsi="Calibri"/>
          <w:sz w:val="24"/>
          <w:szCs w:val="24"/>
          <w:lang w:val="uk-UA" w:eastAsia="ru-RU"/>
        </w:rPr>
      </w:pPr>
    </w:p>
    <w:p w:rsidR="005354FF" w:rsidRDefault="005354FF" w:rsidP="005354FF">
      <w:pPr>
        <w:tabs>
          <w:tab w:val="center" w:pos="4677"/>
          <w:tab w:val="right" w:pos="9355"/>
        </w:tabs>
        <w:spacing w:after="0" w:line="240" w:lineRule="auto"/>
        <w:ind w:left="709"/>
        <w:jc w:val="both"/>
        <w:rPr>
          <w:rFonts w:ascii="Calibri" w:hAnsi="Calibri" w:cs="Arial"/>
          <w:color w:val="333333"/>
          <w:sz w:val="24"/>
          <w:szCs w:val="24"/>
          <w:lang w:val="uk-UA" w:eastAsia="uk-UA"/>
        </w:rPr>
      </w:pPr>
      <w:r>
        <w:rPr>
          <w:rFonts w:ascii="Calibri" w:hAnsi="Calibri"/>
          <w:sz w:val="24"/>
          <w:szCs w:val="24"/>
          <w:lang w:val="uk-UA" w:eastAsia="ru-RU"/>
        </w:rPr>
        <w:t xml:space="preserve">Реєстр. № </w:t>
      </w:r>
      <w:r w:rsidR="006B49D7">
        <w:rPr>
          <w:rFonts w:ascii="Calibri" w:hAnsi="Calibri"/>
          <w:sz w:val="24"/>
          <w:szCs w:val="24"/>
          <w:lang w:val="uk-UA"/>
        </w:rPr>
        <w:t>6570 від 08.06</w:t>
      </w:r>
      <w:r>
        <w:rPr>
          <w:rFonts w:ascii="Calibri" w:hAnsi="Calibri"/>
          <w:sz w:val="24"/>
          <w:szCs w:val="24"/>
          <w:lang w:val="uk-UA"/>
        </w:rPr>
        <w:t>.2017 р.</w:t>
      </w:r>
    </w:p>
    <w:p w:rsidR="005354FF" w:rsidRDefault="005354FF" w:rsidP="005354FF">
      <w:pPr>
        <w:shd w:val="clear" w:color="auto" w:fill="FFFFFF"/>
        <w:spacing w:after="0" w:line="270" w:lineRule="atLeast"/>
        <w:ind w:left="709"/>
        <w:jc w:val="both"/>
        <w:rPr>
          <w:rFonts w:ascii="Calibri" w:hAnsi="Calibri"/>
          <w:color w:val="333333"/>
          <w:sz w:val="16"/>
          <w:szCs w:val="16"/>
          <w:lang w:val="uk-UA" w:eastAsia="uk-UA"/>
        </w:rPr>
      </w:pPr>
    </w:p>
    <w:p w:rsidR="005354FF" w:rsidRDefault="005354FF" w:rsidP="005354FF">
      <w:pPr>
        <w:spacing w:after="120" w:line="240" w:lineRule="auto"/>
        <w:ind w:left="709"/>
        <w:jc w:val="both"/>
        <w:rPr>
          <w:rFonts w:ascii="Calibri" w:hAnsi="Calibri"/>
          <w:sz w:val="24"/>
          <w:szCs w:val="24"/>
          <w:lang w:val="uk-UA" w:eastAsia="ru-RU"/>
        </w:rPr>
      </w:pPr>
      <w:r>
        <w:rPr>
          <w:rFonts w:ascii="Calibri" w:hAnsi="Calibri"/>
          <w:sz w:val="24"/>
          <w:szCs w:val="24"/>
          <w:lang w:val="uk-UA" w:eastAsia="ru-RU"/>
        </w:rPr>
        <w:t xml:space="preserve">Суб’єкт права законодавчої ініціативи: народні депутати України </w:t>
      </w:r>
      <w:r w:rsidR="006B49D7">
        <w:rPr>
          <w:rFonts w:ascii="Calibri" w:hAnsi="Calibri"/>
          <w:sz w:val="24"/>
          <w:szCs w:val="24"/>
          <w:lang w:val="uk-UA" w:eastAsia="ru-RU"/>
        </w:rPr>
        <w:t xml:space="preserve">Продан О.П., Мельник С.І., </w:t>
      </w:r>
      <w:proofErr w:type="spellStart"/>
      <w:r w:rsidR="006B49D7">
        <w:rPr>
          <w:rFonts w:ascii="Calibri" w:hAnsi="Calibri"/>
          <w:sz w:val="24"/>
          <w:szCs w:val="24"/>
          <w:lang w:val="uk-UA" w:eastAsia="ru-RU"/>
        </w:rPr>
        <w:t>Куліченко</w:t>
      </w:r>
      <w:proofErr w:type="spellEnd"/>
      <w:r w:rsidR="006B49D7">
        <w:rPr>
          <w:rFonts w:ascii="Calibri" w:hAnsi="Calibri"/>
          <w:sz w:val="24"/>
          <w:szCs w:val="24"/>
          <w:lang w:val="uk-UA" w:eastAsia="ru-RU"/>
        </w:rPr>
        <w:t xml:space="preserve"> І.І.</w:t>
      </w:r>
    </w:p>
    <w:p w:rsidR="006B49D7" w:rsidRDefault="005354FF" w:rsidP="005354FF">
      <w:pPr>
        <w:shd w:val="clear" w:color="auto" w:fill="FFFFFF"/>
        <w:spacing w:after="360" w:line="193" w:lineRule="atLeast"/>
        <w:ind w:left="709"/>
        <w:jc w:val="both"/>
        <w:rPr>
          <w:rFonts w:ascii="Calibri" w:hAnsi="Calibri"/>
          <w:bCs/>
          <w:spacing w:val="4"/>
          <w:sz w:val="24"/>
          <w:szCs w:val="24"/>
          <w:lang w:val="uk-UA" w:eastAsia="ru-RU"/>
        </w:rPr>
      </w:pPr>
      <w:r>
        <w:rPr>
          <w:rFonts w:ascii="Calibri" w:hAnsi="Calibri"/>
          <w:sz w:val="24"/>
          <w:szCs w:val="24"/>
          <w:lang w:val="uk-UA" w:eastAsia="ru-RU"/>
        </w:rPr>
        <w:t xml:space="preserve">Головний комітет з підготовки і попереднього розгляду – </w:t>
      </w:r>
      <w:r>
        <w:rPr>
          <w:rFonts w:ascii="Calibri" w:hAnsi="Calibri"/>
          <w:bCs/>
          <w:spacing w:val="4"/>
          <w:sz w:val="24"/>
          <w:szCs w:val="24"/>
          <w:lang w:val="uk-UA" w:eastAsia="ru-RU"/>
        </w:rPr>
        <w:t xml:space="preserve"> Комітет з питань </w:t>
      </w:r>
      <w:r w:rsidR="006B49D7" w:rsidRPr="006B49D7">
        <w:rPr>
          <w:rFonts w:ascii="Calibri" w:hAnsi="Calibri"/>
          <w:bCs/>
          <w:spacing w:val="4"/>
          <w:sz w:val="24"/>
          <w:szCs w:val="24"/>
          <w:lang w:val="uk-UA" w:eastAsia="ru-RU"/>
        </w:rPr>
        <w:t xml:space="preserve"> податкової та митної політики</w:t>
      </w:r>
    </w:p>
    <w:p w:rsidR="005354FF" w:rsidRDefault="005354FF" w:rsidP="005354FF">
      <w:pPr>
        <w:shd w:val="clear" w:color="auto" w:fill="FFFFFF"/>
        <w:spacing w:after="360" w:line="193" w:lineRule="atLeast"/>
        <w:ind w:left="709"/>
        <w:jc w:val="both"/>
        <w:rPr>
          <w:szCs w:val="28"/>
          <w:lang w:val="uk-UA"/>
        </w:rPr>
      </w:pPr>
      <w:r>
        <w:rPr>
          <w:szCs w:val="28"/>
          <w:u w:val="single"/>
          <w:lang w:val="uk-UA" w:eastAsia="ru-RU"/>
        </w:rPr>
        <w:t xml:space="preserve">У проекті </w:t>
      </w:r>
      <w:proofErr w:type="spellStart"/>
      <w:r>
        <w:rPr>
          <w:szCs w:val="28"/>
          <w:u w:val="single"/>
          <w:lang w:val="uk-UA" w:eastAsia="ru-RU"/>
        </w:rPr>
        <w:t>акта</w:t>
      </w:r>
      <w:proofErr w:type="spellEnd"/>
      <w:r>
        <w:rPr>
          <w:szCs w:val="28"/>
          <w:u w:val="single"/>
          <w:lang w:val="uk-UA" w:eastAsia="ru-RU"/>
        </w:rPr>
        <w:t xml:space="preserve"> не виявлено </w:t>
      </w:r>
      <w:proofErr w:type="spellStart"/>
      <w:r>
        <w:rPr>
          <w:szCs w:val="28"/>
          <w:u w:val="single"/>
          <w:lang w:val="uk-UA" w:eastAsia="ru-RU"/>
        </w:rPr>
        <w:t>корупціогенних</w:t>
      </w:r>
      <w:proofErr w:type="spellEnd"/>
      <w:r>
        <w:rPr>
          <w:szCs w:val="28"/>
          <w:u w:val="single"/>
          <w:lang w:val="uk-UA" w:eastAsia="ru-RU"/>
        </w:rPr>
        <w:t xml:space="preserve"> факторів – проект </w:t>
      </w:r>
      <w:proofErr w:type="spellStart"/>
      <w:r>
        <w:rPr>
          <w:szCs w:val="28"/>
          <w:u w:val="single"/>
          <w:lang w:val="uk-UA" w:eastAsia="ru-RU"/>
        </w:rPr>
        <w:t>акта</w:t>
      </w:r>
      <w:proofErr w:type="spellEnd"/>
      <w:r>
        <w:rPr>
          <w:szCs w:val="28"/>
          <w:u w:val="single"/>
          <w:lang w:val="uk-UA" w:eastAsia="ru-RU"/>
        </w:rPr>
        <w:t xml:space="preserve"> відповідає вимогам антикорупційного законодавства</w:t>
      </w:r>
      <w:r>
        <w:rPr>
          <w:szCs w:val="28"/>
          <w:lang w:val="uk-UA" w:eastAsia="ru-RU"/>
        </w:rPr>
        <w:t xml:space="preserve"> </w:t>
      </w:r>
      <w:r>
        <w:rPr>
          <w:szCs w:val="28"/>
          <w:lang w:val="uk-UA"/>
        </w:rPr>
        <w:t xml:space="preserve">(рішення Комітету від </w:t>
      </w:r>
      <w:r w:rsidR="003D754A">
        <w:rPr>
          <w:szCs w:val="28"/>
          <w:lang w:val="uk-UA"/>
        </w:rPr>
        <w:t>16</w:t>
      </w:r>
      <w:r>
        <w:rPr>
          <w:szCs w:val="28"/>
          <w:lang w:val="uk-UA"/>
        </w:rPr>
        <w:t xml:space="preserve"> </w:t>
      </w:r>
      <w:r w:rsidR="003D754A">
        <w:rPr>
          <w:szCs w:val="28"/>
          <w:lang w:val="uk-UA"/>
        </w:rPr>
        <w:t>січня</w:t>
      </w:r>
      <w:r w:rsidR="00D61588">
        <w:rPr>
          <w:szCs w:val="28"/>
          <w:lang w:val="uk-UA"/>
        </w:rPr>
        <w:t xml:space="preserve"> 201</w:t>
      </w:r>
      <w:r w:rsidR="00D61588" w:rsidRPr="00D61588">
        <w:rPr>
          <w:szCs w:val="28"/>
        </w:rPr>
        <w:t>8</w:t>
      </w:r>
      <w:bookmarkStart w:id="0" w:name="_GoBack"/>
      <w:bookmarkEnd w:id="0"/>
      <w:r w:rsidR="00166D85">
        <w:rPr>
          <w:szCs w:val="28"/>
          <w:lang w:val="uk-UA"/>
        </w:rPr>
        <w:t xml:space="preserve"> року, протокол № 116</w:t>
      </w:r>
      <w:r>
        <w:rPr>
          <w:szCs w:val="28"/>
          <w:lang w:val="uk-UA"/>
        </w:rPr>
        <w:t>).</w:t>
      </w:r>
    </w:p>
    <w:p w:rsidR="005354FF" w:rsidRPr="003D754A" w:rsidRDefault="00971150" w:rsidP="005354FF">
      <w:pPr>
        <w:spacing w:after="0"/>
        <w:ind w:firstLine="708"/>
        <w:jc w:val="both"/>
        <w:rPr>
          <w:color w:val="000000"/>
          <w:sz w:val="26"/>
          <w:szCs w:val="26"/>
          <w:lang w:val="uk-UA"/>
        </w:rPr>
      </w:pPr>
      <w:r w:rsidRPr="003D754A">
        <w:rPr>
          <w:sz w:val="26"/>
          <w:szCs w:val="26"/>
          <w:lang w:val="uk-UA"/>
        </w:rPr>
        <w:t xml:space="preserve">Відповідно до Пояснювальної записки, законопроект розроблено з метою </w:t>
      </w:r>
      <w:r w:rsidRPr="003D754A">
        <w:rPr>
          <w:color w:val="000000"/>
          <w:sz w:val="26"/>
          <w:szCs w:val="26"/>
          <w:lang w:val="uk-UA"/>
        </w:rPr>
        <w:t xml:space="preserve">недопущення втрат місцевих бюджетів та забезпечення повноти отримання ними надходжень </w:t>
      </w:r>
      <w:r w:rsidRPr="003D754A">
        <w:rPr>
          <w:sz w:val="26"/>
          <w:szCs w:val="26"/>
          <w:lang w:val="uk-UA"/>
        </w:rPr>
        <w:t>акцизного податку з реалізації суб’єктами господарювання роздрібної торгівлі тютюнових виробів,</w:t>
      </w:r>
      <w:r w:rsidRPr="003D754A">
        <w:rPr>
          <w:color w:val="000000"/>
          <w:sz w:val="26"/>
          <w:szCs w:val="26"/>
          <w:lang w:val="uk-UA"/>
        </w:rPr>
        <w:t xml:space="preserve"> передбачених Бюджетним кодексом України.</w:t>
      </w:r>
    </w:p>
    <w:p w:rsidR="003D754A" w:rsidRPr="003D754A" w:rsidRDefault="00971150" w:rsidP="003D754A">
      <w:pPr>
        <w:spacing w:after="0" w:line="240" w:lineRule="auto"/>
        <w:ind w:firstLine="720"/>
        <w:jc w:val="both"/>
        <w:rPr>
          <w:rFonts w:eastAsia="Times New Roman"/>
          <w:sz w:val="26"/>
          <w:szCs w:val="26"/>
          <w:lang w:val="uk-UA"/>
        </w:rPr>
      </w:pPr>
      <w:r w:rsidRPr="003D754A">
        <w:rPr>
          <w:sz w:val="26"/>
          <w:szCs w:val="26"/>
          <w:lang w:val="uk-UA"/>
        </w:rPr>
        <w:t xml:space="preserve">Разом з тим, </w:t>
      </w:r>
      <w:r w:rsidR="00C50AEB" w:rsidRPr="003D754A">
        <w:rPr>
          <w:rFonts w:eastAsia="Times New Roman"/>
          <w:sz w:val="26"/>
          <w:szCs w:val="26"/>
          <w:lang w:val="uk-UA"/>
        </w:rPr>
        <w:t>оскільки згідно з вимогами статті 116 Конституції України Кабінет Міністрів України забезпечує проведення податкової політики, здійснює заходи щодо забезпечення обороноздатності і національної безпеки України, організовує і забезпечує здійснення митної справи, було б логічним для прийняття виваженого рішення щодо внесеного законопроекту отримати відпов</w:t>
      </w:r>
      <w:r w:rsidR="002E2D41" w:rsidRPr="003D754A">
        <w:rPr>
          <w:rFonts w:eastAsia="Times New Roman"/>
          <w:sz w:val="26"/>
          <w:szCs w:val="26"/>
          <w:lang w:val="uk-UA"/>
        </w:rPr>
        <w:t>ідний експертний висновок Уряду.</w:t>
      </w:r>
    </w:p>
    <w:p w:rsidR="003D754A" w:rsidRPr="00F5716E" w:rsidRDefault="003D754A" w:rsidP="003D754A">
      <w:pPr>
        <w:spacing w:after="0" w:line="240" w:lineRule="auto"/>
        <w:ind w:firstLine="709"/>
        <w:jc w:val="both"/>
        <w:rPr>
          <w:rFonts w:cs="Calibri"/>
          <w:b/>
          <w:szCs w:val="28"/>
        </w:rPr>
      </w:pPr>
      <w:r w:rsidRPr="00F5716E">
        <w:rPr>
          <w:rFonts w:cs="Calibri"/>
          <w:b/>
          <w:szCs w:val="28"/>
        </w:rPr>
        <w:t>Перший заступник</w:t>
      </w:r>
    </w:p>
    <w:p w:rsidR="003D754A" w:rsidRPr="00F5716E" w:rsidRDefault="003D754A" w:rsidP="003D754A">
      <w:pPr>
        <w:spacing w:after="0" w:line="240" w:lineRule="auto"/>
        <w:ind w:firstLine="709"/>
        <w:jc w:val="both"/>
        <w:rPr>
          <w:rFonts w:cs="Calibri"/>
          <w:b/>
          <w:szCs w:val="28"/>
        </w:rPr>
      </w:pPr>
      <w:proofErr w:type="spellStart"/>
      <w:r w:rsidRPr="00F5716E">
        <w:rPr>
          <w:rFonts w:cs="Calibri"/>
          <w:b/>
          <w:szCs w:val="28"/>
        </w:rPr>
        <w:t>Голови</w:t>
      </w:r>
      <w:proofErr w:type="spellEnd"/>
      <w:r w:rsidRPr="00F5716E">
        <w:rPr>
          <w:rFonts w:cs="Calibri"/>
          <w:b/>
          <w:szCs w:val="28"/>
        </w:rPr>
        <w:t xml:space="preserve"> </w:t>
      </w:r>
      <w:proofErr w:type="spellStart"/>
      <w:r w:rsidRPr="00F5716E">
        <w:rPr>
          <w:rFonts w:cs="Calibri"/>
          <w:b/>
          <w:szCs w:val="28"/>
        </w:rPr>
        <w:t>Комітету</w:t>
      </w:r>
      <w:proofErr w:type="spellEnd"/>
      <w:r w:rsidRPr="00F5716E">
        <w:rPr>
          <w:rFonts w:cs="Calibri"/>
          <w:b/>
          <w:szCs w:val="28"/>
        </w:rPr>
        <w:t xml:space="preserve">                                                                   Ю.П. Савчук</w:t>
      </w:r>
    </w:p>
    <w:p w:rsidR="003D754A" w:rsidRPr="007663AD" w:rsidRDefault="003D754A" w:rsidP="003D754A">
      <w:pPr>
        <w:spacing w:after="120" w:line="240" w:lineRule="auto"/>
        <w:ind w:firstLine="709"/>
        <w:jc w:val="both"/>
        <w:rPr>
          <w:rFonts w:cs="Calibri"/>
          <w:szCs w:val="28"/>
        </w:rPr>
      </w:pPr>
    </w:p>
    <w:p w:rsidR="005354FF" w:rsidRDefault="005354FF" w:rsidP="005354FF"/>
    <w:p w:rsidR="005354FF" w:rsidRDefault="005354FF" w:rsidP="005354FF"/>
    <w:p w:rsidR="005354FF" w:rsidRDefault="005354FF" w:rsidP="005354FF">
      <w:pPr>
        <w:rPr>
          <w:szCs w:val="28"/>
        </w:rPr>
      </w:pPr>
    </w:p>
    <w:p w:rsidR="00CF0C91" w:rsidRDefault="00CF0C91"/>
    <w:sectPr w:rsidR="00CF0C91" w:rsidSect="002E2D4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DA"/>
    <w:rsid w:val="00166D85"/>
    <w:rsid w:val="002E2D41"/>
    <w:rsid w:val="003D754A"/>
    <w:rsid w:val="005354FF"/>
    <w:rsid w:val="006B49D7"/>
    <w:rsid w:val="00770AEC"/>
    <w:rsid w:val="009440DA"/>
    <w:rsid w:val="00971150"/>
    <w:rsid w:val="00B95E8C"/>
    <w:rsid w:val="00C35441"/>
    <w:rsid w:val="00C50AEB"/>
    <w:rsid w:val="00CF0C91"/>
    <w:rsid w:val="00D6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3744"/>
  <w15:chartTrackingRefBased/>
  <w15:docId w15:val="{E8ABD8B6-4987-40E7-9C70-D75534B4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4FF"/>
    <w:pPr>
      <w:spacing w:line="252"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D41"/>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E2D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1054</Words>
  <Characters>601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Вишневська Катерина Олександрівна</cp:lastModifiedBy>
  <cp:revision>11</cp:revision>
  <cp:lastPrinted>2018-01-16T15:47:00Z</cp:lastPrinted>
  <dcterms:created xsi:type="dcterms:W3CDTF">2017-10-01T14:45:00Z</dcterms:created>
  <dcterms:modified xsi:type="dcterms:W3CDTF">2018-01-22T13:09:00Z</dcterms:modified>
</cp:coreProperties>
</file>