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0F" w:rsidRPr="0069220F" w:rsidRDefault="0069220F" w:rsidP="0069220F">
      <w:pPr>
        <w:spacing w:after="0"/>
        <w:ind w:left="6120"/>
        <w:jc w:val="right"/>
        <w:rPr>
          <w:rFonts w:eastAsia="Times New Roman" w:cs="Times New Roman"/>
          <w:bCs/>
          <w:sz w:val="20"/>
          <w:szCs w:val="20"/>
          <w:lang w:eastAsia="ru-RU"/>
        </w:rPr>
      </w:pPr>
      <w:r w:rsidRPr="0069220F">
        <w:rPr>
          <w:rFonts w:eastAsia="Times New Roman" w:cs="Times New Roman"/>
          <w:bCs/>
          <w:caps/>
          <w:sz w:val="20"/>
          <w:szCs w:val="20"/>
          <w:lang w:eastAsia="ru-RU"/>
        </w:rPr>
        <w:t>Д</w:t>
      </w:r>
      <w:r w:rsidRPr="0069220F">
        <w:rPr>
          <w:rFonts w:eastAsia="Times New Roman" w:cs="Times New Roman"/>
          <w:bCs/>
          <w:sz w:val="20"/>
          <w:szCs w:val="20"/>
          <w:lang w:eastAsia="ru-RU"/>
        </w:rPr>
        <w:t>о реєстр. № 67</w:t>
      </w:r>
      <w:r w:rsidRPr="0069220F">
        <w:rPr>
          <w:rFonts w:eastAsia="Times New Roman" w:cs="Times New Roman"/>
          <w:bCs/>
          <w:sz w:val="20"/>
          <w:szCs w:val="20"/>
          <w:lang w:val="ru-RU" w:eastAsia="ru-RU"/>
        </w:rPr>
        <w:t xml:space="preserve">46  </w:t>
      </w:r>
    </w:p>
    <w:p w:rsidR="0069220F" w:rsidRPr="0069220F" w:rsidRDefault="0069220F" w:rsidP="0069220F">
      <w:pPr>
        <w:spacing w:after="0"/>
        <w:ind w:left="6120"/>
        <w:jc w:val="right"/>
        <w:rPr>
          <w:rFonts w:eastAsia="Times New Roman" w:cs="Times New Roman"/>
          <w:bCs/>
          <w:sz w:val="20"/>
          <w:szCs w:val="20"/>
          <w:lang w:eastAsia="ru-RU"/>
        </w:rPr>
      </w:pPr>
      <w:r w:rsidRPr="0069220F">
        <w:rPr>
          <w:rFonts w:eastAsia="Times New Roman" w:cs="Times New Roman"/>
          <w:bCs/>
          <w:sz w:val="20"/>
          <w:szCs w:val="20"/>
          <w:lang w:eastAsia="ru-RU"/>
        </w:rPr>
        <w:t>(</w:t>
      </w:r>
      <w:r w:rsidR="0078317B">
        <w:rPr>
          <w:rFonts w:eastAsia="Times New Roman" w:cs="Times New Roman"/>
          <w:bCs/>
          <w:sz w:val="20"/>
          <w:szCs w:val="20"/>
          <w:lang w:eastAsia="ru-RU"/>
        </w:rPr>
        <w:t xml:space="preserve">повторне </w:t>
      </w:r>
      <w:r w:rsidRPr="0069220F">
        <w:rPr>
          <w:rFonts w:eastAsia="Times New Roman" w:cs="Times New Roman"/>
          <w:bCs/>
          <w:sz w:val="20"/>
          <w:szCs w:val="20"/>
          <w:lang w:eastAsia="ru-RU"/>
        </w:rPr>
        <w:t>друге читання)</w:t>
      </w:r>
    </w:p>
    <w:p w:rsidR="0069220F" w:rsidRPr="0069220F" w:rsidRDefault="0069220F" w:rsidP="0069220F">
      <w:pPr>
        <w:spacing w:after="0"/>
        <w:jc w:val="right"/>
        <w:rPr>
          <w:rFonts w:eastAsia="Times New Roman" w:cs="Times New Roman"/>
          <w:sz w:val="20"/>
          <w:szCs w:val="20"/>
          <w:lang w:eastAsia="ru-RU"/>
        </w:rPr>
      </w:pPr>
    </w:p>
    <w:p w:rsidR="0069220F" w:rsidRPr="0069220F" w:rsidRDefault="0069220F" w:rsidP="0069220F">
      <w:pPr>
        <w:spacing w:after="0"/>
        <w:jc w:val="center"/>
        <w:rPr>
          <w:rFonts w:eastAsia="Times New Roman" w:cs="Times New Roman"/>
          <w:b/>
          <w:bCs/>
          <w:sz w:val="32"/>
          <w:szCs w:val="24"/>
          <w:lang w:eastAsia="ru-RU"/>
        </w:rPr>
      </w:pPr>
    </w:p>
    <w:p w:rsidR="0069220F" w:rsidRPr="0069220F" w:rsidRDefault="0069220F" w:rsidP="0069220F">
      <w:pPr>
        <w:spacing w:after="0"/>
        <w:jc w:val="center"/>
        <w:rPr>
          <w:rFonts w:eastAsia="Times New Roman" w:cs="Times New Roman"/>
          <w:b/>
          <w:bCs/>
          <w:sz w:val="32"/>
          <w:szCs w:val="24"/>
          <w:lang w:eastAsia="ru-RU"/>
        </w:rPr>
      </w:pPr>
    </w:p>
    <w:p w:rsidR="0069220F" w:rsidRPr="0069220F" w:rsidRDefault="0069220F" w:rsidP="0069220F">
      <w:pPr>
        <w:spacing w:after="0"/>
        <w:jc w:val="center"/>
        <w:rPr>
          <w:rFonts w:eastAsia="Times New Roman" w:cs="Times New Roman"/>
          <w:b/>
          <w:bCs/>
          <w:sz w:val="32"/>
          <w:szCs w:val="24"/>
          <w:lang w:eastAsia="ru-RU"/>
        </w:rPr>
      </w:pPr>
    </w:p>
    <w:p w:rsidR="0069220F" w:rsidRPr="0069220F" w:rsidRDefault="0069220F" w:rsidP="0069220F">
      <w:pPr>
        <w:spacing w:after="0"/>
        <w:jc w:val="center"/>
        <w:rPr>
          <w:rFonts w:eastAsia="Times New Roman" w:cs="Times New Roman"/>
          <w:b/>
          <w:bCs/>
          <w:sz w:val="32"/>
          <w:szCs w:val="24"/>
          <w:lang w:eastAsia="ru-RU"/>
        </w:rPr>
      </w:pPr>
    </w:p>
    <w:p w:rsidR="0069220F" w:rsidRPr="0069220F" w:rsidRDefault="0069220F" w:rsidP="0069220F">
      <w:pPr>
        <w:spacing w:after="0"/>
        <w:jc w:val="center"/>
        <w:rPr>
          <w:rFonts w:eastAsia="Times New Roman" w:cs="Times New Roman"/>
          <w:b/>
          <w:bCs/>
          <w:sz w:val="32"/>
          <w:szCs w:val="24"/>
          <w:lang w:eastAsia="ru-RU"/>
        </w:rPr>
      </w:pPr>
    </w:p>
    <w:p w:rsidR="0069220F" w:rsidRPr="0069220F" w:rsidRDefault="0069220F" w:rsidP="0069220F">
      <w:pPr>
        <w:spacing w:after="0"/>
        <w:jc w:val="center"/>
        <w:rPr>
          <w:rFonts w:eastAsia="Times New Roman" w:cs="Times New Roman"/>
          <w:b/>
          <w:bCs/>
          <w:sz w:val="32"/>
          <w:szCs w:val="24"/>
          <w:lang w:eastAsia="ru-RU"/>
        </w:rPr>
      </w:pPr>
    </w:p>
    <w:p w:rsidR="0069220F" w:rsidRPr="0069220F" w:rsidRDefault="0069220F" w:rsidP="0069220F">
      <w:pPr>
        <w:spacing w:after="0"/>
        <w:jc w:val="center"/>
        <w:rPr>
          <w:rFonts w:eastAsia="Times New Roman" w:cs="Times New Roman"/>
          <w:b/>
          <w:bCs/>
          <w:szCs w:val="28"/>
          <w:lang w:eastAsia="ru-RU"/>
        </w:rPr>
      </w:pPr>
    </w:p>
    <w:p w:rsidR="0069220F" w:rsidRPr="0069220F" w:rsidRDefault="0069220F" w:rsidP="0069220F">
      <w:pPr>
        <w:spacing w:after="0"/>
        <w:jc w:val="center"/>
        <w:rPr>
          <w:rFonts w:eastAsia="Times New Roman" w:cs="Times New Roman"/>
          <w:b/>
          <w:bCs/>
          <w:szCs w:val="28"/>
          <w:lang w:eastAsia="ru-RU"/>
        </w:rPr>
      </w:pPr>
      <w:bookmarkStart w:id="0" w:name="_GoBack"/>
      <w:bookmarkEnd w:id="0"/>
      <w:r w:rsidRPr="0069220F">
        <w:rPr>
          <w:rFonts w:eastAsia="Times New Roman" w:cs="Times New Roman"/>
          <w:b/>
          <w:bCs/>
          <w:szCs w:val="28"/>
          <w:lang w:eastAsia="ru-RU"/>
        </w:rPr>
        <w:t xml:space="preserve">З А У В А Ж Е Н </w:t>
      </w:r>
      <w:proofErr w:type="spellStart"/>
      <w:r w:rsidRPr="0069220F">
        <w:rPr>
          <w:rFonts w:eastAsia="Times New Roman" w:cs="Times New Roman"/>
          <w:b/>
          <w:bCs/>
          <w:szCs w:val="28"/>
          <w:lang w:eastAsia="ru-RU"/>
        </w:rPr>
        <w:t>Н</w:t>
      </w:r>
      <w:proofErr w:type="spellEnd"/>
      <w:r w:rsidRPr="0069220F">
        <w:rPr>
          <w:rFonts w:eastAsia="Times New Roman" w:cs="Times New Roman"/>
          <w:b/>
          <w:bCs/>
          <w:szCs w:val="28"/>
          <w:lang w:eastAsia="ru-RU"/>
        </w:rPr>
        <w:t xml:space="preserve"> Я</w:t>
      </w:r>
    </w:p>
    <w:p w:rsidR="0069220F" w:rsidRPr="0069220F" w:rsidRDefault="0069220F" w:rsidP="0069220F">
      <w:pPr>
        <w:spacing w:after="0"/>
        <w:jc w:val="center"/>
        <w:rPr>
          <w:rFonts w:eastAsia="Times New Roman" w:cs="Times New Roman"/>
          <w:sz w:val="32"/>
          <w:szCs w:val="24"/>
          <w:lang w:eastAsia="ru-RU"/>
        </w:rPr>
      </w:pPr>
    </w:p>
    <w:p w:rsidR="0069220F" w:rsidRPr="0069220F" w:rsidRDefault="0069220F" w:rsidP="0069220F">
      <w:pPr>
        <w:spacing w:after="0"/>
        <w:jc w:val="center"/>
        <w:rPr>
          <w:rFonts w:eastAsia="Times New Roman" w:cs="Times New Roman"/>
          <w:b/>
          <w:szCs w:val="28"/>
          <w:lang w:eastAsia="ru-RU"/>
        </w:rPr>
      </w:pPr>
      <w:r w:rsidRPr="0069220F">
        <w:rPr>
          <w:rFonts w:eastAsia="Times New Roman" w:cs="Times New Roman"/>
          <w:b/>
          <w:szCs w:val="28"/>
          <w:lang w:eastAsia="ru-RU"/>
        </w:rPr>
        <w:t>до проекту Закону України</w:t>
      </w:r>
    </w:p>
    <w:p w:rsidR="0069220F" w:rsidRPr="0069220F" w:rsidRDefault="0069220F" w:rsidP="0069220F">
      <w:pPr>
        <w:spacing w:after="0"/>
        <w:jc w:val="center"/>
        <w:rPr>
          <w:rFonts w:eastAsia="Calibri" w:cs="Times New Roman"/>
        </w:rPr>
      </w:pPr>
      <w:r w:rsidRPr="0069220F">
        <w:rPr>
          <w:rFonts w:eastAsia="Calibri" w:cs="Times New Roman"/>
          <w:b/>
          <w:szCs w:val="28"/>
        </w:rPr>
        <w:t>«</w:t>
      </w:r>
      <w:r w:rsidRPr="0069220F">
        <w:rPr>
          <w:rFonts w:eastAsia="Calibri" w:cs="Times New Roman"/>
          <w:b/>
          <w:color w:val="000000"/>
        </w:rPr>
        <w:t xml:space="preserve">Про внесення змін до </w:t>
      </w:r>
      <w:r w:rsidR="0078317B">
        <w:rPr>
          <w:rFonts w:eastAsia="Calibri" w:cs="Times New Roman"/>
          <w:b/>
          <w:color w:val="000000"/>
        </w:rPr>
        <w:t xml:space="preserve">деяких законів </w:t>
      </w:r>
      <w:r w:rsidRPr="0069220F">
        <w:rPr>
          <w:rFonts w:eastAsia="Calibri" w:cs="Times New Roman"/>
          <w:b/>
          <w:color w:val="000000"/>
        </w:rPr>
        <w:t>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w:t>
      </w:r>
      <w:r w:rsidRPr="0069220F">
        <w:rPr>
          <w:rFonts w:eastAsia="Calibri" w:cs="Times New Roman"/>
          <w:b/>
          <w:szCs w:val="28"/>
        </w:rPr>
        <w:t>»</w:t>
      </w:r>
    </w:p>
    <w:p w:rsidR="0069220F" w:rsidRPr="0069220F" w:rsidRDefault="0069220F" w:rsidP="0069220F">
      <w:pPr>
        <w:spacing w:after="0"/>
        <w:jc w:val="right"/>
        <w:rPr>
          <w:rFonts w:eastAsia="Calibri" w:cs="Times New Roman"/>
        </w:rPr>
      </w:pPr>
    </w:p>
    <w:p w:rsidR="0069220F" w:rsidRPr="0069220F" w:rsidRDefault="0069220F" w:rsidP="0069220F">
      <w:pPr>
        <w:spacing w:after="0"/>
        <w:jc w:val="right"/>
        <w:rPr>
          <w:rFonts w:eastAsia="Calibri" w:cs="Times New Roman"/>
          <w:lang w:val="ru-RU"/>
        </w:rPr>
      </w:pPr>
    </w:p>
    <w:p w:rsidR="0069220F" w:rsidRPr="0069220F" w:rsidRDefault="0069220F" w:rsidP="0069220F">
      <w:pPr>
        <w:spacing w:after="0"/>
        <w:ind w:firstLine="708"/>
        <w:rPr>
          <w:rFonts w:eastAsia="Calibri" w:cs="Times New Roman"/>
          <w:lang w:eastAsia="ru-RU"/>
        </w:rPr>
      </w:pPr>
      <w:r w:rsidRPr="0069220F">
        <w:rPr>
          <w:rFonts w:eastAsia="Calibri" w:cs="Times New Roman"/>
          <w:lang w:eastAsia="ru-RU"/>
        </w:rPr>
        <w:t>У Головному юридичному управлінні проаналізовано текст проекту Закону «</w:t>
      </w:r>
      <w:r w:rsidRPr="0069220F">
        <w:rPr>
          <w:rFonts w:eastAsia="Calibri" w:cs="Times New Roman"/>
          <w:color w:val="000000"/>
        </w:rPr>
        <w:t xml:space="preserve">Про внесення змін до </w:t>
      </w:r>
      <w:r w:rsidR="0078317B">
        <w:rPr>
          <w:rFonts w:eastAsia="Calibri" w:cs="Times New Roman"/>
          <w:color w:val="000000"/>
        </w:rPr>
        <w:t>деяких законів</w:t>
      </w:r>
      <w:r w:rsidRPr="0069220F">
        <w:rPr>
          <w:rFonts w:eastAsia="Calibri" w:cs="Times New Roman"/>
          <w:color w:val="000000"/>
        </w:rPr>
        <w:t xml:space="preserve">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 (далі – проект)</w:t>
      </w:r>
      <w:r w:rsidRPr="0069220F">
        <w:rPr>
          <w:rFonts w:eastAsia="Calibri" w:cs="Times New Roman"/>
          <w:lang w:eastAsia="ru-RU"/>
        </w:rPr>
        <w:t xml:space="preserve">, підготовлений Комітетом з питань економічної політики до розгляду в </w:t>
      </w:r>
      <w:r w:rsidR="0078317B">
        <w:rPr>
          <w:rFonts w:eastAsia="Calibri" w:cs="Times New Roman"/>
          <w:lang w:eastAsia="ru-RU"/>
        </w:rPr>
        <w:t xml:space="preserve">повторному </w:t>
      </w:r>
      <w:r w:rsidRPr="0069220F">
        <w:rPr>
          <w:rFonts w:eastAsia="Calibri" w:cs="Times New Roman"/>
          <w:lang w:eastAsia="ru-RU"/>
        </w:rPr>
        <w:t>другому читанні.</w:t>
      </w:r>
    </w:p>
    <w:p w:rsidR="0069220F" w:rsidRPr="0069220F" w:rsidRDefault="0069220F" w:rsidP="0069220F">
      <w:pPr>
        <w:spacing w:after="0"/>
        <w:rPr>
          <w:rFonts w:eastAsia="Calibri" w:cs="Times New Roman"/>
          <w:szCs w:val="28"/>
          <w:lang w:eastAsia="ru-RU"/>
        </w:rPr>
      </w:pPr>
    </w:p>
    <w:p w:rsidR="0069220F" w:rsidRPr="0069220F" w:rsidRDefault="0069220F" w:rsidP="0069220F">
      <w:pPr>
        <w:spacing w:after="0"/>
        <w:rPr>
          <w:rFonts w:eastAsia="Calibri" w:cs="Times New Roman"/>
        </w:rPr>
      </w:pPr>
      <w:r w:rsidRPr="0069220F">
        <w:rPr>
          <w:rFonts w:eastAsia="Calibri" w:cs="Times New Roman"/>
        </w:rPr>
        <w:tab/>
      </w:r>
      <w:r w:rsidR="00305401">
        <w:rPr>
          <w:rFonts w:eastAsia="Calibri" w:cs="Times New Roman"/>
        </w:rPr>
        <w:t>1</w:t>
      </w:r>
      <w:r w:rsidRPr="0069220F">
        <w:rPr>
          <w:rFonts w:eastAsia="Calibri" w:cs="Times New Roman"/>
        </w:rPr>
        <w:t xml:space="preserve">.  Відповідно до частини </w:t>
      </w:r>
      <w:r w:rsidR="00305401">
        <w:rPr>
          <w:rFonts w:eastAsia="Calibri" w:cs="Times New Roman"/>
        </w:rPr>
        <w:t xml:space="preserve">третьої </w:t>
      </w:r>
      <w:r w:rsidRPr="0069220F">
        <w:rPr>
          <w:rFonts w:eastAsia="Calibri" w:cs="Times New Roman"/>
        </w:rPr>
        <w:t xml:space="preserve">статті 40 </w:t>
      </w:r>
      <w:r w:rsidR="00305401">
        <w:rPr>
          <w:rFonts w:eastAsia="Calibri" w:cs="Times New Roman"/>
        </w:rPr>
        <w:t xml:space="preserve">Закону України «Про захист економічної конкуренції» (в редакції </w:t>
      </w:r>
      <w:r w:rsidRPr="0069220F">
        <w:rPr>
          <w:rFonts w:eastAsia="Calibri" w:cs="Times New Roman"/>
        </w:rPr>
        <w:t>проекту</w:t>
      </w:r>
      <w:r w:rsidR="00305401">
        <w:rPr>
          <w:rFonts w:eastAsia="Calibri" w:cs="Times New Roman"/>
        </w:rPr>
        <w:t>)</w:t>
      </w:r>
      <w:r w:rsidRPr="0069220F">
        <w:rPr>
          <w:rFonts w:eastAsia="Calibri" w:cs="Times New Roman"/>
        </w:rPr>
        <w:t xml:space="preserve"> «особи, які беруть участь у справі, зобов’язані добросовісно і </w:t>
      </w:r>
      <w:proofErr w:type="spellStart"/>
      <w:r w:rsidRPr="0069220F">
        <w:rPr>
          <w:rFonts w:eastAsia="Calibri" w:cs="Times New Roman"/>
        </w:rPr>
        <w:t>відповідально</w:t>
      </w:r>
      <w:proofErr w:type="spellEnd"/>
      <w:r w:rsidRPr="0069220F">
        <w:rPr>
          <w:rFonts w:eastAsia="Calibri" w:cs="Times New Roman"/>
        </w:rPr>
        <w:t xml:space="preserve"> користуватися належними їм правами, не допускати затягування розгляду справи». Разом з тим, </w:t>
      </w:r>
      <w:r w:rsidR="006539C3">
        <w:rPr>
          <w:rFonts w:eastAsia="Calibri" w:cs="Times New Roman"/>
        </w:rPr>
        <w:t>такі терміни як</w:t>
      </w:r>
      <w:r w:rsidRPr="0069220F">
        <w:rPr>
          <w:rFonts w:eastAsia="Calibri" w:cs="Times New Roman"/>
        </w:rPr>
        <w:t xml:space="preserve">  «добросовісність», «відповідальність», «затягування розгляду справи» є оціночними поняттями, а їхній зміст не розкрито ні в проекті, ні в чинному Законі. Відтак, на практиці це може призвести до необмеженості трактування та до різного їхнього застосування.  </w:t>
      </w:r>
    </w:p>
    <w:p w:rsidR="0069220F" w:rsidRPr="0069220F" w:rsidRDefault="0069220F" w:rsidP="0069220F">
      <w:pPr>
        <w:spacing w:after="0"/>
        <w:rPr>
          <w:rFonts w:eastAsia="Calibri" w:cs="Times New Roman"/>
        </w:rPr>
      </w:pPr>
      <w:r w:rsidRPr="0069220F">
        <w:rPr>
          <w:rFonts w:eastAsia="Calibri" w:cs="Times New Roman"/>
        </w:rPr>
        <w:t xml:space="preserve">   </w:t>
      </w:r>
      <w:r w:rsidRPr="0069220F">
        <w:rPr>
          <w:rFonts w:eastAsia="Calibri" w:cs="Times New Roman"/>
        </w:rPr>
        <w:tab/>
        <w:t xml:space="preserve">Крім того, проект не </w:t>
      </w:r>
      <w:r w:rsidR="006539C3">
        <w:rPr>
          <w:rFonts w:eastAsia="Calibri" w:cs="Times New Roman"/>
        </w:rPr>
        <w:t xml:space="preserve">містить </w:t>
      </w:r>
      <w:r w:rsidRPr="0069220F">
        <w:rPr>
          <w:rFonts w:eastAsia="Calibri" w:cs="Times New Roman"/>
        </w:rPr>
        <w:t xml:space="preserve">чітких правових наслідків невиконання особами, які беруть участь у справі, зазначених вище обов’язків.  </w:t>
      </w:r>
    </w:p>
    <w:p w:rsidR="0069220F" w:rsidRPr="0069220F" w:rsidRDefault="0069220F" w:rsidP="0069220F">
      <w:pPr>
        <w:spacing w:after="0"/>
        <w:rPr>
          <w:rFonts w:eastAsia="Calibri" w:cs="Times New Roman"/>
          <w:szCs w:val="28"/>
        </w:rPr>
      </w:pPr>
      <w:r w:rsidRPr="0069220F">
        <w:rPr>
          <w:rFonts w:eastAsia="Calibri" w:cs="Times New Roman"/>
        </w:rPr>
        <w:tab/>
        <w:t xml:space="preserve">Таким чином, </w:t>
      </w:r>
      <w:r w:rsidRPr="0069220F">
        <w:rPr>
          <w:rFonts w:eastAsia="Calibri" w:cs="Times New Roman"/>
          <w:szCs w:val="28"/>
        </w:rPr>
        <w:t>обраний у проекті нормотворчий підхід не відповідає вимогам щодо якості законів в контексті верховенства права (стаття 8 Конституції України), зокрема його елементу «юридична визначеність», котрий вимагає, щоб норми були чіткими і точними та спрямованими на забезпечення того, щоб ситуації та правовідносини залишалися передбачуваними. На необхідність дотримання принципу верховенства права неодноразово звертав увагу Конституційний Суд України (рішення від 29.06.2010 №17).</w:t>
      </w:r>
    </w:p>
    <w:p w:rsidR="0069220F" w:rsidRDefault="0069220F" w:rsidP="0069220F">
      <w:pPr>
        <w:spacing w:after="0"/>
        <w:rPr>
          <w:rFonts w:eastAsia="Calibri" w:cs="Times New Roman"/>
        </w:rPr>
      </w:pPr>
      <w:r w:rsidRPr="0069220F">
        <w:rPr>
          <w:rFonts w:eastAsia="Calibri" w:cs="Times New Roman"/>
        </w:rPr>
        <w:tab/>
        <w:t>Це ж зауваження стосується також частини восьмої статті 46</w:t>
      </w:r>
      <w:r w:rsidR="00C3031C">
        <w:rPr>
          <w:rFonts w:eastAsia="Calibri" w:cs="Times New Roman"/>
          <w:vertAlign w:val="superscript"/>
        </w:rPr>
        <w:t>2</w:t>
      </w:r>
      <w:r w:rsidRPr="0069220F">
        <w:rPr>
          <w:rFonts w:eastAsia="Calibri" w:cs="Times New Roman"/>
        </w:rPr>
        <w:t xml:space="preserve"> проекту, за якою «особи, які беруть участь у справі, зобов’язані добросовісно і </w:t>
      </w:r>
      <w:proofErr w:type="spellStart"/>
      <w:r w:rsidRPr="0069220F">
        <w:rPr>
          <w:rFonts w:eastAsia="Calibri" w:cs="Times New Roman"/>
        </w:rPr>
        <w:t>відповідально</w:t>
      </w:r>
      <w:proofErr w:type="spellEnd"/>
      <w:r w:rsidRPr="0069220F">
        <w:rPr>
          <w:rFonts w:eastAsia="Calibri" w:cs="Times New Roman"/>
        </w:rPr>
        <w:t xml:space="preserve"> </w:t>
      </w:r>
      <w:r w:rsidRPr="0069220F">
        <w:rPr>
          <w:rFonts w:eastAsia="Calibri" w:cs="Times New Roman"/>
        </w:rPr>
        <w:lastRenderedPageBreak/>
        <w:t xml:space="preserve">користуватися правом на проведення слухань та не допускати затягування розгляду справи».  </w:t>
      </w:r>
    </w:p>
    <w:p w:rsidR="004A377B" w:rsidRDefault="004A377B" w:rsidP="0069220F">
      <w:pPr>
        <w:spacing w:after="0"/>
        <w:rPr>
          <w:rFonts w:eastAsia="Calibri" w:cs="Times New Roman"/>
        </w:rPr>
      </w:pPr>
    </w:p>
    <w:p w:rsidR="0069220F" w:rsidRPr="0069220F" w:rsidRDefault="0069220F" w:rsidP="0069220F">
      <w:pPr>
        <w:spacing w:after="0"/>
        <w:rPr>
          <w:rFonts w:eastAsia="Calibri" w:cs="Times New Roman"/>
        </w:rPr>
      </w:pPr>
    </w:p>
    <w:p w:rsidR="0069220F" w:rsidRPr="0069220F" w:rsidRDefault="0069220F" w:rsidP="0069220F">
      <w:pPr>
        <w:spacing w:after="0"/>
        <w:rPr>
          <w:rFonts w:eastAsia="TimesNewRomanPSMT" w:cs="Times New Roman"/>
          <w:szCs w:val="28"/>
          <w:lang w:eastAsia="ru-RU"/>
        </w:rPr>
      </w:pPr>
      <w:r w:rsidRPr="0069220F">
        <w:rPr>
          <w:rFonts w:eastAsia="Calibri" w:cs="Times New Roman"/>
        </w:rPr>
        <w:tab/>
      </w:r>
      <w:r w:rsidR="00C3031C">
        <w:rPr>
          <w:rFonts w:eastAsia="Calibri" w:cs="Times New Roman"/>
        </w:rPr>
        <w:t>2</w:t>
      </w:r>
      <w:r w:rsidRPr="0069220F">
        <w:rPr>
          <w:rFonts w:eastAsia="Calibri" w:cs="Times New Roman"/>
        </w:rPr>
        <w:t xml:space="preserve">. Згідно із частиною сьомою статті </w:t>
      </w:r>
      <w:r w:rsidRPr="0069220F">
        <w:rPr>
          <w:rFonts w:eastAsia="TimesNewRomanPSMT" w:cs="Times New Roman"/>
          <w:szCs w:val="28"/>
          <w:lang w:eastAsia="ru-RU"/>
        </w:rPr>
        <w:t>46</w:t>
      </w:r>
      <w:r w:rsidR="00C3031C">
        <w:rPr>
          <w:rFonts w:eastAsia="TimesNewRomanPSMT" w:cs="Times New Roman"/>
          <w:szCs w:val="28"/>
          <w:vertAlign w:val="superscript"/>
          <w:lang w:eastAsia="ru-RU"/>
        </w:rPr>
        <w:t>2</w:t>
      </w:r>
      <w:r w:rsidRPr="0069220F">
        <w:rPr>
          <w:rFonts w:eastAsia="TimesNewRomanPSMT" w:cs="Times New Roman"/>
          <w:szCs w:val="28"/>
          <w:lang w:eastAsia="ru-RU"/>
        </w:rPr>
        <w:t xml:space="preserve"> проекту «порядок проведення слухань у справа</w:t>
      </w:r>
      <w:r w:rsidR="006539C3">
        <w:rPr>
          <w:rFonts w:eastAsia="TimesNewRomanPSMT" w:cs="Times New Roman"/>
          <w:szCs w:val="28"/>
          <w:lang w:eastAsia="ru-RU"/>
        </w:rPr>
        <w:t>х</w:t>
      </w:r>
      <w:r w:rsidRPr="0069220F">
        <w:rPr>
          <w:rFonts w:eastAsia="TimesNewRomanPSMT" w:cs="Times New Roman"/>
          <w:szCs w:val="28"/>
          <w:lang w:eastAsia="ru-RU"/>
        </w:rPr>
        <w:t xml:space="preserve"> про порушення законодавства про захист економічної конкуренції затверджується Антимонопольним комітетом України». </w:t>
      </w:r>
    </w:p>
    <w:p w:rsidR="0069220F" w:rsidRPr="0069220F" w:rsidRDefault="0069220F" w:rsidP="0069220F">
      <w:pPr>
        <w:spacing w:after="0"/>
        <w:ind w:firstLine="708"/>
        <w:rPr>
          <w:rFonts w:eastAsia="Calibri" w:cs="Times New Roman"/>
        </w:rPr>
      </w:pPr>
      <w:r w:rsidRPr="0069220F">
        <w:rPr>
          <w:rFonts w:eastAsia="TimesNewRomanPSMT" w:cs="Times New Roman"/>
          <w:szCs w:val="28"/>
          <w:lang w:eastAsia="ru-RU"/>
        </w:rPr>
        <w:t xml:space="preserve">Тобто, </w:t>
      </w:r>
      <w:r w:rsidRPr="0069220F">
        <w:rPr>
          <w:rFonts w:eastAsia="Calibri" w:cs="Times New Roman"/>
          <w:szCs w:val="28"/>
        </w:rPr>
        <w:t xml:space="preserve">суспільні відносини щодо проведення слухань регулюватимуться підзаконним нормативно-правовим актом України </w:t>
      </w:r>
      <w:r w:rsidRPr="0069220F">
        <w:rPr>
          <w:rFonts w:eastAsia="Calibri" w:cs="Times New Roman"/>
          <w:color w:val="000000"/>
        </w:rPr>
        <w:t>державного органу із спеціальним статусом</w:t>
      </w:r>
      <w:r w:rsidRPr="0069220F">
        <w:rPr>
          <w:rFonts w:eastAsia="Calibri" w:cs="Times New Roman"/>
          <w:szCs w:val="28"/>
        </w:rPr>
        <w:t xml:space="preserve">. Відтак, процесуальні дії органів Антимонопольного комітету України відбуватимуться у порядку та в спосіб, встановлений  Антимонопольним комітетом України, що не узгоджується із приписом частини другої статті 19 Конституції, оскільки </w:t>
      </w:r>
      <w:r w:rsidRPr="0069220F">
        <w:rPr>
          <w:rFonts w:eastAsia="Calibri" w:cs="Times New Roman"/>
        </w:rPr>
        <w:t xml:space="preserve">органи державної влади, їх посадові особи зобов’язані діяти лише на підставі, в межах повноважень та у спосіб, що передбачені Конституцією та </w:t>
      </w:r>
      <w:r w:rsidRPr="0069220F">
        <w:rPr>
          <w:rFonts w:eastAsia="Calibri" w:cs="Times New Roman"/>
          <w:u w:val="single"/>
        </w:rPr>
        <w:t>законами України</w:t>
      </w:r>
      <w:r w:rsidRPr="0069220F">
        <w:rPr>
          <w:rFonts w:eastAsia="Calibri" w:cs="Times New Roman"/>
        </w:rPr>
        <w:t xml:space="preserve">. </w:t>
      </w:r>
      <w:r w:rsidRPr="0069220F">
        <w:rPr>
          <w:rFonts w:eastAsia="Calibri" w:cs="Times New Roman"/>
          <w:szCs w:val="28"/>
        </w:rPr>
        <w:t xml:space="preserve"> </w:t>
      </w:r>
    </w:p>
    <w:p w:rsidR="0069220F" w:rsidRPr="0069220F" w:rsidRDefault="0069220F" w:rsidP="0069220F">
      <w:pPr>
        <w:spacing w:after="0"/>
        <w:rPr>
          <w:rFonts w:eastAsia="Calibri" w:cs="Times New Roman"/>
        </w:rPr>
      </w:pPr>
      <w:r w:rsidRPr="0069220F">
        <w:rPr>
          <w:rFonts w:eastAsia="Calibri" w:cs="Times New Roman"/>
        </w:rPr>
        <w:tab/>
        <w:t xml:space="preserve">Таким чином, зазначені суспільні відносини мали б бути повністю врегульовані в Законі України «Про захист економічної конкуренції».   </w:t>
      </w:r>
    </w:p>
    <w:p w:rsidR="0069220F" w:rsidRPr="0069220F" w:rsidRDefault="0069220F" w:rsidP="0069220F">
      <w:pPr>
        <w:spacing w:after="0"/>
        <w:rPr>
          <w:rFonts w:eastAsia="Calibri" w:cs="Times New Roman"/>
        </w:rPr>
      </w:pPr>
      <w:r w:rsidRPr="0069220F">
        <w:rPr>
          <w:rFonts w:eastAsia="TimesNewRomanPSMT" w:cs="Times New Roman"/>
          <w:szCs w:val="28"/>
          <w:lang w:eastAsia="ru-RU"/>
        </w:rPr>
        <w:tab/>
        <w:t xml:space="preserve">Це ж зауваження стосується </w:t>
      </w:r>
      <w:r w:rsidRPr="0069220F">
        <w:rPr>
          <w:rFonts w:eastAsia="Calibri" w:cs="Times New Roman"/>
        </w:rPr>
        <w:t>частини шостої статті 52</w:t>
      </w:r>
      <w:r w:rsidR="00C3031C">
        <w:rPr>
          <w:rFonts w:eastAsia="Calibri" w:cs="Times New Roman"/>
          <w:vertAlign w:val="superscript"/>
        </w:rPr>
        <w:t>1</w:t>
      </w:r>
      <w:r w:rsidRPr="0069220F">
        <w:rPr>
          <w:rFonts w:eastAsia="Calibri" w:cs="Times New Roman"/>
        </w:rPr>
        <w:t xml:space="preserve"> проекту, за якою «порядок подання заяв про звільнення від відповідальності, про зменшення розміру штрафів за надання доказів вчинення </w:t>
      </w:r>
      <w:proofErr w:type="spellStart"/>
      <w:r w:rsidRPr="0069220F">
        <w:rPr>
          <w:rFonts w:eastAsia="Calibri" w:cs="Times New Roman"/>
        </w:rPr>
        <w:t>антиконкурентних</w:t>
      </w:r>
      <w:proofErr w:type="spellEnd"/>
      <w:r w:rsidRPr="0069220F">
        <w:rPr>
          <w:rFonts w:eastAsia="Calibri" w:cs="Times New Roman"/>
        </w:rPr>
        <w:t xml:space="preserve"> узгоджених дій та надання такого зменшення встановлюється Антимонопольним комітетом України».  </w:t>
      </w:r>
    </w:p>
    <w:p w:rsidR="0069220F" w:rsidRPr="0069220F" w:rsidRDefault="0069220F" w:rsidP="0069220F">
      <w:pPr>
        <w:spacing w:after="0"/>
        <w:rPr>
          <w:rFonts w:eastAsia="Calibri" w:cs="Times New Roman"/>
        </w:rPr>
      </w:pPr>
    </w:p>
    <w:p w:rsidR="0069220F" w:rsidRPr="0069220F" w:rsidRDefault="0069220F" w:rsidP="0069220F">
      <w:pPr>
        <w:spacing w:after="0"/>
        <w:ind w:firstLine="567"/>
        <w:rPr>
          <w:rFonts w:eastAsia="Calibri" w:cs="Times New Roman"/>
          <w:szCs w:val="28"/>
          <w:lang w:eastAsia="ru-RU"/>
        </w:rPr>
      </w:pPr>
      <w:r w:rsidRPr="0069220F">
        <w:rPr>
          <w:rFonts w:eastAsia="Calibri" w:cs="Times New Roman"/>
        </w:rPr>
        <w:tab/>
      </w:r>
      <w:r w:rsidR="00B96C8A">
        <w:rPr>
          <w:rFonts w:eastAsia="Calibri" w:cs="Times New Roman"/>
        </w:rPr>
        <w:t>3</w:t>
      </w:r>
      <w:r w:rsidRPr="0069220F">
        <w:rPr>
          <w:rFonts w:eastAsia="Calibri" w:cs="Times New Roman"/>
        </w:rPr>
        <w:t xml:space="preserve">. </w:t>
      </w:r>
      <w:r w:rsidRPr="0069220F">
        <w:rPr>
          <w:rFonts w:eastAsia="Calibri" w:cs="Times New Roman"/>
          <w:szCs w:val="28"/>
          <w:lang w:eastAsia="ru-RU"/>
        </w:rPr>
        <w:t>Частиною п’ятою статті 37</w:t>
      </w:r>
      <w:r w:rsidR="00B96C8A">
        <w:rPr>
          <w:rFonts w:eastAsia="Calibri" w:cs="Times New Roman"/>
          <w:szCs w:val="28"/>
          <w:vertAlign w:val="superscript"/>
          <w:lang w:eastAsia="ru-RU"/>
        </w:rPr>
        <w:t>1</w:t>
      </w:r>
      <w:r w:rsidRPr="0069220F">
        <w:rPr>
          <w:rFonts w:eastAsia="Calibri" w:cs="Times New Roman"/>
          <w:szCs w:val="28"/>
          <w:lang w:eastAsia="ru-RU"/>
        </w:rPr>
        <w:t xml:space="preserve"> проекту передбачено, що «</w:t>
      </w:r>
      <w:r w:rsidRPr="0069220F">
        <w:rPr>
          <w:rFonts w:eastAsia="Calibri" w:cs="Times New Roman"/>
          <w:szCs w:val="28"/>
          <w:u w:val="single"/>
          <w:lang w:eastAsia="ru-RU"/>
        </w:rPr>
        <w:t>у разі потреби</w:t>
      </w:r>
      <w:r w:rsidRPr="0069220F">
        <w:rPr>
          <w:rFonts w:eastAsia="Calibri" w:cs="Times New Roman"/>
          <w:szCs w:val="28"/>
          <w:lang w:eastAsia="ru-RU"/>
        </w:rPr>
        <w:t xml:space="preserve">  одержання інформації, яка не була надана на вимогу органів Антимонопольного комітету України, проведення слухання у справі, а також з метою забезпечення особам, які беруть участь у справі, достатнього строку для надання зауважень щодо висновків, викладених у поданні з попередніми висновками у справі, державний уповноважений Антимонопольного комітету України, голова територіального відділення … </w:t>
      </w:r>
      <w:r w:rsidRPr="0069220F">
        <w:rPr>
          <w:rFonts w:eastAsia="Calibri" w:cs="Times New Roman"/>
          <w:szCs w:val="28"/>
          <w:u w:val="single"/>
          <w:lang w:eastAsia="ru-RU"/>
        </w:rPr>
        <w:t>можуть</w:t>
      </w:r>
      <w:r w:rsidRPr="0069220F">
        <w:rPr>
          <w:rFonts w:eastAsia="Calibri" w:cs="Times New Roman"/>
          <w:szCs w:val="28"/>
          <w:lang w:eastAsia="ru-RU"/>
        </w:rPr>
        <w:t xml:space="preserve"> продовжити строк розгляду справи…». </w:t>
      </w:r>
    </w:p>
    <w:p w:rsidR="0069220F" w:rsidRPr="0069220F" w:rsidRDefault="006539C3" w:rsidP="0069220F">
      <w:pPr>
        <w:spacing w:after="0"/>
        <w:ind w:firstLine="708"/>
        <w:rPr>
          <w:rFonts w:eastAsia="Calibri" w:cs="Times New Roman"/>
        </w:rPr>
      </w:pPr>
      <w:r>
        <w:rPr>
          <w:rFonts w:eastAsia="Calibri" w:cs="Times New Roman"/>
        </w:rPr>
        <w:t>В</w:t>
      </w:r>
      <w:r w:rsidR="0069220F" w:rsidRPr="0069220F">
        <w:rPr>
          <w:rFonts w:eastAsia="Calibri" w:cs="Times New Roman"/>
        </w:rPr>
        <w:t xml:space="preserve">икористання в нормі проекту правової конструкції «державний уповноважений Антимонопольного комітету України, голова територіального відділення можуть…», </w:t>
      </w:r>
      <w:r>
        <w:rPr>
          <w:rFonts w:eastAsia="Calibri" w:cs="Times New Roman"/>
        </w:rPr>
        <w:t xml:space="preserve">унеможливлює виникнення ситуації, коли </w:t>
      </w:r>
      <w:r w:rsidR="0069220F" w:rsidRPr="0069220F">
        <w:rPr>
          <w:rFonts w:eastAsia="Calibri" w:cs="Times New Roman"/>
        </w:rPr>
        <w:t>органи Антимонопольного комітету України «на свій розсуд» продовжуватимуть або не продовжуватимуть строк розгляду справи. Однак, такі дії Антимонопольного комітету України не узгоджуються із частиною другою статті 19 Конституції України, за якою органи державної влади, їх посадові особи зобов’язані діяти лише на підставі, в межах повноважень та у спосіб, що передбачені Конституцією та законами України.</w:t>
      </w:r>
    </w:p>
    <w:p w:rsidR="0069220F" w:rsidRPr="0069220F" w:rsidRDefault="006539C3" w:rsidP="0069220F">
      <w:pPr>
        <w:spacing w:after="0"/>
        <w:ind w:firstLine="567"/>
        <w:rPr>
          <w:rFonts w:eastAsia="Calibri" w:cs="Times New Roman"/>
          <w:szCs w:val="28"/>
          <w:lang w:eastAsia="ru-RU"/>
        </w:rPr>
      </w:pPr>
      <w:r>
        <w:rPr>
          <w:rFonts w:eastAsia="Calibri" w:cs="Times New Roman"/>
        </w:rPr>
        <w:t xml:space="preserve">У зв’язку з цим, </w:t>
      </w:r>
      <w:r w:rsidR="0069220F" w:rsidRPr="0069220F">
        <w:rPr>
          <w:rFonts w:eastAsia="Calibri" w:cs="Times New Roman"/>
        </w:rPr>
        <w:t>зазначене положення статті проекту доцільно було б викласти в такій редакції: «</w:t>
      </w:r>
      <w:r w:rsidR="0069220F" w:rsidRPr="0069220F">
        <w:rPr>
          <w:rFonts w:eastAsia="Calibri" w:cs="Times New Roman"/>
          <w:szCs w:val="28"/>
          <w:lang w:eastAsia="ru-RU"/>
        </w:rPr>
        <w:t xml:space="preserve">… державний уповноважений Антимонопольного комітету України, голова територіального відділення … </w:t>
      </w:r>
      <w:r w:rsidR="0069220F" w:rsidRPr="0069220F">
        <w:rPr>
          <w:rFonts w:eastAsia="Calibri" w:cs="Times New Roman"/>
          <w:szCs w:val="28"/>
          <w:u w:val="single"/>
          <w:lang w:eastAsia="ru-RU"/>
        </w:rPr>
        <w:t>продовжують</w:t>
      </w:r>
      <w:r w:rsidR="0069220F" w:rsidRPr="0069220F">
        <w:rPr>
          <w:rFonts w:eastAsia="Calibri" w:cs="Times New Roman"/>
          <w:szCs w:val="28"/>
          <w:lang w:eastAsia="ru-RU"/>
        </w:rPr>
        <w:t xml:space="preserve"> строк розгляду справи…». </w:t>
      </w:r>
    </w:p>
    <w:p w:rsidR="0069220F" w:rsidRPr="0069220F" w:rsidRDefault="0069220F" w:rsidP="0069220F">
      <w:pPr>
        <w:spacing w:after="0"/>
        <w:ind w:firstLine="708"/>
        <w:rPr>
          <w:rFonts w:eastAsia="Calibri" w:cs="Times New Roman"/>
          <w:szCs w:val="28"/>
        </w:rPr>
      </w:pPr>
      <w:r w:rsidRPr="0069220F">
        <w:rPr>
          <w:rFonts w:eastAsia="Calibri" w:cs="Times New Roman"/>
        </w:rPr>
        <w:t>Це ж зауваження стосується й інших статей проекту, а саме: с</w:t>
      </w:r>
      <w:r w:rsidRPr="0069220F">
        <w:rPr>
          <w:rFonts w:eastAsia="Calibri" w:cs="Times New Roman"/>
          <w:szCs w:val="28"/>
        </w:rPr>
        <w:t xml:space="preserve">тосовно того, що «розгляд справи </w:t>
      </w:r>
      <w:r w:rsidRPr="0069220F">
        <w:rPr>
          <w:rFonts w:eastAsia="Calibri" w:cs="Times New Roman"/>
          <w:szCs w:val="28"/>
          <w:u w:val="single"/>
        </w:rPr>
        <w:t>може</w:t>
      </w:r>
      <w:r w:rsidRPr="0069220F">
        <w:rPr>
          <w:rFonts w:eastAsia="Calibri" w:cs="Times New Roman"/>
          <w:szCs w:val="28"/>
        </w:rPr>
        <w:t xml:space="preserve"> бути зупинено з власної ініціативи відповідного органу </w:t>
      </w:r>
      <w:r w:rsidRPr="0069220F">
        <w:rPr>
          <w:rFonts w:eastAsia="Calibri" w:cs="Times New Roman"/>
          <w:szCs w:val="28"/>
        </w:rPr>
        <w:lastRenderedPageBreak/>
        <w:t>Антимонопольного комітету України …» (частина друга статті 38), «…</w:t>
      </w:r>
      <w:r w:rsidRPr="0069220F">
        <w:rPr>
          <w:rFonts w:eastAsia="Calibri" w:cs="Times New Roman"/>
          <w:szCs w:val="28"/>
          <w:u w:val="single"/>
        </w:rPr>
        <w:t>можуть</w:t>
      </w:r>
      <w:r w:rsidRPr="0069220F">
        <w:rPr>
          <w:rFonts w:eastAsia="Calibri" w:cs="Times New Roman"/>
          <w:szCs w:val="28"/>
        </w:rPr>
        <w:t xml:space="preserve"> проводити консультації» (частина перша статті 41</w:t>
      </w:r>
      <w:r w:rsidR="00B96C8A">
        <w:rPr>
          <w:rFonts w:eastAsia="Calibri" w:cs="Times New Roman"/>
          <w:szCs w:val="28"/>
          <w:vertAlign w:val="superscript"/>
        </w:rPr>
        <w:t>2</w:t>
      </w:r>
      <w:r w:rsidRPr="0069220F">
        <w:rPr>
          <w:rFonts w:eastAsia="Calibri" w:cs="Times New Roman"/>
          <w:szCs w:val="28"/>
        </w:rPr>
        <w:t>), «…</w:t>
      </w:r>
      <w:r w:rsidRPr="0069220F">
        <w:rPr>
          <w:rFonts w:eastAsia="Calibri" w:cs="Times New Roman"/>
          <w:szCs w:val="28"/>
          <w:u w:val="single"/>
        </w:rPr>
        <w:t>може</w:t>
      </w:r>
      <w:r w:rsidRPr="0069220F">
        <w:rPr>
          <w:rFonts w:eastAsia="Calibri" w:cs="Times New Roman"/>
          <w:szCs w:val="28"/>
        </w:rPr>
        <w:t xml:space="preserve"> розкрити інформацію про хід та зміст переговорів…» (частина восьма статті 46</w:t>
      </w:r>
      <w:r w:rsidR="00B96C8A">
        <w:rPr>
          <w:rFonts w:eastAsia="Calibri" w:cs="Times New Roman"/>
          <w:szCs w:val="28"/>
          <w:vertAlign w:val="superscript"/>
        </w:rPr>
        <w:t>1</w:t>
      </w:r>
      <w:r w:rsidRPr="0069220F">
        <w:rPr>
          <w:rFonts w:eastAsia="Calibri" w:cs="Times New Roman"/>
          <w:szCs w:val="28"/>
        </w:rPr>
        <w:t xml:space="preserve">). </w:t>
      </w:r>
    </w:p>
    <w:p w:rsidR="0069220F" w:rsidRPr="0069220F" w:rsidRDefault="0069220F" w:rsidP="0069220F">
      <w:pPr>
        <w:spacing w:after="0"/>
        <w:ind w:firstLine="708"/>
        <w:rPr>
          <w:rFonts w:eastAsia="Calibri" w:cs="Times New Roman"/>
          <w:lang w:eastAsia="ru-RU"/>
        </w:rPr>
      </w:pPr>
    </w:p>
    <w:p w:rsidR="0069220F" w:rsidRPr="0069220F" w:rsidRDefault="00B96C8A" w:rsidP="0069220F">
      <w:pPr>
        <w:spacing w:after="0"/>
        <w:ind w:firstLine="708"/>
        <w:rPr>
          <w:rFonts w:eastAsia="TimesNewRomanPSMT" w:cs="Times New Roman"/>
          <w:szCs w:val="28"/>
          <w:lang w:eastAsia="ru-RU"/>
        </w:rPr>
      </w:pPr>
      <w:r>
        <w:rPr>
          <w:rFonts w:eastAsia="Calibri" w:cs="Times New Roman"/>
          <w:lang w:eastAsia="ru-RU"/>
        </w:rPr>
        <w:t>4</w:t>
      </w:r>
      <w:r w:rsidR="0069220F" w:rsidRPr="0069220F">
        <w:rPr>
          <w:rFonts w:eastAsia="Calibri" w:cs="Times New Roman"/>
          <w:lang w:eastAsia="ru-RU"/>
        </w:rPr>
        <w:t>. Статтею 46</w:t>
      </w:r>
      <w:r>
        <w:rPr>
          <w:rFonts w:eastAsia="Calibri" w:cs="Times New Roman"/>
          <w:vertAlign w:val="superscript"/>
          <w:lang w:eastAsia="ru-RU"/>
        </w:rPr>
        <w:t>1</w:t>
      </w:r>
      <w:r w:rsidR="0069220F" w:rsidRPr="0069220F">
        <w:rPr>
          <w:rFonts w:eastAsia="Calibri" w:cs="Times New Roman"/>
          <w:lang w:eastAsia="ru-RU"/>
        </w:rPr>
        <w:t xml:space="preserve"> проекту запроваджується новий правовий інститут – </w:t>
      </w:r>
      <w:r w:rsidR="0069220F" w:rsidRPr="0069220F">
        <w:rPr>
          <w:rFonts w:eastAsia="TimesNewRomanPSMT" w:cs="Times New Roman"/>
          <w:szCs w:val="28"/>
          <w:lang w:eastAsia="ru-RU"/>
        </w:rPr>
        <w:t xml:space="preserve">«процедура врегулювання у справах про </w:t>
      </w:r>
      <w:proofErr w:type="spellStart"/>
      <w:r w:rsidR="0069220F" w:rsidRPr="0069220F">
        <w:rPr>
          <w:rFonts w:eastAsia="TimesNewRomanPSMT" w:cs="Times New Roman"/>
          <w:szCs w:val="28"/>
          <w:lang w:eastAsia="ru-RU"/>
        </w:rPr>
        <w:t>антиконкурентні</w:t>
      </w:r>
      <w:proofErr w:type="spellEnd"/>
      <w:r w:rsidR="0069220F" w:rsidRPr="0069220F">
        <w:rPr>
          <w:rFonts w:eastAsia="TimesNewRomanPSMT" w:cs="Times New Roman"/>
          <w:szCs w:val="28"/>
          <w:lang w:eastAsia="ru-RU"/>
        </w:rPr>
        <w:t xml:space="preserve"> узгодженні дії». Відтак, у разі досягнення згоди між відповідачами та органом Антимонопольного комітету України «щодо істотних умов врегулювання…», відповідачами підписується угода про врегулювання, а Комітетом ця угода направляється для затвердження до господарського суду. </w:t>
      </w:r>
    </w:p>
    <w:p w:rsidR="0069220F" w:rsidRPr="0069220F" w:rsidRDefault="0069220F" w:rsidP="0069220F">
      <w:pPr>
        <w:spacing w:after="0"/>
        <w:ind w:firstLine="708"/>
        <w:rPr>
          <w:rFonts w:eastAsia="TimesNewRomanPSMT" w:cs="Times New Roman"/>
          <w:szCs w:val="28"/>
          <w:lang w:eastAsia="ru-RU"/>
        </w:rPr>
      </w:pPr>
      <w:r w:rsidRPr="0069220F">
        <w:rPr>
          <w:rFonts w:eastAsia="TimesNewRomanPSMT" w:cs="Times New Roman"/>
          <w:szCs w:val="28"/>
          <w:lang w:eastAsia="ru-RU"/>
        </w:rPr>
        <w:t>Відтак, частиною тринадцятою цієї статті проекту передбачаються умови, за яких господарський суд відмовляє у затвердженні угоди про врегулювання.</w:t>
      </w:r>
    </w:p>
    <w:p w:rsidR="0069220F" w:rsidRPr="0069220F" w:rsidRDefault="0069220F" w:rsidP="0069220F">
      <w:pPr>
        <w:spacing w:after="0"/>
        <w:ind w:firstLine="708"/>
        <w:rPr>
          <w:rFonts w:eastAsia="Calibri" w:cs="Times New Roman"/>
        </w:rPr>
      </w:pPr>
      <w:r w:rsidRPr="0069220F">
        <w:rPr>
          <w:rFonts w:eastAsia="TimesNewRomanPSMT" w:cs="Times New Roman"/>
          <w:szCs w:val="28"/>
          <w:lang w:eastAsia="ru-RU"/>
        </w:rPr>
        <w:t>Однак, це суперечить статті 1 Господарського кодексу України, за якою Г</w:t>
      </w:r>
      <w:r w:rsidRPr="0069220F">
        <w:rPr>
          <w:rFonts w:eastAsia="Calibri" w:cs="Times New Roman"/>
          <w:color w:val="000000"/>
        </w:rPr>
        <w:t>осподарський процесуальний кодекс України визначає юрисдикцію та повноваження господарських судів, встановлює порядок здійснення судочинства у господарських судах. Крім того, це не узгоджується із статтею 3 цього Кодексу, оскільки с</w:t>
      </w:r>
      <w:r w:rsidRPr="0069220F">
        <w:rPr>
          <w:rFonts w:eastAsia="Calibri" w:cs="Times New Roman"/>
        </w:rPr>
        <w:t xml:space="preserve">удочинство в господарських судах здійснюється відповідно до Конституції України, цього Кодексу, Закону України «Про міжнародне приватне право», Закону України «Про відновлення платоспроможності боржника або визнання його банкрутом», а також міжнародних договорів, згода на обов’язковість яких надана Верховною Радою України. </w:t>
      </w:r>
    </w:p>
    <w:p w:rsidR="0069220F" w:rsidRPr="0069220F" w:rsidRDefault="0069220F" w:rsidP="0069220F">
      <w:pPr>
        <w:spacing w:after="0"/>
        <w:ind w:firstLine="708"/>
        <w:rPr>
          <w:rFonts w:cs="Times New Roman"/>
          <w:color w:val="000000"/>
          <w:szCs w:val="28"/>
        </w:rPr>
      </w:pPr>
      <w:r w:rsidRPr="0069220F">
        <w:rPr>
          <w:rFonts w:eastAsia="Calibri" w:cs="Times New Roman"/>
        </w:rPr>
        <w:t xml:space="preserve">Звертаємо також увагу на те, що положення частини тринадцятої цієї статті проекту, за якими «порядок затвердження судом угоди про врегулювання між відповідачем та органом Антимонопольного комітету України визначається Господарським процесуальним кодексом України»,  </w:t>
      </w:r>
      <w:r w:rsidRPr="0069220F">
        <w:rPr>
          <w:rFonts w:eastAsia="Calibri" w:cs="Times New Roman"/>
          <w:color w:val="000000"/>
          <w:szCs w:val="28"/>
        </w:rPr>
        <w:t>не відповідає вимогам статті 90 Регламенту Верховної Ради України, яка вимагає, що як</w:t>
      </w:r>
      <w:r w:rsidRPr="0069220F">
        <w:rPr>
          <w:rFonts w:cs="Times New Roman"/>
          <w:color w:val="000000"/>
          <w:szCs w:val="28"/>
        </w:rPr>
        <w:t>що для реалізації положень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w:t>
      </w:r>
    </w:p>
    <w:p w:rsidR="0069220F" w:rsidRPr="0069220F" w:rsidRDefault="0069220F" w:rsidP="0069220F">
      <w:pPr>
        <w:spacing w:after="0"/>
        <w:ind w:firstLine="708"/>
        <w:rPr>
          <w:rFonts w:eastAsia="Calibri" w:cs="Times New Roman"/>
          <w:lang w:eastAsia="ru-RU"/>
        </w:rPr>
      </w:pPr>
    </w:p>
    <w:p w:rsidR="0069220F" w:rsidRPr="0069220F" w:rsidRDefault="0069220F" w:rsidP="00B96C8A">
      <w:pPr>
        <w:spacing w:after="0"/>
        <w:rPr>
          <w:rFonts w:eastAsia="Times New Roman" w:cs="Times New Roman"/>
          <w:color w:val="000000"/>
          <w:szCs w:val="28"/>
          <w:lang w:eastAsia="ru-RU"/>
        </w:rPr>
      </w:pPr>
      <w:r w:rsidRPr="0069220F">
        <w:rPr>
          <w:rFonts w:eastAsia="Calibri" w:cs="Times New Roman"/>
        </w:rPr>
        <w:tab/>
      </w:r>
      <w:r w:rsidR="00B96C8A">
        <w:rPr>
          <w:rFonts w:eastAsia="Calibri" w:cs="Times New Roman"/>
        </w:rPr>
        <w:t>5</w:t>
      </w:r>
      <w:r w:rsidRPr="0069220F">
        <w:rPr>
          <w:rFonts w:eastAsia="Calibri" w:cs="Times New Roman"/>
        </w:rPr>
        <w:t>.</w:t>
      </w:r>
      <w:r w:rsidRPr="0069220F">
        <w:rPr>
          <w:rFonts w:ascii="Arial" w:eastAsia="Times New Roman" w:hAnsi="Arial" w:cs="Times New Roman"/>
          <w:sz w:val="24"/>
          <w:szCs w:val="24"/>
          <w:lang w:eastAsia="ru-RU"/>
        </w:rPr>
        <w:t xml:space="preserve"> </w:t>
      </w:r>
      <w:r w:rsidRPr="0069220F">
        <w:rPr>
          <w:rFonts w:ascii="Times New Roman CYR" w:eastAsia="Times New Roman" w:cs="Times New Roman"/>
          <w:szCs w:val="28"/>
          <w:lang w:eastAsia="ru-RU"/>
        </w:rPr>
        <w:t>Принагідно</w:t>
      </w:r>
      <w:r w:rsidRPr="0069220F">
        <w:rPr>
          <w:rFonts w:ascii="Times New Roman CYR" w:eastAsia="Times New Roman" w:cs="Times New Roman"/>
          <w:szCs w:val="28"/>
          <w:lang w:eastAsia="ru-RU"/>
        </w:rPr>
        <w:t xml:space="preserve"> </w:t>
      </w:r>
      <w:r w:rsidRPr="0069220F">
        <w:rPr>
          <w:rFonts w:ascii="Times New Roman CYR" w:eastAsia="Times New Roman" w:cs="Times New Roman"/>
          <w:szCs w:val="28"/>
          <w:lang w:eastAsia="ru-RU"/>
        </w:rPr>
        <w:t>зазначимо</w:t>
      </w:r>
      <w:r w:rsidRPr="0069220F">
        <w:rPr>
          <w:rFonts w:ascii="Times New Roman CYR" w:eastAsia="Times New Roman" w:cs="Times New Roman"/>
          <w:szCs w:val="28"/>
          <w:lang w:eastAsia="ru-RU"/>
        </w:rPr>
        <w:t xml:space="preserve">, </w:t>
      </w:r>
      <w:r w:rsidRPr="0069220F">
        <w:rPr>
          <w:rFonts w:ascii="Times New Roman CYR" w:eastAsia="Times New Roman" w:cs="Times New Roman"/>
          <w:szCs w:val="28"/>
          <w:lang w:eastAsia="ru-RU"/>
        </w:rPr>
        <w:t>що</w:t>
      </w:r>
      <w:r w:rsidRPr="0069220F">
        <w:rPr>
          <w:rFonts w:ascii="Times New Roman CYR" w:eastAsia="Times New Roman" w:cs="Times New Roman"/>
          <w:szCs w:val="28"/>
          <w:lang w:eastAsia="ru-RU"/>
        </w:rPr>
        <w:t xml:space="preserve"> </w:t>
      </w:r>
      <w:r w:rsidRPr="0069220F">
        <w:rPr>
          <w:rFonts w:ascii="Times New Roman CYR" w:eastAsia="Times New Roman" w:cs="Times New Roman"/>
          <w:szCs w:val="28"/>
          <w:lang w:eastAsia="ru-RU"/>
        </w:rPr>
        <w:t>чинний</w:t>
      </w:r>
      <w:r w:rsidRPr="0069220F">
        <w:rPr>
          <w:rFonts w:ascii="Times New Roman CYR" w:eastAsia="Times New Roman" w:cs="Times New Roman"/>
          <w:szCs w:val="28"/>
          <w:lang w:eastAsia="ru-RU"/>
        </w:rPr>
        <w:t xml:space="preserve"> </w:t>
      </w:r>
      <w:r w:rsidRPr="0069220F">
        <w:rPr>
          <w:rFonts w:ascii="Times New Roman CYR" w:eastAsia="Times New Roman" w:cs="Times New Roman"/>
          <w:szCs w:val="28"/>
          <w:lang w:eastAsia="ru-RU"/>
        </w:rPr>
        <w:t>Закон</w:t>
      </w:r>
      <w:r w:rsidRPr="0069220F">
        <w:rPr>
          <w:rFonts w:ascii="Times New Roman CYR" w:eastAsia="Times New Roman" w:cs="Times New Roman"/>
          <w:szCs w:val="28"/>
          <w:lang w:eastAsia="ru-RU"/>
        </w:rPr>
        <w:t xml:space="preserve"> </w:t>
      </w:r>
      <w:r w:rsidRPr="0069220F">
        <w:rPr>
          <w:rFonts w:ascii="Times New Roman CYR" w:eastAsia="Times New Roman" w:cs="Times New Roman"/>
          <w:szCs w:val="28"/>
          <w:lang w:eastAsia="ru-RU"/>
        </w:rPr>
        <w:t>України</w:t>
      </w:r>
      <w:r w:rsidRPr="0069220F">
        <w:rPr>
          <w:rFonts w:ascii="Times New Roman CYR" w:eastAsia="Times New Roman" w:cs="Times New Roman"/>
          <w:szCs w:val="28"/>
          <w:lang w:eastAsia="ru-RU"/>
        </w:rPr>
        <w:t xml:space="preserve"> </w:t>
      </w:r>
      <w:r w:rsidRPr="0069220F">
        <w:rPr>
          <w:rFonts w:eastAsia="Calibri" w:cs="Times New Roman"/>
          <w:szCs w:val="28"/>
          <w:lang w:eastAsia="ru-RU"/>
        </w:rPr>
        <w:t>«Про захист економічної конкуренції», а також цей проект використовують термінологію, яка має дискусійний характер. Зокрема, у проекті йдеться про те, що особи, які беруть участь у справі, мають право «</w:t>
      </w:r>
      <w:r w:rsidRPr="0069220F">
        <w:rPr>
          <w:rFonts w:eastAsia="Times New Roman" w:cs="Times New Roman"/>
          <w:color w:val="000000"/>
          <w:szCs w:val="28"/>
          <w:lang w:eastAsia="ru-RU"/>
        </w:rPr>
        <w:t xml:space="preserve">знати, ознаки якого передбаченого законом порушення законодавства про захист економічної конкуренції є підставою для розгляду справи …, в яких діях відповідача вбачаються ознаки порушення» (стаття 40 проекту). «Завданням розгляду справ про порушення законодавства … є </w:t>
      </w:r>
      <w:r w:rsidR="00B96C8A">
        <w:rPr>
          <w:rFonts w:eastAsia="Times New Roman" w:cs="Times New Roman"/>
          <w:color w:val="000000"/>
          <w:szCs w:val="28"/>
          <w:lang w:eastAsia="ru-RU"/>
        </w:rPr>
        <w:t xml:space="preserve">… </w:t>
      </w:r>
      <w:r w:rsidRPr="0069220F">
        <w:rPr>
          <w:rFonts w:eastAsia="Times New Roman" w:cs="Times New Roman"/>
          <w:color w:val="000000"/>
          <w:szCs w:val="28"/>
          <w:lang w:eastAsia="ru-RU"/>
        </w:rPr>
        <w:t>з’ясування … фактичних обставин у зв’язку із встановленням ознак порушення…» (стаття 35</w:t>
      </w:r>
      <w:r w:rsidR="00B96C8A">
        <w:rPr>
          <w:rFonts w:eastAsia="Times New Roman" w:cs="Times New Roman"/>
          <w:color w:val="000000"/>
          <w:szCs w:val="28"/>
          <w:vertAlign w:val="superscript"/>
          <w:lang w:eastAsia="ru-RU"/>
        </w:rPr>
        <w:t>1</w:t>
      </w:r>
      <w:r w:rsidR="00B96C8A">
        <w:rPr>
          <w:rFonts w:eastAsia="Times New Roman" w:cs="Times New Roman"/>
          <w:color w:val="000000"/>
          <w:szCs w:val="28"/>
          <w:lang w:eastAsia="ru-RU"/>
        </w:rPr>
        <w:t xml:space="preserve"> проекту</w:t>
      </w:r>
      <w:r w:rsidRPr="0069220F">
        <w:rPr>
          <w:rFonts w:eastAsia="Times New Roman" w:cs="Times New Roman"/>
          <w:color w:val="000000"/>
          <w:szCs w:val="28"/>
          <w:lang w:eastAsia="ru-RU"/>
        </w:rPr>
        <w:t xml:space="preserve">). На нашу думку, в проекті, а також чинному Законі мало б йтися про те, що підставою розгляду справи є виявлення порушення норм закону, а не ознак порушення. </w:t>
      </w:r>
    </w:p>
    <w:p w:rsidR="0069220F" w:rsidRPr="004A377B" w:rsidRDefault="0069220F" w:rsidP="0069220F">
      <w:pPr>
        <w:spacing w:after="0"/>
        <w:ind w:firstLine="708"/>
        <w:rPr>
          <w:rFonts w:eastAsia="Times New Roman" w:cs="Times New Roman"/>
          <w:szCs w:val="28"/>
          <w:lang w:eastAsia="ru-RU"/>
        </w:rPr>
      </w:pPr>
      <w:r w:rsidRPr="0069220F">
        <w:rPr>
          <w:rFonts w:eastAsia="Times New Roman" w:cs="Times New Roman"/>
          <w:color w:val="000000"/>
          <w:szCs w:val="28"/>
          <w:lang w:eastAsia="ru-RU"/>
        </w:rPr>
        <w:t xml:space="preserve">Звертаємо також увагу, що редакційно невдалими є й інші положення проекту, які, на наш погляд, потребують уточнення, а саме: «прийняття </w:t>
      </w:r>
      <w:r w:rsidRPr="0069220F">
        <w:rPr>
          <w:rFonts w:eastAsia="Times New Roman" w:cs="Times New Roman"/>
          <w:color w:val="000000"/>
          <w:szCs w:val="28"/>
          <w:lang w:eastAsia="ru-RU"/>
        </w:rPr>
        <w:lastRenderedPageBreak/>
        <w:t>справедливого рішення у справі» (статті 35</w:t>
      </w:r>
      <w:r w:rsidR="00C12814">
        <w:rPr>
          <w:rFonts w:eastAsia="Times New Roman" w:cs="Times New Roman"/>
          <w:color w:val="000000"/>
          <w:szCs w:val="28"/>
          <w:vertAlign w:val="superscript"/>
          <w:lang w:eastAsia="ru-RU"/>
        </w:rPr>
        <w:t>1</w:t>
      </w:r>
      <w:r w:rsidRPr="0069220F">
        <w:rPr>
          <w:rFonts w:eastAsia="Times New Roman" w:cs="Times New Roman"/>
          <w:color w:val="000000"/>
          <w:szCs w:val="28"/>
          <w:lang w:eastAsia="ru-RU"/>
        </w:rPr>
        <w:t xml:space="preserve">), </w:t>
      </w:r>
      <w:r w:rsidR="001A6946">
        <w:rPr>
          <w:rFonts w:eastAsia="Times New Roman" w:cs="Times New Roman"/>
          <w:szCs w:val="28"/>
          <w:lang w:eastAsia="ru-RU"/>
        </w:rPr>
        <w:t>«достатній строк» (стаття 37</w:t>
      </w:r>
      <w:r w:rsidR="001A6946">
        <w:rPr>
          <w:rFonts w:eastAsia="Times New Roman" w:cs="Times New Roman"/>
          <w:szCs w:val="28"/>
          <w:vertAlign w:val="superscript"/>
          <w:lang w:eastAsia="ru-RU"/>
        </w:rPr>
        <w:t>1</w:t>
      </w:r>
      <w:r w:rsidR="001A6946">
        <w:rPr>
          <w:rFonts w:eastAsia="Times New Roman" w:cs="Times New Roman"/>
          <w:szCs w:val="28"/>
          <w:lang w:eastAsia="ru-RU"/>
        </w:rPr>
        <w:t xml:space="preserve">), </w:t>
      </w:r>
      <w:r w:rsidR="001A6946">
        <w:rPr>
          <w:rFonts w:eastAsia="Times New Roman" w:cs="Times New Roman"/>
          <w:color w:val="000000"/>
          <w:szCs w:val="28"/>
          <w:lang w:eastAsia="ru-RU"/>
        </w:rPr>
        <w:t>«можуть розглядатися негайно» (стаття 41</w:t>
      </w:r>
      <w:r w:rsidR="001A6946">
        <w:rPr>
          <w:rFonts w:eastAsia="Times New Roman" w:cs="Times New Roman"/>
          <w:color w:val="000000"/>
          <w:szCs w:val="28"/>
          <w:vertAlign w:val="superscript"/>
          <w:lang w:eastAsia="ru-RU"/>
        </w:rPr>
        <w:t>1</w:t>
      </w:r>
      <w:r w:rsidR="001A6946">
        <w:rPr>
          <w:rFonts w:eastAsia="Times New Roman" w:cs="Times New Roman"/>
          <w:color w:val="000000"/>
          <w:szCs w:val="28"/>
          <w:lang w:eastAsia="ru-RU"/>
        </w:rPr>
        <w:t xml:space="preserve">), </w:t>
      </w:r>
      <w:r w:rsidRPr="0069220F">
        <w:rPr>
          <w:rFonts w:eastAsia="Times New Roman" w:cs="Times New Roman"/>
          <w:color w:val="000000"/>
          <w:szCs w:val="28"/>
          <w:lang w:eastAsia="ru-RU"/>
        </w:rPr>
        <w:t>«підозрюване порушення» (стаття 41</w:t>
      </w:r>
      <w:r w:rsidR="00C12814">
        <w:rPr>
          <w:rFonts w:eastAsia="Times New Roman" w:cs="Times New Roman"/>
          <w:color w:val="000000"/>
          <w:szCs w:val="28"/>
          <w:vertAlign w:val="superscript"/>
          <w:lang w:eastAsia="ru-RU"/>
        </w:rPr>
        <w:t>2</w:t>
      </w:r>
      <w:r w:rsidRPr="0069220F">
        <w:rPr>
          <w:rFonts w:eastAsia="Times New Roman" w:cs="Times New Roman"/>
          <w:color w:val="000000"/>
          <w:szCs w:val="28"/>
          <w:lang w:eastAsia="ru-RU"/>
        </w:rPr>
        <w:t>), «використання органами Антимонопольного комітету України своїх ресурсів» (стаття 46</w:t>
      </w:r>
      <w:r w:rsidR="00C12814">
        <w:rPr>
          <w:rFonts w:eastAsia="Times New Roman" w:cs="Times New Roman"/>
          <w:color w:val="000000"/>
          <w:szCs w:val="28"/>
          <w:vertAlign w:val="superscript"/>
          <w:lang w:eastAsia="ru-RU"/>
        </w:rPr>
        <w:t>1</w:t>
      </w:r>
      <w:r w:rsidRPr="0069220F">
        <w:rPr>
          <w:rFonts w:eastAsia="Times New Roman" w:cs="Times New Roman"/>
          <w:color w:val="000000"/>
          <w:szCs w:val="28"/>
          <w:lang w:eastAsia="ru-RU"/>
        </w:rPr>
        <w:t xml:space="preserve">), </w:t>
      </w:r>
      <w:r w:rsidR="001A6946">
        <w:rPr>
          <w:rFonts w:eastAsia="Times New Roman" w:cs="Times New Roman"/>
          <w:color w:val="000000"/>
          <w:szCs w:val="28"/>
          <w:lang w:eastAsia="ru-RU"/>
        </w:rPr>
        <w:t xml:space="preserve">«зроблені відповідачем твердження під час переговорів» </w:t>
      </w:r>
      <w:r w:rsidR="001A6946" w:rsidRPr="0069220F">
        <w:rPr>
          <w:rFonts w:eastAsia="Times New Roman" w:cs="Times New Roman"/>
          <w:color w:val="000000"/>
          <w:szCs w:val="28"/>
          <w:lang w:eastAsia="ru-RU"/>
        </w:rPr>
        <w:t>(стаття 46</w:t>
      </w:r>
      <w:r w:rsidR="001A6946">
        <w:rPr>
          <w:rFonts w:eastAsia="Times New Roman" w:cs="Times New Roman"/>
          <w:color w:val="000000"/>
          <w:szCs w:val="28"/>
          <w:vertAlign w:val="superscript"/>
          <w:lang w:eastAsia="ru-RU"/>
        </w:rPr>
        <w:t>1</w:t>
      </w:r>
      <w:r w:rsidR="001A6946" w:rsidRPr="0069220F">
        <w:rPr>
          <w:rFonts w:eastAsia="Times New Roman" w:cs="Times New Roman"/>
          <w:color w:val="000000"/>
          <w:szCs w:val="28"/>
          <w:lang w:eastAsia="ru-RU"/>
        </w:rPr>
        <w:t xml:space="preserve">), </w:t>
      </w:r>
      <w:r w:rsidR="001A6946">
        <w:rPr>
          <w:rFonts w:eastAsia="Times New Roman" w:cs="Times New Roman"/>
          <w:color w:val="000000"/>
          <w:szCs w:val="28"/>
          <w:lang w:eastAsia="ru-RU"/>
        </w:rPr>
        <w:t>«є очевидною неможливість виконання … обов’язків» (</w:t>
      </w:r>
      <w:r w:rsidR="001A6946" w:rsidRPr="0069220F">
        <w:rPr>
          <w:rFonts w:eastAsia="Times New Roman" w:cs="Times New Roman"/>
          <w:color w:val="000000"/>
          <w:szCs w:val="28"/>
          <w:lang w:eastAsia="ru-RU"/>
        </w:rPr>
        <w:t>стаття 46</w:t>
      </w:r>
      <w:r w:rsidR="001A6946">
        <w:rPr>
          <w:rFonts w:eastAsia="Times New Roman" w:cs="Times New Roman"/>
          <w:color w:val="000000"/>
          <w:szCs w:val="28"/>
          <w:vertAlign w:val="superscript"/>
          <w:lang w:eastAsia="ru-RU"/>
        </w:rPr>
        <w:t>1</w:t>
      </w:r>
      <w:r w:rsidR="001A6946" w:rsidRPr="0069220F">
        <w:rPr>
          <w:rFonts w:eastAsia="Times New Roman" w:cs="Times New Roman"/>
          <w:color w:val="000000"/>
          <w:szCs w:val="28"/>
          <w:lang w:eastAsia="ru-RU"/>
        </w:rPr>
        <w:t xml:space="preserve">), </w:t>
      </w:r>
      <w:r w:rsidR="001A6946">
        <w:rPr>
          <w:rFonts w:eastAsia="Times New Roman" w:cs="Times New Roman"/>
          <w:color w:val="000000"/>
          <w:szCs w:val="28"/>
          <w:lang w:eastAsia="ru-RU"/>
        </w:rPr>
        <w:t>«основний зміст зауважень»</w:t>
      </w:r>
      <w:r w:rsidR="001A6946" w:rsidRPr="001A6946">
        <w:rPr>
          <w:rFonts w:eastAsia="Times New Roman" w:cs="Times New Roman"/>
          <w:color w:val="000000"/>
          <w:szCs w:val="28"/>
          <w:lang w:eastAsia="ru-RU"/>
        </w:rPr>
        <w:t xml:space="preserve"> (стаття 46</w:t>
      </w:r>
      <w:r w:rsidR="001A6946">
        <w:rPr>
          <w:rFonts w:eastAsia="Times New Roman" w:cs="Times New Roman"/>
          <w:color w:val="000000"/>
          <w:szCs w:val="28"/>
          <w:vertAlign w:val="superscript"/>
          <w:lang w:eastAsia="ru-RU"/>
        </w:rPr>
        <w:t>2</w:t>
      </w:r>
      <w:r w:rsidR="001A6946" w:rsidRPr="001A6946">
        <w:rPr>
          <w:rFonts w:eastAsia="Times New Roman" w:cs="Times New Roman"/>
          <w:color w:val="000000"/>
          <w:szCs w:val="28"/>
          <w:lang w:eastAsia="ru-RU"/>
        </w:rPr>
        <w:t xml:space="preserve">), </w:t>
      </w:r>
      <w:r w:rsidRPr="0069220F">
        <w:rPr>
          <w:rFonts w:eastAsia="Times New Roman" w:cs="Times New Roman"/>
          <w:color w:val="000000"/>
          <w:szCs w:val="28"/>
          <w:lang w:eastAsia="ru-RU"/>
        </w:rPr>
        <w:t>«</w:t>
      </w:r>
      <w:r w:rsidRPr="0069220F">
        <w:rPr>
          <w:rFonts w:eastAsia="Times New Roman" w:cs="Times New Roman"/>
          <w:szCs w:val="28"/>
          <w:lang w:eastAsia="ru-RU"/>
        </w:rPr>
        <w:t>оприлюднені Антимонопольним комітетом України підходи до визначення розмірів штрафів» (статт</w:t>
      </w:r>
      <w:r w:rsidR="004251F4">
        <w:rPr>
          <w:rFonts w:eastAsia="Times New Roman" w:cs="Times New Roman"/>
          <w:szCs w:val="28"/>
          <w:lang w:eastAsia="ru-RU"/>
        </w:rPr>
        <w:t>я</w:t>
      </w:r>
      <w:r w:rsidRPr="0069220F">
        <w:rPr>
          <w:rFonts w:eastAsia="Times New Roman" w:cs="Times New Roman"/>
          <w:szCs w:val="28"/>
          <w:lang w:eastAsia="ru-RU"/>
        </w:rPr>
        <w:t xml:space="preserve"> 52</w:t>
      </w:r>
      <w:r w:rsidR="00C12814">
        <w:rPr>
          <w:rFonts w:eastAsia="Times New Roman" w:cs="Times New Roman"/>
          <w:szCs w:val="28"/>
          <w:vertAlign w:val="superscript"/>
          <w:lang w:eastAsia="ru-RU"/>
        </w:rPr>
        <w:t>1</w:t>
      </w:r>
      <w:r w:rsidR="004A377B">
        <w:rPr>
          <w:rFonts w:eastAsia="Times New Roman" w:cs="Times New Roman"/>
          <w:szCs w:val="28"/>
          <w:lang w:eastAsia="ru-RU"/>
        </w:rPr>
        <w:t>)</w:t>
      </w:r>
      <w:r w:rsidR="001A6946">
        <w:rPr>
          <w:rFonts w:eastAsia="Times New Roman" w:cs="Times New Roman"/>
          <w:szCs w:val="28"/>
          <w:lang w:eastAsia="ru-RU"/>
        </w:rPr>
        <w:t>.</w:t>
      </w:r>
      <w:r w:rsidR="004A377B">
        <w:rPr>
          <w:rFonts w:eastAsia="Times New Roman" w:cs="Times New Roman"/>
          <w:szCs w:val="28"/>
          <w:lang w:eastAsia="ru-RU"/>
        </w:rPr>
        <w:t xml:space="preserve"> </w:t>
      </w:r>
    </w:p>
    <w:p w:rsidR="0069220F" w:rsidRPr="0069220F" w:rsidRDefault="0069220F" w:rsidP="0069220F">
      <w:pPr>
        <w:spacing w:after="0"/>
        <w:rPr>
          <w:rFonts w:ascii="Times New Roman CYR" w:eastAsia="Times New Roman" w:cs="Times New Roman"/>
          <w:szCs w:val="28"/>
          <w:lang w:eastAsia="ru-RU"/>
        </w:rPr>
      </w:pPr>
      <w:r w:rsidRPr="0069220F">
        <w:rPr>
          <w:rFonts w:ascii="Times New Roman CYR" w:eastAsia="Times New Roman" w:cs="Times New Roman"/>
          <w:szCs w:val="28"/>
          <w:lang w:eastAsia="ru-RU"/>
        </w:rPr>
        <w:tab/>
        <w:t xml:space="preserve"> </w:t>
      </w:r>
    </w:p>
    <w:p w:rsidR="0069220F" w:rsidRPr="0069220F" w:rsidRDefault="0069220F" w:rsidP="0069220F">
      <w:pPr>
        <w:spacing w:after="0"/>
        <w:ind w:firstLine="567"/>
        <w:rPr>
          <w:rFonts w:eastAsia="TimesNewRomanPSMT" w:cs="Times New Roman"/>
          <w:szCs w:val="28"/>
          <w:lang w:eastAsia="ru-RU"/>
        </w:rPr>
      </w:pPr>
      <w:r w:rsidRPr="0069220F">
        <w:rPr>
          <w:rFonts w:ascii="Times New Roman CYR" w:eastAsia="Times New Roman" w:cs="Times New Roman"/>
          <w:szCs w:val="28"/>
          <w:lang w:eastAsia="ru-RU"/>
        </w:rPr>
        <w:t xml:space="preserve"> </w:t>
      </w:r>
      <w:r w:rsidRPr="0069220F">
        <w:rPr>
          <w:rFonts w:eastAsia="Calibri" w:cs="Times New Roman"/>
          <w:szCs w:val="28"/>
          <w:lang w:eastAsia="ru-RU"/>
        </w:rPr>
        <w:t xml:space="preserve"> </w:t>
      </w:r>
      <w:r w:rsidR="00C12814">
        <w:rPr>
          <w:rFonts w:eastAsia="Calibri" w:cs="Times New Roman"/>
          <w:szCs w:val="28"/>
          <w:lang w:eastAsia="ru-RU"/>
        </w:rPr>
        <w:t>6</w:t>
      </w:r>
      <w:r w:rsidRPr="0069220F">
        <w:rPr>
          <w:rFonts w:eastAsia="TimesNewRomanPSMT" w:cs="Times New Roman"/>
          <w:szCs w:val="28"/>
          <w:lang w:eastAsia="ru-RU"/>
        </w:rPr>
        <w:t xml:space="preserve">. Законопроект потребує </w:t>
      </w:r>
      <w:r w:rsidR="00C12814">
        <w:rPr>
          <w:rFonts w:eastAsia="TimesNewRomanPSMT" w:cs="Times New Roman"/>
          <w:szCs w:val="28"/>
          <w:lang w:eastAsia="ru-RU"/>
        </w:rPr>
        <w:t xml:space="preserve">суттєвого </w:t>
      </w:r>
      <w:r w:rsidRPr="0069220F">
        <w:rPr>
          <w:rFonts w:eastAsia="TimesNewRomanPSMT" w:cs="Times New Roman"/>
          <w:szCs w:val="28"/>
          <w:lang w:eastAsia="ru-RU"/>
        </w:rPr>
        <w:t xml:space="preserve">техніко-юридичного доопрацювання. </w:t>
      </w:r>
    </w:p>
    <w:p w:rsidR="0069220F" w:rsidRPr="0069220F" w:rsidRDefault="0069220F" w:rsidP="0069220F">
      <w:pPr>
        <w:spacing w:after="0"/>
        <w:ind w:firstLine="708"/>
        <w:rPr>
          <w:rFonts w:eastAsia="Calibri" w:cs="Times New Roman"/>
          <w:szCs w:val="28"/>
          <w:lang w:eastAsia="ru-RU"/>
        </w:rPr>
      </w:pPr>
      <w:r w:rsidRPr="0069220F">
        <w:rPr>
          <w:rFonts w:eastAsia="TimesNewRomanPSMT" w:cs="Times New Roman"/>
          <w:szCs w:val="28"/>
          <w:lang w:eastAsia="ru-RU"/>
        </w:rPr>
        <w:t xml:space="preserve"> </w:t>
      </w:r>
    </w:p>
    <w:p w:rsidR="0069220F" w:rsidRPr="0069220F" w:rsidRDefault="0069220F" w:rsidP="0069220F">
      <w:pPr>
        <w:spacing w:after="0"/>
        <w:rPr>
          <w:rFonts w:ascii="Arial" w:eastAsia="Times New Roman" w:hAnsi="Arial" w:cs="Times New Roman"/>
          <w:sz w:val="24"/>
          <w:szCs w:val="24"/>
          <w:lang w:eastAsia="ru-RU"/>
        </w:rPr>
      </w:pPr>
    </w:p>
    <w:p w:rsidR="0069220F" w:rsidRPr="0069220F" w:rsidRDefault="0069220F" w:rsidP="0069220F">
      <w:pPr>
        <w:spacing w:after="0"/>
        <w:rPr>
          <w:rFonts w:ascii="Arial" w:eastAsia="Times New Roman" w:hAnsi="Arial" w:cs="Times New Roman"/>
          <w:sz w:val="24"/>
          <w:szCs w:val="24"/>
          <w:lang w:eastAsia="ru-RU"/>
        </w:rPr>
      </w:pPr>
    </w:p>
    <w:p w:rsidR="0069220F" w:rsidRPr="0069220F" w:rsidRDefault="009F0DCF" w:rsidP="0069220F">
      <w:pPr>
        <w:spacing w:after="0"/>
        <w:ind w:firstLine="567"/>
        <w:rPr>
          <w:rFonts w:eastAsia="Times New Roman" w:cs="Times New Roman"/>
          <w:b/>
          <w:bCs/>
          <w:szCs w:val="28"/>
          <w:lang w:eastAsia="ru-RU"/>
        </w:rPr>
      </w:pPr>
      <w:r>
        <w:rPr>
          <w:rFonts w:eastAsia="Times New Roman" w:cs="Times New Roman"/>
          <w:b/>
          <w:bCs/>
          <w:szCs w:val="28"/>
          <w:lang w:eastAsia="ru-RU"/>
        </w:rPr>
        <w:t>Перший з</w:t>
      </w:r>
      <w:r w:rsidR="0069220F" w:rsidRPr="0069220F">
        <w:rPr>
          <w:rFonts w:eastAsia="Times New Roman" w:cs="Times New Roman"/>
          <w:b/>
          <w:bCs/>
          <w:szCs w:val="28"/>
          <w:lang w:eastAsia="ru-RU"/>
        </w:rPr>
        <w:t>аступник Керівника</w:t>
      </w:r>
    </w:p>
    <w:p w:rsidR="0069220F" w:rsidRPr="0069220F" w:rsidRDefault="0069220F" w:rsidP="0069220F">
      <w:pPr>
        <w:spacing w:after="0"/>
        <w:ind w:firstLine="567"/>
        <w:rPr>
          <w:rFonts w:eastAsia="Times New Roman" w:cs="Times New Roman"/>
          <w:szCs w:val="28"/>
          <w:lang w:eastAsia="ru-RU"/>
        </w:rPr>
      </w:pPr>
      <w:r w:rsidRPr="0069220F">
        <w:rPr>
          <w:rFonts w:eastAsia="Times New Roman" w:cs="Times New Roman"/>
          <w:b/>
          <w:bCs/>
          <w:szCs w:val="28"/>
          <w:lang w:eastAsia="ru-RU"/>
        </w:rPr>
        <w:t xml:space="preserve">Головного управління </w:t>
      </w:r>
      <w:r w:rsidRPr="0069220F">
        <w:rPr>
          <w:rFonts w:eastAsia="Times New Roman" w:cs="Times New Roman"/>
          <w:b/>
          <w:bCs/>
          <w:szCs w:val="28"/>
          <w:lang w:eastAsia="ru-RU"/>
        </w:rPr>
        <w:tab/>
      </w:r>
      <w:r w:rsidRPr="0069220F">
        <w:rPr>
          <w:rFonts w:eastAsia="Times New Roman" w:cs="Times New Roman"/>
          <w:b/>
          <w:bCs/>
          <w:szCs w:val="28"/>
          <w:lang w:eastAsia="ru-RU"/>
        </w:rPr>
        <w:tab/>
      </w:r>
      <w:r w:rsidRPr="0069220F">
        <w:rPr>
          <w:rFonts w:eastAsia="Times New Roman" w:cs="Times New Roman"/>
          <w:b/>
          <w:bCs/>
          <w:szCs w:val="28"/>
          <w:lang w:eastAsia="ru-RU"/>
        </w:rPr>
        <w:tab/>
      </w:r>
      <w:r w:rsidRPr="0069220F">
        <w:rPr>
          <w:rFonts w:eastAsia="Times New Roman" w:cs="Times New Roman"/>
          <w:b/>
          <w:bCs/>
          <w:szCs w:val="28"/>
          <w:lang w:eastAsia="ru-RU"/>
        </w:rPr>
        <w:tab/>
      </w:r>
      <w:r w:rsidRPr="0069220F">
        <w:rPr>
          <w:rFonts w:eastAsia="Times New Roman" w:cs="Times New Roman"/>
          <w:b/>
          <w:bCs/>
          <w:szCs w:val="28"/>
          <w:lang w:eastAsia="ru-RU"/>
        </w:rPr>
        <w:tab/>
        <w:t xml:space="preserve">                </w:t>
      </w:r>
      <w:r w:rsidR="009F0DCF">
        <w:rPr>
          <w:rFonts w:eastAsia="Times New Roman" w:cs="Times New Roman"/>
          <w:b/>
          <w:bCs/>
          <w:szCs w:val="28"/>
          <w:lang w:eastAsia="ru-RU"/>
        </w:rPr>
        <w:t>А.НИЖНИК</w:t>
      </w:r>
    </w:p>
    <w:p w:rsidR="0069220F" w:rsidRPr="0069220F" w:rsidRDefault="0069220F" w:rsidP="0069220F">
      <w:pPr>
        <w:spacing w:after="0"/>
        <w:jc w:val="left"/>
        <w:rPr>
          <w:rFonts w:eastAsia="Times New Roman" w:cs="Times New Roman"/>
          <w:szCs w:val="28"/>
          <w:lang w:eastAsia="ru-RU"/>
        </w:rPr>
      </w:pPr>
    </w:p>
    <w:p w:rsidR="00B60FCA" w:rsidRDefault="00B60FCA"/>
    <w:sectPr w:rsidR="00B60FCA" w:rsidSect="003218F5">
      <w:footerReference w:type="default" r:id="rId6"/>
      <w:pgSz w:w="11906" w:h="16838"/>
      <w:pgMar w:top="850" w:right="850" w:bottom="850"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42" w:rsidRDefault="001E3742">
      <w:pPr>
        <w:spacing w:after="0"/>
      </w:pPr>
      <w:r>
        <w:separator/>
      </w:r>
    </w:p>
  </w:endnote>
  <w:endnote w:type="continuationSeparator" w:id="0">
    <w:p w:rsidR="001E3742" w:rsidRDefault="001E3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65082"/>
      <w:docPartObj>
        <w:docPartGallery w:val="Page Numbers (Bottom of Page)"/>
        <w:docPartUnique/>
      </w:docPartObj>
    </w:sdtPr>
    <w:sdtEndPr/>
    <w:sdtContent>
      <w:p w:rsidR="003218F5" w:rsidRDefault="00C12814">
        <w:pPr>
          <w:pStyle w:val="a3"/>
          <w:jc w:val="center"/>
        </w:pPr>
        <w:r>
          <w:fldChar w:fldCharType="begin"/>
        </w:r>
        <w:r>
          <w:instrText>PAGE   \* MERGEFORMAT</w:instrText>
        </w:r>
        <w:r>
          <w:fldChar w:fldCharType="separate"/>
        </w:r>
        <w:r w:rsidR="00656FD8" w:rsidRPr="00656FD8">
          <w:rPr>
            <w:noProof/>
            <w:lang w:val="ru-RU"/>
          </w:rPr>
          <w:t>4</w:t>
        </w:r>
        <w:r>
          <w:fldChar w:fldCharType="end"/>
        </w:r>
      </w:p>
    </w:sdtContent>
  </w:sdt>
  <w:p w:rsidR="003218F5" w:rsidRDefault="00656F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42" w:rsidRDefault="001E3742">
      <w:pPr>
        <w:spacing w:after="0"/>
      </w:pPr>
      <w:r>
        <w:separator/>
      </w:r>
    </w:p>
  </w:footnote>
  <w:footnote w:type="continuationSeparator" w:id="0">
    <w:p w:rsidR="001E3742" w:rsidRDefault="001E37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0F"/>
    <w:rsid w:val="001A6946"/>
    <w:rsid w:val="001E3742"/>
    <w:rsid w:val="00305401"/>
    <w:rsid w:val="004251F4"/>
    <w:rsid w:val="004A377B"/>
    <w:rsid w:val="006539C3"/>
    <w:rsid w:val="00656FD8"/>
    <w:rsid w:val="0069220F"/>
    <w:rsid w:val="0078317B"/>
    <w:rsid w:val="009269D3"/>
    <w:rsid w:val="009F0DCF"/>
    <w:rsid w:val="00B60FCA"/>
    <w:rsid w:val="00B96C8A"/>
    <w:rsid w:val="00C12814"/>
    <w:rsid w:val="00C30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5AC3"/>
  <w15:chartTrackingRefBased/>
  <w15:docId w15:val="{01CC9C99-D367-401F-96D1-A30B4FB2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9220F"/>
    <w:pPr>
      <w:tabs>
        <w:tab w:val="center" w:pos="4819"/>
        <w:tab w:val="right" w:pos="9639"/>
      </w:tabs>
      <w:spacing w:after="0"/>
    </w:pPr>
  </w:style>
  <w:style w:type="character" w:customStyle="1" w:styleId="a4">
    <w:name w:val="Нижній колонтитул Знак"/>
    <w:basedOn w:val="a0"/>
    <w:link w:val="a3"/>
    <w:uiPriority w:val="99"/>
    <w:semiHidden/>
    <w:rsid w:val="0069220F"/>
  </w:style>
  <w:style w:type="paragraph" w:styleId="a5">
    <w:name w:val="Balloon Text"/>
    <w:basedOn w:val="a"/>
    <w:link w:val="a6"/>
    <w:uiPriority w:val="99"/>
    <w:semiHidden/>
    <w:unhideWhenUsed/>
    <w:rsid w:val="004251F4"/>
    <w:pPr>
      <w:spacing w:after="0"/>
    </w:pPr>
    <w:rPr>
      <w:rFonts w:ascii="Segoe UI" w:hAnsi="Segoe UI" w:cs="Segoe UI"/>
      <w:sz w:val="18"/>
      <w:szCs w:val="18"/>
    </w:rPr>
  </w:style>
  <w:style w:type="character" w:customStyle="1" w:styleId="a6">
    <w:name w:val="Текст у виносці Знак"/>
    <w:basedOn w:val="a0"/>
    <w:link w:val="a5"/>
    <w:uiPriority w:val="99"/>
    <w:semiHidden/>
    <w:rsid w:val="00425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5360</Words>
  <Characters>3056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Кармаза Олександра Олександрівна</dc:creator>
  <cp:keywords/>
  <dc:description/>
  <cp:lastModifiedBy>Кармаза Олександра Олександрівна</cp:lastModifiedBy>
  <cp:revision>2</cp:revision>
  <cp:lastPrinted>2018-12-03T07:20:00Z</cp:lastPrinted>
  <dcterms:created xsi:type="dcterms:W3CDTF">2018-12-03T07:37:00Z</dcterms:created>
  <dcterms:modified xsi:type="dcterms:W3CDTF">2018-12-03T07:37:00Z</dcterms:modified>
</cp:coreProperties>
</file>