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E7" w:rsidRDefault="00AC0EE7" w:rsidP="00C41673">
      <w:pPr>
        <w:spacing w:line="240" w:lineRule="exact"/>
        <w:jc w:val="center"/>
        <w:outlineLvl w:val="0"/>
        <w:rPr>
          <w:b/>
          <w:sz w:val="28"/>
          <w:szCs w:val="28"/>
          <w:lang w:val="en-US" w:eastAsia="ru-RU"/>
        </w:rPr>
      </w:pPr>
    </w:p>
    <w:p w:rsidR="000778B5" w:rsidRPr="00C30608" w:rsidRDefault="000778B5" w:rsidP="00C41673">
      <w:pPr>
        <w:spacing w:line="240" w:lineRule="exact"/>
        <w:jc w:val="center"/>
        <w:outlineLvl w:val="0"/>
        <w:rPr>
          <w:b/>
          <w:sz w:val="28"/>
          <w:szCs w:val="28"/>
          <w:lang w:eastAsia="ru-RU"/>
        </w:rPr>
      </w:pPr>
      <w:r w:rsidRPr="00C30608">
        <w:rPr>
          <w:b/>
          <w:sz w:val="28"/>
          <w:szCs w:val="28"/>
          <w:lang w:eastAsia="ru-RU"/>
        </w:rPr>
        <w:t>Порівняльна таблиця</w:t>
      </w:r>
    </w:p>
    <w:p w:rsidR="000778B5" w:rsidRPr="00C30608" w:rsidRDefault="000778B5" w:rsidP="00FD171E">
      <w:pPr>
        <w:pStyle w:val="StyleProp2"/>
        <w:spacing w:after="0" w:line="240" w:lineRule="auto"/>
        <w:ind w:firstLine="0"/>
        <w:jc w:val="center"/>
        <w:rPr>
          <w:b/>
          <w:sz w:val="28"/>
          <w:szCs w:val="28"/>
        </w:rPr>
      </w:pPr>
      <w:r w:rsidRPr="00C30608">
        <w:rPr>
          <w:b/>
          <w:sz w:val="28"/>
          <w:szCs w:val="28"/>
        </w:rPr>
        <w:t>до проекту Закону України «</w:t>
      </w:r>
      <w:r w:rsidR="00FD171E" w:rsidRPr="00C30608">
        <w:rPr>
          <w:b/>
          <w:sz w:val="28"/>
          <w:szCs w:val="28"/>
        </w:rPr>
        <w:t>Про  внесення змін до розділу XX «Перехідні положення» Податкового кодексу України у зв</w:t>
      </w:r>
      <w:r w:rsidR="008A6575" w:rsidRPr="00C30608">
        <w:rPr>
          <w:b/>
          <w:sz w:val="28"/>
          <w:szCs w:val="28"/>
        </w:rPr>
        <w:t>’</w:t>
      </w:r>
      <w:r w:rsidR="00FD171E" w:rsidRPr="00C30608">
        <w:rPr>
          <w:b/>
          <w:sz w:val="28"/>
          <w:szCs w:val="28"/>
        </w:rPr>
        <w:t xml:space="preserve">язку </w:t>
      </w:r>
      <w:r w:rsidR="001E3342" w:rsidRPr="00C30608">
        <w:rPr>
          <w:b/>
          <w:bCs/>
          <w:sz w:val="28"/>
          <w:szCs w:val="28"/>
          <w:shd w:val="clear" w:color="auto" w:fill="FFFFFF"/>
        </w:rPr>
        <w:t>з підготовкою та проведенням в Україні фінальних матчів Ліги чемпіонів УЄФА та Ліги чемпіонів УЄФА серед жінок сезону 2017/2018</w:t>
      </w:r>
      <w:r w:rsidRPr="00C30608">
        <w:rPr>
          <w:b/>
          <w:sz w:val="28"/>
          <w:szCs w:val="28"/>
        </w:rPr>
        <w:t>»</w:t>
      </w:r>
    </w:p>
    <w:p w:rsidR="00AC0EE7" w:rsidRPr="00C30608" w:rsidRDefault="00AC0EE7" w:rsidP="00FD171E">
      <w:pPr>
        <w:pStyle w:val="StyleProp2"/>
        <w:spacing w:after="0" w:line="240" w:lineRule="auto"/>
        <w:ind w:firstLine="0"/>
        <w:jc w:val="center"/>
        <w:rPr>
          <w:b/>
          <w:sz w:val="28"/>
          <w:szCs w:val="28"/>
        </w:rPr>
      </w:pPr>
    </w:p>
    <w:p w:rsidR="000778B5" w:rsidRPr="00C30608" w:rsidRDefault="000778B5" w:rsidP="000778B5">
      <w:pPr>
        <w:spacing w:line="240" w:lineRule="exact"/>
        <w:rPr>
          <w:b/>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4"/>
        <w:gridCol w:w="7584"/>
      </w:tblGrid>
      <w:tr w:rsidR="00C30608" w:rsidRPr="00C30608" w:rsidTr="00C41673">
        <w:trPr>
          <w:trHeight w:val="125"/>
        </w:trPr>
        <w:tc>
          <w:tcPr>
            <w:tcW w:w="7584" w:type="dxa"/>
            <w:tcBorders>
              <w:top w:val="single" w:sz="4" w:space="0" w:color="auto"/>
              <w:left w:val="single" w:sz="4" w:space="0" w:color="auto"/>
              <w:bottom w:val="single" w:sz="4" w:space="0" w:color="auto"/>
              <w:right w:val="single" w:sz="4" w:space="0" w:color="auto"/>
            </w:tcBorders>
            <w:vAlign w:val="center"/>
          </w:tcPr>
          <w:p w:rsidR="000778B5" w:rsidRPr="00C30608" w:rsidRDefault="000778B5" w:rsidP="00F408CB">
            <w:pPr>
              <w:spacing w:before="120" w:after="120"/>
              <w:jc w:val="center"/>
              <w:rPr>
                <w:b/>
                <w:sz w:val="28"/>
                <w:szCs w:val="28"/>
                <w:lang w:eastAsia="ru-RU"/>
              </w:rPr>
            </w:pPr>
            <w:r w:rsidRPr="00C30608">
              <w:rPr>
                <w:b/>
                <w:sz w:val="28"/>
                <w:szCs w:val="28"/>
                <w:lang w:eastAsia="ru-RU"/>
              </w:rPr>
              <w:t xml:space="preserve">Зміст положення (норми) чинного законодавства </w:t>
            </w:r>
          </w:p>
        </w:tc>
        <w:tc>
          <w:tcPr>
            <w:tcW w:w="7584" w:type="dxa"/>
            <w:tcBorders>
              <w:top w:val="single" w:sz="4" w:space="0" w:color="auto"/>
              <w:left w:val="single" w:sz="4" w:space="0" w:color="auto"/>
              <w:bottom w:val="single" w:sz="4" w:space="0" w:color="auto"/>
              <w:right w:val="single" w:sz="4" w:space="0" w:color="auto"/>
            </w:tcBorders>
            <w:vAlign w:val="center"/>
          </w:tcPr>
          <w:p w:rsidR="000778B5" w:rsidRPr="00C30608" w:rsidRDefault="000778B5" w:rsidP="00F408CB">
            <w:pPr>
              <w:spacing w:before="120" w:after="120"/>
              <w:jc w:val="center"/>
              <w:rPr>
                <w:b/>
                <w:sz w:val="28"/>
                <w:szCs w:val="28"/>
                <w:lang w:eastAsia="ru-RU"/>
              </w:rPr>
            </w:pPr>
            <w:r w:rsidRPr="00C30608">
              <w:rPr>
                <w:b/>
                <w:sz w:val="28"/>
                <w:szCs w:val="28"/>
                <w:lang w:eastAsia="ru-RU"/>
              </w:rPr>
              <w:t xml:space="preserve">Зміст положення (норми) запропонованого проекту </w:t>
            </w:r>
          </w:p>
        </w:tc>
      </w:tr>
      <w:tr w:rsidR="00C30608" w:rsidRPr="00C30608" w:rsidTr="00C41673">
        <w:trPr>
          <w:trHeight w:val="125"/>
        </w:trPr>
        <w:tc>
          <w:tcPr>
            <w:tcW w:w="15168" w:type="dxa"/>
            <w:gridSpan w:val="2"/>
            <w:tcBorders>
              <w:top w:val="single" w:sz="4" w:space="0" w:color="auto"/>
              <w:left w:val="single" w:sz="4" w:space="0" w:color="auto"/>
              <w:bottom w:val="single" w:sz="4" w:space="0" w:color="auto"/>
              <w:right w:val="single" w:sz="4" w:space="0" w:color="auto"/>
            </w:tcBorders>
            <w:vAlign w:val="center"/>
          </w:tcPr>
          <w:p w:rsidR="000778B5" w:rsidRPr="00C30608" w:rsidRDefault="000778B5" w:rsidP="00BB40A5">
            <w:pPr>
              <w:spacing w:before="120" w:after="120"/>
              <w:jc w:val="center"/>
              <w:rPr>
                <w:b/>
                <w:sz w:val="28"/>
                <w:szCs w:val="28"/>
                <w:lang w:val="ru-RU" w:eastAsia="ru-RU"/>
              </w:rPr>
            </w:pPr>
            <w:r w:rsidRPr="00C30608">
              <w:rPr>
                <w:b/>
                <w:sz w:val="28"/>
                <w:szCs w:val="28"/>
              </w:rPr>
              <w:t xml:space="preserve">Податковий кодекс </w:t>
            </w:r>
            <w:r w:rsidRPr="00C30608">
              <w:rPr>
                <w:b/>
                <w:sz w:val="28"/>
                <w:szCs w:val="28"/>
                <w:lang w:val="ru-RU"/>
              </w:rPr>
              <w:t>України</w:t>
            </w:r>
          </w:p>
        </w:tc>
      </w:tr>
      <w:tr w:rsidR="00C30608" w:rsidRPr="00C30608" w:rsidTr="00454DA1">
        <w:trPr>
          <w:trHeight w:val="125"/>
        </w:trPr>
        <w:tc>
          <w:tcPr>
            <w:tcW w:w="7584" w:type="dxa"/>
            <w:tcBorders>
              <w:top w:val="single" w:sz="4" w:space="0" w:color="auto"/>
              <w:left w:val="single" w:sz="4" w:space="0" w:color="auto"/>
              <w:bottom w:val="single" w:sz="4" w:space="0" w:color="auto"/>
              <w:right w:val="single" w:sz="4" w:space="0" w:color="auto"/>
            </w:tcBorders>
            <w:vAlign w:val="center"/>
          </w:tcPr>
          <w:p w:rsidR="00654C48" w:rsidRPr="00C30608" w:rsidRDefault="00654C48" w:rsidP="00BB40A5">
            <w:pPr>
              <w:spacing w:before="120" w:after="120"/>
              <w:rPr>
                <w:sz w:val="28"/>
                <w:szCs w:val="28"/>
              </w:rPr>
            </w:pPr>
            <w:r w:rsidRPr="00C30608">
              <w:rPr>
                <w:sz w:val="28"/>
                <w:szCs w:val="28"/>
              </w:rPr>
              <w:t>Розділ ХХ. Перехідні положення</w:t>
            </w:r>
          </w:p>
        </w:tc>
        <w:tc>
          <w:tcPr>
            <w:tcW w:w="7584" w:type="dxa"/>
            <w:tcBorders>
              <w:top w:val="single" w:sz="4" w:space="0" w:color="auto"/>
              <w:left w:val="single" w:sz="4" w:space="0" w:color="auto"/>
              <w:bottom w:val="single" w:sz="4" w:space="0" w:color="auto"/>
              <w:right w:val="single" w:sz="4" w:space="0" w:color="auto"/>
            </w:tcBorders>
            <w:vAlign w:val="center"/>
          </w:tcPr>
          <w:p w:rsidR="00654C48" w:rsidRPr="00C30608" w:rsidRDefault="00654C48" w:rsidP="00BB40A5">
            <w:pPr>
              <w:spacing w:before="120" w:after="120"/>
              <w:rPr>
                <w:b/>
                <w:sz w:val="28"/>
                <w:szCs w:val="28"/>
              </w:rPr>
            </w:pPr>
            <w:r w:rsidRPr="00C30608">
              <w:rPr>
                <w:sz w:val="28"/>
                <w:szCs w:val="28"/>
              </w:rPr>
              <w:t>Розділ ХХ. Перехідні положення</w:t>
            </w:r>
          </w:p>
        </w:tc>
      </w:tr>
      <w:tr w:rsidR="00C30608" w:rsidRPr="00C30608" w:rsidTr="00C41673">
        <w:trPr>
          <w:trHeight w:val="125"/>
        </w:trPr>
        <w:tc>
          <w:tcPr>
            <w:tcW w:w="7584" w:type="dxa"/>
            <w:tcBorders>
              <w:top w:val="single" w:sz="4" w:space="0" w:color="auto"/>
              <w:left w:val="single" w:sz="4" w:space="0" w:color="auto"/>
              <w:bottom w:val="single" w:sz="4" w:space="0" w:color="auto"/>
              <w:right w:val="single" w:sz="4" w:space="0" w:color="auto"/>
            </w:tcBorders>
          </w:tcPr>
          <w:p w:rsidR="000778B5" w:rsidRPr="00C30608" w:rsidRDefault="000778B5" w:rsidP="00BB40A5">
            <w:pPr>
              <w:spacing w:before="120"/>
              <w:ind w:firstLine="471"/>
              <w:jc w:val="both"/>
              <w:rPr>
                <w:sz w:val="28"/>
                <w:szCs w:val="28"/>
              </w:rPr>
            </w:pPr>
            <w:r w:rsidRPr="00C30608">
              <w:rPr>
                <w:sz w:val="28"/>
                <w:szCs w:val="28"/>
              </w:rPr>
              <w:t>Підрозділ 1 «Особливості справляння податку на доходи фізичних осіб» розділу XX «Перехідні положення»</w:t>
            </w:r>
          </w:p>
          <w:p w:rsidR="000778B5" w:rsidRPr="00C30608" w:rsidRDefault="000778B5" w:rsidP="00BB40A5">
            <w:pPr>
              <w:spacing w:before="120"/>
              <w:ind w:firstLine="471"/>
              <w:jc w:val="both"/>
              <w:rPr>
                <w:sz w:val="28"/>
                <w:szCs w:val="28"/>
              </w:rPr>
            </w:pPr>
            <w:r w:rsidRPr="00C30608">
              <w:rPr>
                <w:sz w:val="28"/>
                <w:szCs w:val="28"/>
              </w:rPr>
              <w:t>…</w:t>
            </w:r>
          </w:p>
          <w:p w:rsidR="000778B5" w:rsidRPr="00C30608" w:rsidRDefault="00C41673" w:rsidP="00BB40A5">
            <w:pPr>
              <w:spacing w:before="120"/>
              <w:ind w:firstLine="471"/>
              <w:jc w:val="both"/>
              <w:rPr>
                <w:sz w:val="28"/>
                <w:szCs w:val="28"/>
              </w:rPr>
            </w:pPr>
            <w:r w:rsidRPr="00C30608">
              <w:rPr>
                <w:b/>
                <w:sz w:val="28"/>
                <w:szCs w:val="28"/>
              </w:rPr>
              <w:t>Норма відсутня.</w:t>
            </w:r>
          </w:p>
        </w:tc>
        <w:tc>
          <w:tcPr>
            <w:tcW w:w="7584" w:type="dxa"/>
            <w:tcBorders>
              <w:top w:val="single" w:sz="4" w:space="0" w:color="auto"/>
              <w:left w:val="single" w:sz="4" w:space="0" w:color="auto"/>
              <w:bottom w:val="single" w:sz="4" w:space="0" w:color="auto"/>
              <w:right w:val="single" w:sz="4" w:space="0" w:color="auto"/>
            </w:tcBorders>
          </w:tcPr>
          <w:p w:rsidR="000778B5" w:rsidRPr="00C30608" w:rsidRDefault="000778B5" w:rsidP="00BB40A5">
            <w:pPr>
              <w:spacing w:before="120"/>
              <w:ind w:firstLine="471"/>
              <w:jc w:val="both"/>
              <w:rPr>
                <w:sz w:val="28"/>
                <w:szCs w:val="28"/>
              </w:rPr>
            </w:pPr>
            <w:r w:rsidRPr="00C30608">
              <w:rPr>
                <w:sz w:val="28"/>
                <w:szCs w:val="28"/>
              </w:rPr>
              <w:t>Підрозділ 1 «Особливості справляння податку на доходи фізичних осіб» розділу XX «Перехідні положення»</w:t>
            </w:r>
          </w:p>
          <w:p w:rsidR="000778B5" w:rsidRPr="00C30608" w:rsidRDefault="000778B5" w:rsidP="00BB40A5">
            <w:pPr>
              <w:pStyle w:val="a3"/>
              <w:ind w:firstLine="471"/>
              <w:rPr>
                <w:rFonts w:ascii="Times New Roman" w:hAnsi="Times New Roman"/>
                <w:sz w:val="28"/>
                <w:szCs w:val="28"/>
              </w:rPr>
            </w:pPr>
            <w:r w:rsidRPr="00C30608">
              <w:rPr>
                <w:rFonts w:ascii="Times New Roman" w:hAnsi="Times New Roman"/>
                <w:sz w:val="28"/>
                <w:szCs w:val="28"/>
              </w:rPr>
              <w:t>…</w:t>
            </w:r>
          </w:p>
          <w:p w:rsidR="001B4FE6" w:rsidRPr="00C30608" w:rsidRDefault="001B4FE6" w:rsidP="001B4FE6">
            <w:pPr>
              <w:pStyle w:val="a3"/>
              <w:spacing w:before="0"/>
              <w:ind w:firstLine="471"/>
              <w:rPr>
                <w:rFonts w:ascii="Times New Roman CYR" w:hAnsi="Times New Roman CYR"/>
                <w:b/>
                <w:sz w:val="28"/>
                <w:szCs w:val="28"/>
              </w:rPr>
            </w:pPr>
            <w:r w:rsidRPr="00C30608">
              <w:rPr>
                <w:rFonts w:ascii="Times New Roman CYR" w:hAnsi="Times New Roman CYR"/>
                <w:b/>
                <w:sz w:val="28"/>
                <w:szCs w:val="28"/>
              </w:rPr>
              <w:t>10. До загального місячного (річного) оподатковуваного доходу платника податку на доходи фізичних осіб не включаються доходи, отримані до 1 червня 2018 року з джерела їх походження в Україні та іноземні доходи</w:t>
            </w:r>
            <w:r w:rsidR="00687A37">
              <w:rPr>
                <w:rFonts w:ascii="Times New Roman CYR" w:hAnsi="Times New Roman CYR"/>
                <w:b/>
                <w:sz w:val="28"/>
                <w:szCs w:val="28"/>
              </w:rPr>
              <w:t>, отримані</w:t>
            </w:r>
            <w:r w:rsidRPr="00C30608">
              <w:rPr>
                <w:rFonts w:ascii="Times New Roman CYR" w:hAnsi="Times New Roman CYR"/>
                <w:b/>
                <w:sz w:val="28"/>
                <w:szCs w:val="28"/>
              </w:rPr>
              <w:t xml:space="preserve"> за роботи та/або послуги, виконані та надані на території України або за її межами для цілей підготовки та проведення в Україні </w:t>
            </w:r>
            <w:r w:rsidRPr="00C30608">
              <w:rPr>
                <w:rFonts w:ascii="Times New Roman CYR" w:hAnsi="Times New Roman CYR"/>
                <w:b/>
                <w:bCs/>
                <w:sz w:val="28"/>
                <w:szCs w:val="28"/>
                <w:shd w:val="clear" w:color="auto" w:fill="FFFFFF"/>
              </w:rPr>
              <w:t>фінальних матчів Ліги чемпіонів УЄФА та Ліги чемпіонів УЄФА серед жінок сезону 2017/2018</w:t>
            </w:r>
            <w:r w:rsidRPr="00C30608">
              <w:rPr>
                <w:rFonts w:ascii="Times New Roman CYR" w:hAnsi="Times New Roman CYR"/>
                <w:b/>
                <w:sz w:val="28"/>
                <w:szCs w:val="28"/>
              </w:rPr>
              <w:t>, зокрема</w:t>
            </w:r>
            <w:r w:rsidR="00687A37">
              <w:rPr>
                <w:rFonts w:ascii="Times New Roman CYR" w:hAnsi="Times New Roman CYR"/>
                <w:b/>
                <w:sz w:val="28"/>
                <w:szCs w:val="28"/>
              </w:rPr>
              <w:t>,</w:t>
            </w:r>
            <w:r w:rsidRPr="00C30608">
              <w:rPr>
                <w:rFonts w:ascii="Times New Roman CYR" w:hAnsi="Times New Roman CYR"/>
                <w:b/>
                <w:sz w:val="28"/>
                <w:szCs w:val="28"/>
              </w:rPr>
              <w:t xml:space="preserve"> але не виключно у вигляді заробітної плати, відшкодування видатків та добових, оплати проживання, забезпечення медичного страхування та/або страхування життя таким особам або третім особам на користь таких осіб (крім резидентів України у розумінні підпункту 14.1.213 пункту 14.1 статті 14 цього Кодексу), незалежно від їх участі у проведенні зазначених </w:t>
            </w:r>
            <w:r w:rsidRPr="00C30608">
              <w:rPr>
                <w:rFonts w:ascii="Times New Roman CYR" w:hAnsi="Times New Roman CYR"/>
                <w:b/>
                <w:bCs/>
                <w:sz w:val="28"/>
                <w:szCs w:val="28"/>
                <w:shd w:val="clear" w:color="auto" w:fill="FFFFFF"/>
              </w:rPr>
              <w:t>фінальних матчів</w:t>
            </w:r>
            <w:r w:rsidRPr="00C30608">
              <w:rPr>
                <w:rFonts w:ascii="Times New Roman CYR" w:hAnsi="Times New Roman CYR"/>
                <w:b/>
                <w:sz w:val="28"/>
                <w:szCs w:val="28"/>
              </w:rPr>
              <w:t xml:space="preserve">: </w:t>
            </w:r>
          </w:p>
          <w:p w:rsidR="001B4FE6" w:rsidRPr="00C30608" w:rsidRDefault="001B4FE6" w:rsidP="001B4FE6">
            <w:pPr>
              <w:ind w:firstLine="567"/>
              <w:jc w:val="both"/>
              <w:rPr>
                <w:rFonts w:ascii="Times New Roman CYR" w:hAnsi="Times New Roman CYR"/>
                <w:b/>
                <w:sz w:val="28"/>
                <w:szCs w:val="28"/>
              </w:rPr>
            </w:pPr>
            <w:r w:rsidRPr="00C30608">
              <w:rPr>
                <w:rFonts w:ascii="Times New Roman CYR" w:hAnsi="Times New Roman CYR"/>
                <w:b/>
                <w:sz w:val="28"/>
                <w:szCs w:val="28"/>
              </w:rPr>
              <w:lastRenderedPageBreak/>
              <w:t>представникам або посадовим особам асоціацій – член</w:t>
            </w:r>
            <w:r w:rsidR="0022588E" w:rsidRPr="00C30608">
              <w:rPr>
                <w:rFonts w:ascii="Times New Roman CYR" w:hAnsi="Times New Roman CYR"/>
                <w:b/>
                <w:sz w:val="28"/>
                <w:szCs w:val="28"/>
              </w:rPr>
              <w:t>ам</w:t>
            </w:r>
            <w:r w:rsidRPr="00C30608">
              <w:rPr>
                <w:rFonts w:ascii="Times New Roman CYR" w:hAnsi="Times New Roman CYR"/>
                <w:b/>
                <w:sz w:val="28"/>
                <w:szCs w:val="28"/>
              </w:rPr>
              <w:t xml:space="preserve"> УЄФА; </w:t>
            </w:r>
          </w:p>
          <w:p w:rsidR="001B4FE6" w:rsidRPr="00C30608" w:rsidRDefault="001B4FE6" w:rsidP="001B4FE6">
            <w:pPr>
              <w:ind w:firstLine="567"/>
              <w:jc w:val="both"/>
              <w:rPr>
                <w:rFonts w:ascii="Times New Roman CYR" w:hAnsi="Times New Roman CYR"/>
                <w:b/>
                <w:sz w:val="28"/>
                <w:szCs w:val="28"/>
              </w:rPr>
            </w:pPr>
            <w:r w:rsidRPr="00C30608">
              <w:rPr>
                <w:rFonts w:ascii="Times New Roman CYR" w:hAnsi="Times New Roman CYR"/>
                <w:b/>
                <w:sz w:val="28"/>
                <w:szCs w:val="28"/>
              </w:rPr>
              <w:t xml:space="preserve">членам делегацій, що беруть участь у </w:t>
            </w:r>
            <w:r w:rsidRPr="00C30608">
              <w:rPr>
                <w:rFonts w:ascii="Times New Roman CYR" w:hAnsi="Times New Roman CYR"/>
                <w:b/>
                <w:bCs/>
                <w:sz w:val="28"/>
                <w:szCs w:val="28"/>
                <w:shd w:val="clear" w:color="auto" w:fill="FFFFFF"/>
              </w:rPr>
              <w:t>фінальних матчах</w:t>
            </w:r>
            <w:r w:rsidRPr="00C30608">
              <w:rPr>
                <w:rFonts w:ascii="Times New Roman CYR" w:hAnsi="Times New Roman CYR"/>
                <w:b/>
                <w:sz w:val="28"/>
                <w:szCs w:val="28"/>
              </w:rPr>
              <w:t xml:space="preserve"> чемпіонату, у тому числі членам команд, які здобули право на участь у </w:t>
            </w:r>
            <w:r w:rsidRPr="00C30608">
              <w:rPr>
                <w:rFonts w:ascii="Times New Roman CYR" w:hAnsi="Times New Roman CYR"/>
                <w:b/>
                <w:bCs/>
                <w:sz w:val="28"/>
                <w:szCs w:val="28"/>
                <w:shd w:val="clear" w:color="auto" w:fill="FFFFFF"/>
              </w:rPr>
              <w:t>фінальних матчах</w:t>
            </w:r>
            <w:r w:rsidRPr="00C30608">
              <w:rPr>
                <w:rFonts w:ascii="Times New Roman CYR" w:hAnsi="Times New Roman CYR"/>
                <w:b/>
                <w:sz w:val="28"/>
                <w:szCs w:val="28"/>
              </w:rPr>
              <w:t xml:space="preserve">; </w:t>
            </w:r>
          </w:p>
          <w:p w:rsidR="001B4FE6" w:rsidRPr="00C30608" w:rsidRDefault="001B4FE6" w:rsidP="001B4FE6">
            <w:pPr>
              <w:ind w:firstLine="567"/>
              <w:jc w:val="both"/>
              <w:rPr>
                <w:rFonts w:ascii="Times New Roman CYR" w:hAnsi="Times New Roman CYR"/>
                <w:b/>
                <w:sz w:val="28"/>
                <w:szCs w:val="28"/>
              </w:rPr>
            </w:pPr>
            <w:r w:rsidRPr="00C30608">
              <w:rPr>
                <w:rFonts w:ascii="Times New Roman CYR" w:hAnsi="Times New Roman CYR"/>
                <w:b/>
                <w:sz w:val="28"/>
                <w:szCs w:val="28"/>
              </w:rPr>
              <w:t xml:space="preserve">фізичним особам, акредитованим УЄФА, зокрема співробітникам та тимчасовим працівникам, представникам засобів масової інформації, партнерам УЄФА, представникам спонсорів. </w:t>
            </w:r>
          </w:p>
          <w:p w:rsidR="001B4FE6" w:rsidRPr="00C30608" w:rsidRDefault="001B4FE6" w:rsidP="001B4FE6">
            <w:pPr>
              <w:pStyle w:val="a3"/>
              <w:spacing w:before="0"/>
              <w:ind w:firstLine="531"/>
              <w:rPr>
                <w:rFonts w:ascii="Times New Roman CYR" w:hAnsi="Times New Roman CYR"/>
                <w:b/>
                <w:sz w:val="28"/>
                <w:szCs w:val="28"/>
              </w:rPr>
            </w:pPr>
            <w:r w:rsidRPr="00C30608">
              <w:rPr>
                <w:rFonts w:ascii="Times New Roman CYR" w:hAnsi="Times New Roman CYR"/>
                <w:b/>
                <w:sz w:val="28"/>
                <w:szCs w:val="28"/>
              </w:rPr>
              <w:t>Для цілей цього пункту термін “УЄФА” вживається у значенні “Союз європейських футбольних асоціацій”.</w:t>
            </w:r>
          </w:p>
          <w:p w:rsidR="00AC0EE7" w:rsidRPr="00C30608" w:rsidRDefault="001B4FE6" w:rsidP="009D5E23">
            <w:pPr>
              <w:pStyle w:val="a3"/>
              <w:rPr>
                <w:sz w:val="28"/>
                <w:szCs w:val="28"/>
                <w:lang w:val="en-US"/>
              </w:rPr>
            </w:pPr>
            <w:r w:rsidRPr="00C30608">
              <w:rPr>
                <w:rFonts w:ascii="Times New Roman CYR" w:hAnsi="Times New Roman CYR"/>
                <w:b/>
                <w:sz w:val="28"/>
                <w:szCs w:val="28"/>
              </w:rPr>
              <w:t xml:space="preserve">Дохід інших нерезидентів, отриманий </w:t>
            </w:r>
            <w:r w:rsidR="009D5E23">
              <w:rPr>
                <w:rFonts w:ascii="Times New Roman CYR" w:hAnsi="Times New Roman CYR"/>
                <w:b/>
                <w:sz w:val="28"/>
                <w:szCs w:val="28"/>
              </w:rPr>
              <w:t>до 1 чкрвня 2018 року</w:t>
            </w:r>
            <w:r w:rsidRPr="00C30608">
              <w:rPr>
                <w:rFonts w:ascii="Times New Roman CYR" w:hAnsi="Times New Roman CYR"/>
                <w:b/>
                <w:sz w:val="28"/>
                <w:szCs w:val="28"/>
              </w:rPr>
              <w:t xml:space="preserve"> із джерел походження з України, підлягає оподаткуванню на загальних підставах з урахуванням положень міжнародних договорів України про уникнення подвійного оподаткування, згода на обов’язковість яких надана Верховною Радою України.</w:t>
            </w:r>
          </w:p>
        </w:tc>
      </w:tr>
      <w:tr w:rsidR="00C30608" w:rsidRPr="00C30608" w:rsidTr="00C41673">
        <w:trPr>
          <w:trHeight w:val="125"/>
        </w:trPr>
        <w:tc>
          <w:tcPr>
            <w:tcW w:w="7584" w:type="dxa"/>
            <w:tcBorders>
              <w:top w:val="single" w:sz="4" w:space="0" w:color="auto"/>
              <w:left w:val="single" w:sz="4" w:space="0" w:color="auto"/>
              <w:bottom w:val="single" w:sz="4" w:space="0" w:color="auto"/>
              <w:right w:val="single" w:sz="4" w:space="0" w:color="auto"/>
            </w:tcBorders>
          </w:tcPr>
          <w:p w:rsidR="000778B5" w:rsidRPr="00C30608" w:rsidRDefault="00311AB1" w:rsidP="00BB40A5">
            <w:pPr>
              <w:spacing w:before="120"/>
              <w:ind w:firstLine="470"/>
              <w:jc w:val="both"/>
              <w:rPr>
                <w:sz w:val="28"/>
                <w:szCs w:val="28"/>
              </w:rPr>
            </w:pPr>
            <w:r w:rsidRPr="00C30608">
              <w:rPr>
                <w:sz w:val="28"/>
                <w:szCs w:val="28"/>
              </w:rPr>
              <w:lastRenderedPageBreak/>
              <w:t>Підрозділ 2 «Особливості справляння податку на додану вартість» розділу XX «Перехідні положення»</w:t>
            </w:r>
          </w:p>
          <w:p w:rsidR="00311AB1" w:rsidRPr="00C30608" w:rsidRDefault="00311AB1" w:rsidP="00BB40A5">
            <w:pPr>
              <w:spacing w:before="120"/>
              <w:ind w:firstLine="470"/>
              <w:jc w:val="both"/>
              <w:rPr>
                <w:sz w:val="28"/>
                <w:szCs w:val="28"/>
              </w:rPr>
            </w:pPr>
            <w:r w:rsidRPr="00C30608">
              <w:rPr>
                <w:sz w:val="28"/>
                <w:szCs w:val="28"/>
              </w:rPr>
              <w:t>…</w:t>
            </w:r>
          </w:p>
          <w:p w:rsidR="00311AB1" w:rsidRPr="00C30608" w:rsidRDefault="00C41673" w:rsidP="00BB40A5">
            <w:pPr>
              <w:spacing w:before="120"/>
              <w:ind w:firstLine="470"/>
              <w:jc w:val="both"/>
              <w:rPr>
                <w:b/>
                <w:sz w:val="28"/>
                <w:szCs w:val="28"/>
              </w:rPr>
            </w:pPr>
            <w:r w:rsidRPr="00C30608">
              <w:rPr>
                <w:b/>
                <w:sz w:val="28"/>
                <w:szCs w:val="28"/>
              </w:rPr>
              <w:t>Норма відсутня.</w:t>
            </w:r>
          </w:p>
          <w:p w:rsidR="001B4FE6" w:rsidRPr="00C30608" w:rsidRDefault="001B4FE6" w:rsidP="00BB40A5">
            <w:pPr>
              <w:spacing w:before="120"/>
              <w:ind w:firstLine="470"/>
              <w:jc w:val="both"/>
              <w:rPr>
                <w:b/>
                <w:sz w:val="28"/>
                <w:szCs w:val="28"/>
              </w:rPr>
            </w:pPr>
          </w:p>
          <w:p w:rsidR="001B4FE6" w:rsidRPr="00C30608" w:rsidRDefault="001B4FE6" w:rsidP="00BB40A5">
            <w:pPr>
              <w:spacing w:before="120"/>
              <w:ind w:firstLine="470"/>
              <w:jc w:val="both"/>
              <w:rPr>
                <w:b/>
                <w:sz w:val="28"/>
                <w:szCs w:val="28"/>
              </w:rPr>
            </w:pPr>
          </w:p>
          <w:p w:rsidR="001B4FE6" w:rsidRPr="00C30608" w:rsidRDefault="001B4FE6" w:rsidP="00BB40A5">
            <w:pPr>
              <w:spacing w:before="120"/>
              <w:ind w:firstLine="470"/>
              <w:jc w:val="both"/>
              <w:rPr>
                <w:b/>
                <w:sz w:val="28"/>
                <w:szCs w:val="28"/>
              </w:rPr>
            </w:pPr>
          </w:p>
          <w:p w:rsidR="001B4FE6" w:rsidRPr="00C30608" w:rsidRDefault="001B4FE6" w:rsidP="00BB40A5">
            <w:pPr>
              <w:spacing w:before="120"/>
              <w:ind w:firstLine="470"/>
              <w:jc w:val="both"/>
              <w:rPr>
                <w:b/>
                <w:sz w:val="28"/>
                <w:szCs w:val="28"/>
              </w:rPr>
            </w:pPr>
          </w:p>
          <w:p w:rsidR="001B4FE6" w:rsidRPr="00C30608" w:rsidRDefault="001B4FE6" w:rsidP="00BB40A5">
            <w:pPr>
              <w:spacing w:before="120"/>
              <w:ind w:firstLine="470"/>
              <w:jc w:val="both"/>
              <w:rPr>
                <w:b/>
                <w:sz w:val="28"/>
                <w:szCs w:val="28"/>
              </w:rPr>
            </w:pPr>
          </w:p>
          <w:p w:rsidR="001B4FE6" w:rsidRPr="00C30608" w:rsidRDefault="001B4FE6" w:rsidP="00BB40A5">
            <w:pPr>
              <w:spacing w:before="120"/>
              <w:ind w:firstLine="470"/>
              <w:jc w:val="both"/>
              <w:rPr>
                <w:b/>
                <w:sz w:val="28"/>
                <w:szCs w:val="28"/>
              </w:rPr>
            </w:pPr>
          </w:p>
          <w:p w:rsidR="001B4FE6" w:rsidRPr="00C30608" w:rsidRDefault="001B4FE6" w:rsidP="00BB40A5">
            <w:pPr>
              <w:spacing w:before="120"/>
              <w:ind w:firstLine="470"/>
              <w:jc w:val="both"/>
              <w:rPr>
                <w:b/>
                <w:sz w:val="28"/>
                <w:szCs w:val="28"/>
              </w:rPr>
            </w:pPr>
          </w:p>
          <w:p w:rsidR="001B4FE6" w:rsidRPr="00C30608" w:rsidRDefault="001B4FE6" w:rsidP="00BB40A5">
            <w:pPr>
              <w:spacing w:before="120"/>
              <w:ind w:firstLine="470"/>
              <w:jc w:val="both"/>
              <w:rPr>
                <w:b/>
                <w:sz w:val="28"/>
                <w:szCs w:val="28"/>
              </w:rPr>
            </w:pPr>
          </w:p>
          <w:p w:rsidR="001B4FE6" w:rsidRPr="00C30608" w:rsidRDefault="001B4FE6" w:rsidP="00BB40A5">
            <w:pPr>
              <w:spacing w:before="120"/>
              <w:ind w:firstLine="470"/>
              <w:jc w:val="both"/>
              <w:rPr>
                <w:b/>
                <w:sz w:val="28"/>
                <w:szCs w:val="28"/>
              </w:rPr>
            </w:pPr>
          </w:p>
          <w:p w:rsidR="001B4FE6" w:rsidRPr="00C30608" w:rsidRDefault="001B4FE6" w:rsidP="00BB40A5">
            <w:pPr>
              <w:spacing w:before="120"/>
              <w:ind w:firstLine="470"/>
              <w:jc w:val="both"/>
              <w:rPr>
                <w:b/>
                <w:sz w:val="28"/>
                <w:szCs w:val="28"/>
              </w:rPr>
            </w:pPr>
          </w:p>
          <w:p w:rsidR="001B4FE6" w:rsidRPr="00C30608" w:rsidRDefault="001B4FE6" w:rsidP="00BB40A5">
            <w:pPr>
              <w:spacing w:before="120"/>
              <w:ind w:firstLine="470"/>
              <w:jc w:val="both"/>
              <w:rPr>
                <w:sz w:val="28"/>
                <w:szCs w:val="28"/>
              </w:rPr>
            </w:pPr>
            <w:r w:rsidRPr="00C30608">
              <w:rPr>
                <w:b/>
                <w:sz w:val="28"/>
                <w:szCs w:val="28"/>
              </w:rPr>
              <w:t>Норма відсутня.</w:t>
            </w:r>
          </w:p>
        </w:tc>
        <w:tc>
          <w:tcPr>
            <w:tcW w:w="7584" w:type="dxa"/>
            <w:tcBorders>
              <w:top w:val="single" w:sz="4" w:space="0" w:color="auto"/>
              <w:left w:val="single" w:sz="4" w:space="0" w:color="auto"/>
              <w:bottom w:val="single" w:sz="4" w:space="0" w:color="auto"/>
              <w:right w:val="single" w:sz="4" w:space="0" w:color="auto"/>
            </w:tcBorders>
          </w:tcPr>
          <w:p w:rsidR="00311AB1" w:rsidRPr="00C30608" w:rsidRDefault="00311AB1" w:rsidP="00BB40A5">
            <w:pPr>
              <w:spacing w:before="120"/>
              <w:ind w:firstLine="470"/>
              <w:jc w:val="both"/>
              <w:rPr>
                <w:sz w:val="28"/>
                <w:szCs w:val="28"/>
              </w:rPr>
            </w:pPr>
            <w:r w:rsidRPr="00C30608">
              <w:rPr>
                <w:sz w:val="28"/>
                <w:szCs w:val="28"/>
              </w:rPr>
              <w:lastRenderedPageBreak/>
              <w:t>Підрозділ 2 «Особливості справляння податку на додану вартість» розділу XX «Перехідні положення»</w:t>
            </w:r>
          </w:p>
          <w:p w:rsidR="00311AB1" w:rsidRPr="00C30608" w:rsidRDefault="00311AB1" w:rsidP="00BB40A5">
            <w:pPr>
              <w:spacing w:before="120"/>
              <w:ind w:firstLine="470"/>
              <w:jc w:val="both"/>
              <w:rPr>
                <w:sz w:val="28"/>
                <w:szCs w:val="28"/>
              </w:rPr>
            </w:pPr>
            <w:r w:rsidRPr="00C30608">
              <w:rPr>
                <w:sz w:val="28"/>
                <w:szCs w:val="28"/>
              </w:rPr>
              <w:t>…</w:t>
            </w:r>
          </w:p>
          <w:p w:rsidR="001B4FE6" w:rsidRPr="00C30608" w:rsidRDefault="001B4FE6" w:rsidP="001B4FE6">
            <w:pPr>
              <w:pStyle w:val="a3"/>
              <w:spacing w:before="0"/>
              <w:rPr>
                <w:rFonts w:ascii="Times New Roman CYR" w:eastAsia="Calibri" w:hAnsi="Times New Roman CYR"/>
                <w:b/>
                <w:sz w:val="28"/>
                <w:szCs w:val="28"/>
                <w:lang w:eastAsia="en-US"/>
              </w:rPr>
            </w:pPr>
            <w:r w:rsidRPr="00C30608">
              <w:rPr>
                <w:rFonts w:ascii="Times New Roman CYR" w:hAnsi="Times New Roman CYR"/>
                <w:b/>
                <w:sz w:val="28"/>
                <w:szCs w:val="28"/>
              </w:rPr>
              <w:t>66. </w:t>
            </w:r>
            <w:r w:rsidRPr="00C30608">
              <w:rPr>
                <w:rFonts w:ascii="Times New Roman CYR" w:eastAsia="Calibri" w:hAnsi="Times New Roman CYR"/>
                <w:b/>
                <w:sz w:val="28"/>
                <w:szCs w:val="28"/>
                <w:lang w:eastAsia="en-US"/>
              </w:rPr>
              <w:t xml:space="preserve">До 26 травня 2018 року до операцій із ввезення на митну територію України товарів, зазначених в абзацах другому і третьому </w:t>
            </w:r>
            <w:hyperlink r:id="rId7" w:anchor="n4400" w:tgtFrame="_blank" w:history="1">
              <w:r w:rsidRPr="00C30608">
                <w:rPr>
                  <w:rFonts w:ascii="Times New Roman CYR" w:eastAsia="Calibri" w:hAnsi="Times New Roman CYR"/>
                  <w:b/>
                  <w:sz w:val="28"/>
                  <w:szCs w:val="28"/>
                  <w:lang w:eastAsia="en-US"/>
                </w:rPr>
                <w:t>пункту 4</w:t>
              </w:r>
              <w:r w:rsidRPr="00C30608">
                <w:rPr>
                  <w:rFonts w:ascii="Times New Roman CYR" w:eastAsia="Calibri" w:hAnsi="Times New Roman CYR"/>
                  <w:b/>
                  <w:sz w:val="28"/>
                  <w:szCs w:val="28"/>
                  <w:vertAlign w:val="superscript"/>
                  <w:lang w:eastAsia="en-US"/>
                </w:rPr>
                <w:t>3</w:t>
              </w:r>
              <w:r w:rsidRPr="00C30608">
                <w:rPr>
                  <w:rFonts w:ascii="Times New Roman CYR" w:eastAsia="Calibri" w:hAnsi="Times New Roman CYR"/>
                  <w:b/>
                  <w:sz w:val="28"/>
                  <w:szCs w:val="28"/>
                  <w:lang w:eastAsia="en-US"/>
                </w:rPr>
                <w:t xml:space="preserve"> розділу ХХІ</w:t>
              </w:r>
            </w:hyperlink>
            <w:r w:rsidRPr="00C30608">
              <w:rPr>
                <w:rFonts w:ascii="Times New Roman CYR" w:eastAsia="Calibri" w:hAnsi="Times New Roman CYR"/>
                <w:b/>
                <w:sz w:val="28"/>
                <w:szCs w:val="28"/>
                <w:lang w:eastAsia="en-US"/>
              </w:rPr>
              <w:t xml:space="preserve"> </w:t>
            </w:r>
            <w:hyperlink r:id="rId8" w:anchor="n4400" w:tgtFrame="_blank" w:history="1">
              <w:r w:rsidRPr="00C30608">
                <w:rPr>
                  <w:rFonts w:ascii="Times New Roman CYR" w:eastAsia="Calibri" w:hAnsi="Times New Roman CYR"/>
                  <w:b/>
                  <w:sz w:val="28"/>
                  <w:szCs w:val="28"/>
                  <w:lang w:eastAsia="en-US"/>
                </w:rPr>
                <w:t>“Прикінцеві та перехідні положення” Митного кодексу України</w:t>
              </w:r>
            </w:hyperlink>
            <w:r w:rsidRPr="00C30608">
              <w:rPr>
                <w:rFonts w:ascii="Times New Roman CYR" w:eastAsia="Calibri" w:hAnsi="Times New Roman CYR"/>
                <w:b/>
                <w:sz w:val="28"/>
                <w:szCs w:val="28"/>
                <w:lang w:eastAsia="en-US"/>
              </w:rPr>
              <w:t>, застосовуються відповідно:</w:t>
            </w:r>
          </w:p>
          <w:p w:rsidR="001B4FE6" w:rsidRPr="00C30608" w:rsidRDefault="001B4FE6" w:rsidP="001B4FE6">
            <w:pPr>
              <w:pStyle w:val="rvps2"/>
              <w:shd w:val="clear" w:color="auto" w:fill="FFFFFF"/>
              <w:spacing w:before="0" w:beforeAutospacing="0" w:after="0" w:afterAutospacing="0"/>
              <w:ind w:firstLine="502"/>
              <w:jc w:val="both"/>
              <w:textAlignment w:val="baseline"/>
              <w:rPr>
                <w:rFonts w:ascii="Times New Roman CYR" w:eastAsia="Calibri" w:hAnsi="Times New Roman CYR"/>
                <w:b/>
                <w:sz w:val="28"/>
                <w:szCs w:val="28"/>
                <w:lang w:val="uk-UA" w:eastAsia="en-US"/>
              </w:rPr>
            </w:pPr>
            <w:r w:rsidRPr="00C30608">
              <w:rPr>
                <w:rFonts w:ascii="Times New Roman CYR" w:eastAsia="Calibri" w:hAnsi="Times New Roman CYR"/>
                <w:b/>
                <w:sz w:val="28"/>
                <w:szCs w:val="28"/>
                <w:lang w:val="uk-UA" w:eastAsia="en-US"/>
              </w:rPr>
              <w:t xml:space="preserve">звільнення від </w:t>
            </w:r>
            <w:r w:rsidR="00AD0C17" w:rsidRPr="00AD0C17">
              <w:rPr>
                <w:rFonts w:ascii="Times New Roman CYR" w:eastAsia="Calibri" w:hAnsi="Times New Roman CYR"/>
                <w:b/>
                <w:sz w:val="28"/>
                <w:szCs w:val="28"/>
                <w:lang w:val="uk-UA" w:eastAsia="en-US"/>
              </w:rPr>
              <w:t>оподаткування податком</w:t>
            </w:r>
            <w:r w:rsidR="00AD0C17">
              <w:rPr>
                <w:rFonts w:ascii="Times New Roman CYR" w:eastAsia="Calibri" w:hAnsi="Times New Roman CYR"/>
                <w:sz w:val="28"/>
                <w:szCs w:val="28"/>
                <w:lang w:val="uk-UA" w:eastAsia="en-US"/>
              </w:rPr>
              <w:t xml:space="preserve"> </w:t>
            </w:r>
            <w:r w:rsidRPr="00C30608">
              <w:rPr>
                <w:rFonts w:ascii="Times New Roman CYR" w:eastAsia="Calibri" w:hAnsi="Times New Roman CYR"/>
                <w:b/>
                <w:sz w:val="28"/>
                <w:szCs w:val="28"/>
                <w:lang w:val="uk-UA" w:eastAsia="en-US"/>
              </w:rPr>
              <w:t>на додану вартість у разі поміщення таких товарів у митний режим імпорту;</w:t>
            </w:r>
          </w:p>
          <w:p w:rsidR="001B4FE6" w:rsidRPr="00C30608" w:rsidRDefault="001B4FE6" w:rsidP="001B4FE6">
            <w:pPr>
              <w:pStyle w:val="rvps2"/>
              <w:shd w:val="clear" w:color="auto" w:fill="FFFFFF"/>
              <w:spacing w:before="0" w:beforeAutospacing="0" w:after="0" w:afterAutospacing="0"/>
              <w:ind w:firstLine="502"/>
              <w:jc w:val="both"/>
              <w:textAlignment w:val="baseline"/>
              <w:rPr>
                <w:rFonts w:ascii="Times New Roman CYR" w:eastAsia="Calibri" w:hAnsi="Times New Roman CYR"/>
                <w:b/>
                <w:sz w:val="28"/>
                <w:szCs w:val="28"/>
                <w:lang w:val="uk-UA" w:eastAsia="en-US"/>
              </w:rPr>
            </w:pPr>
            <w:r w:rsidRPr="00C30608">
              <w:rPr>
                <w:rFonts w:ascii="Times New Roman CYR" w:eastAsia="Calibri" w:hAnsi="Times New Roman CYR"/>
                <w:b/>
                <w:sz w:val="28"/>
                <w:szCs w:val="28"/>
                <w:lang w:val="uk-UA" w:eastAsia="en-US"/>
              </w:rPr>
              <w:t xml:space="preserve">умовне повне звільнення від </w:t>
            </w:r>
            <w:r w:rsidR="00AD0C17" w:rsidRPr="00AD0C17">
              <w:rPr>
                <w:rFonts w:ascii="Times New Roman CYR" w:eastAsia="Calibri" w:hAnsi="Times New Roman CYR"/>
                <w:b/>
                <w:sz w:val="28"/>
                <w:szCs w:val="28"/>
                <w:lang w:val="uk-UA" w:eastAsia="en-US"/>
              </w:rPr>
              <w:t xml:space="preserve">оподаткування </w:t>
            </w:r>
            <w:r w:rsidR="00AD0C17" w:rsidRPr="00AD0C17">
              <w:rPr>
                <w:rFonts w:ascii="Times New Roman CYR" w:eastAsia="Calibri" w:hAnsi="Times New Roman CYR"/>
                <w:b/>
                <w:sz w:val="28"/>
                <w:szCs w:val="28"/>
                <w:lang w:val="uk-UA" w:eastAsia="en-US"/>
              </w:rPr>
              <w:lastRenderedPageBreak/>
              <w:t>податком</w:t>
            </w:r>
            <w:r w:rsidR="00AD0C17">
              <w:rPr>
                <w:rFonts w:ascii="Times New Roman CYR" w:eastAsia="Calibri" w:hAnsi="Times New Roman CYR"/>
                <w:sz w:val="28"/>
                <w:szCs w:val="28"/>
                <w:lang w:val="uk-UA" w:eastAsia="en-US"/>
              </w:rPr>
              <w:t xml:space="preserve"> </w:t>
            </w:r>
            <w:r w:rsidRPr="00C30608">
              <w:rPr>
                <w:rFonts w:ascii="Times New Roman CYR" w:eastAsia="Calibri" w:hAnsi="Times New Roman CYR"/>
                <w:b/>
                <w:sz w:val="28"/>
                <w:szCs w:val="28"/>
                <w:lang w:val="uk-UA" w:eastAsia="en-US"/>
              </w:rPr>
              <w:t xml:space="preserve"> на додану вартість у разі поміщення таких товарів у митний режим тимчасового ввезення.</w:t>
            </w:r>
          </w:p>
          <w:p w:rsidR="001B4FE6" w:rsidRPr="00C30608" w:rsidRDefault="001B4FE6" w:rsidP="001B4FE6">
            <w:pPr>
              <w:pStyle w:val="rvps2"/>
              <w:shd w:val="clear" w:color="auto" w:fill="FFFFFF"/>
              <w:spacing w:before="0" w:beforeAutospacing="0" w:after="0" w:afterAutospacing="0"/>
              <w:ind w:firstLine="502"/>
              <w:jc w:val="both"/>
              <w:textAlignment w:val="baseline"/>
              <w:rPr>
                <w:rFonts w:ascii="Times New Roman CYR" w:eastAsia="Calibri" w:hAnsi="Times New Roman CYR"/>
                <w:b/>
                <w:sz w:val="28"/>
                <w:szCs w:val="28"/>
                <w:lang w:val="uk-UA" w:eastAsia="en-US"/>
              </w:rPr>
            </w:pPr>
            <w:r w:rsidRPr="00C30608">
              <w:rPr>
                <w:rFonts w:ascii="Times New Roman CYR" w:eastAsia="Calibri" w:hAnsi="Times New Roman CYR"/>
                <w:b/>
                <w:sz w:val="28"/>
                <w:szCs w:val="28"/>
                <w:lang w:val="uk-UA" w:eastAsia="en-US"/>
              </w:rPr>
              <w:t>У разі нецільового використання зазначених товарів платник податку зобов’язаний сплатити суму податкового зобов’язання, на яку було надане таке звільнення або умовне повне звільнення, та пеню, нараховану відповідно до статті 129 цього Кодексу, розраховану з дня надання звільнення або умовного повного звільнення від оподаткування.</w:t>
            </w:r>
          </w:p>
          <w:p w:rsidR="001B4FE6" w:rsidRPr="00C30608" w:rsidRDefault="001B4FE6" w:rsidP="001B4FE6">
            <w:pPr>
              <w:pStyle w:val="rvps2"/>
              <w:shd w:val="clear" w:color="auto" w:fill="FFFFFF"/>
              <w:spacing w:before="0" w:beforeAutospacing="0" w:after="0" w:afterAutospacing="0"/>
              <w:ind w:firstLine="502"/>
              <w:jc w:val="both"/>
              <w:textAlignment w:val="baseline"/>
              <w:rPr>
                <w:rFonts w:ascii="Times New Roman CYR" w:hAnsi="Times New Roman CYR"/>
                <w:b/>
                <w:bCs/>
                <w:sz w:val="28"/>
                <w:szCs w:val="28"/>
                <w:shd w:val="clear" w:color="auto" w:fill="FFFFFF"/>
                <w:lang w:val="uk-UA"/>
              </w:rPr>
            </w:pPr>
            <w:r w:rsidRPr="00C30608">
              <w:rPr>
                <w:rFonts w:ascii="Times New Roman CYR" w:eastAsia="Calibri" w:hAnsi="Times New Roman CYR"/>
                <w:b/>
                <w:sz w:val="28"/>
                <w:szCs w:val="28"/>
                <w:lang w:val="uk-UA" w:eastAsia="en-US"/>
              </w:rPr>
              <w:t xml:space="preserve">67. Тимчасово, до 26 травня 2018 року включно, звільняються від </w:t>
            </w:r>
            <w:r w:rsidR="00AD0C17" w:rsidRPr="00AD0C17">
              <w:rPr>
                <w:rFonts w:ascii="Times New Roman CYR" w:eastAsia="Calibri" w:hAnsi="Times New Roman CYR"/>
                <w:b/>
                <w:sz w:val="28"/>
                <w:szCs w:val="28"/>
                <w:lang w:val="uk-UA" w:eastAsia="en-US"/>
              </w:rPr>
              <w:t>оподаткування податком</w:t>
            </w:r>
            <w:r w:rsidR="00AD0C17">
              <w:rPr>
                <w:rFonts w:ascii="Times New Roman CYR" w:eastAsia="Calibri" w:hAnsi="Times New Roman CYR"/>
                <w:sz w:val="28"/>
                <w:szCs w:val="28"/>
                <w:lang w:val="uk-UA" w:eastAsia="en-US"/>
              </w:rPr>
              <w:t xml:space="preserve"> </w:t>
            </w:r>
            <w:r w:rsidRPr="00C30608">
              <w:rPr>
                <w:rFonts w:ascii="Times New Roman CYR" w:eastAsia="Calibri" w:hAnsi="Times New Roman CYR"/>
                <w:b/>
                <w:sz w:val="28"/>
                <w:szCs w:val="28"/>
                <w:lang w:val="uk-UA" w:eastAsia="en-US"/>
              </w:rPr>
              <w:t xml:space="preserve">на додану вартість операції з постачання (надання) УЄФА або юридичними особами, уповноваженими УЄФА на здійснення організаційних заходів та/або проведення </w:t>
            </w:r>
            <w:r w:rsidRPr="00C30608">
              <w:rPr>
                <w:rFonts w:ascii="Times New Roman CYR" w:hAnsi="Times New Roman CYR"/>
                <w:b/>
                <w:bCs/>
                <w:sz w:val="28"/>
                <w:szCs w:val="28"/>
                <w:shd w:val="clear" w:color="auto" w:fill="FFFFFF"/>
                <w:lang w:val="uk-UA"/>
              </w:rPr>
              <w:t>фінальних матчів Ліги чемпіонів УЄФА та Ліги чемпіонів УЄФА серед жінок сезону 2017/2018</w:t>
            </w:r>
            <w:r w:rsidRPr="00C30608">
              <w:rPr>
                <w:rFonts w:ascii="Times New Roman CYR" w:eastAsia="Calibri" w:hAnsi="Times New Roman CYR"/>
                <w:b/>
                <w:sz w:val="28"/>
                <w:szCs w:val="28"/>
                <w:lang w:val="uk-UA" w:eastAsia="en-US"/>
              </w:rPr>
              <w:t>, квитків (послуг, що є їх невід’ємною частиною)</w:t>
            </w:r>
            <w:r w:rsidRPr="00C30608">
              <w:rPr>
                <w:rFonts w:ascii="Times New Roman CYR" w:hAnsi="Times New Roman CYR"/>
                <w:b/>
                <w:bCs/>
                <w:sz w:val="28"/>
                <w:szCs w:val="28"/>
                <w:shd w:val="clear" w:color="auto" w:fill="FFFFFF"/>
                <w:lang w:val="uk-UA"/>
              </w:rPr>
              <w:t>.</w:t>
            </w:r>
          </w:p>
          <w:p w:rsidR="00FE2AF7" w:rsidRPr="00C30608" w:rsidRDefault="001B4FE6" w:rsidP="001B4FE6">
            <w:pPr>
              <w:pStyle w:val="rvps2"/>
              <w:shd w:val="clear" w:color="auto" w:fill="FFFFFF"/>
              <w:spacing w:before="120" w:beforeAutospacing="0" w:after="0" w:afterAutospacing="0"/>
              <w:ind w:firstLine="502"/>
              <w:jc w:val="both"/>
              <w:textAlignment w:val="baseline"/>
              <w:rPr>
                <w:sz w:val="28"/>
                <w:szCs w:val="28"/>
                <w:lang w:val="uk-UA"/>
              </w:rPr>
            </w:pPr>
            <w:r w:rsidRPr="00C30608">
              <w:rPr>
                <w:rFonts w:ascii="Times New Roman CYR" w:hAnsi="Times New Roman CYR"/>
                <w:b/>
                <w:sz w:val="28"/>
                <w:szCs w:val="28"/>
                <w:lang w:val="uk-UA"/>
              </w:rPr>
              <w:t>Для цілей цього пункту термін “УЄФА” вживається у значенні “Союз європейських футбольних асоціацій”.</w:t>
            </w:r>
          </w:p>
        </w:tc>
      </w:tr>
      <w:tr w:rsidR="00C30608" w:rsidRPr="00C30608" w:rsidTr="00C41673">
        <w:trPr>
          <w:trHeight w:val="125"/>
        </w:trPr>
        <w:tc>
          <w:tcPr>
            <w:tcW w:w="7584" w:type="dxa"/>
            <w:tcBorders>
              <w:top w:val="single" w:sz="4" w:space="0" w:color="auto"/>
              <w:left w:val="single" w:sz="4" w:space="0" w:color="auto"/>
              <w:bottom w:val="single" w:sz="4" w:space="0" w:color="auto"/>
              <w:right w:val="single" w:sz="4" w:space="0" w:color="auto"/>
            </w:tcBorders>
          </w:tcPr>
          <w:p w:rsidR="000778B5" w:rsidRPr="00C30608" w:rsidRDefault="00C41673" w:rsidP="00C41673">
            <w:pPr>
              <w:spacing w:before="120"/>
              <w:ind w:firstLine="470"/>
              <w:jc w:val="both"/>
              <w:rPr>
                <w:sz w:val="28"/>
                <w:szCs w:val="28"/>
              </w:rPr>
            </w:pPr>
            <w:r w:rsidRPr="00C30608">
              <w:rPr>
                <w:sz w:val="28"/>
                <w:szCs w:val="28"/>
              </w:rPr>
              <w:lastRenderedPageBreak/>
              <w:t xml:space="preserve">Підрозділ 4 «Особливості справляння податку на прибуток підприємств» розділу </w:t>
            </w:r>
            <w:r w:rsidRPr="00C30608">
              <w:rPr>
                <w:sz w:val="28"/>
                <w:szCs w:val="28"/>
                <w:lang w:val="en-US"/>
              </w:rPr>
              <w:t>XX</w:t>
            </w:r>
            <w:r w:rsidRPr="00C30608">
              <w:rPr>
                <w:sz w:val="28"/>
                <w:szCs w:val="28"/>
                <w:lang w:val="ru-RU"/>
              </w:rPr>
              <w:t xml:space="preserve"> «</w:t>
            </w:r>
            <w:r w:rsidRPr="00C30608">
              <w:rPr>
                <w:sz w:val="28"/>
                <w:szCs w:val="28"/>
              </w:rPr>
              <w:t>Перехідні положення»</w:t>
            </w:r>
          </w:p>
          <w:p w:rsidR="00C41673" w:rsidRPr="00C30608" w:rsidRDefault="00C41673" w:rsidP="00C41673">
            <w:pPr>
              <w:spacing w:before="120"/>
              <w:ind w:firstLine="470"/>
              <w:jc w:val="both"/>
              <w:rPr>
                <w:sz w:val="28"/>
                <w:szCs w:val="28"/>
              </w:rPr>
            </w:pPr>
            <w:r w:rsidRPr="00C30608">
              <w:rPr>
                <w:sz w:val="28"/>
                <w:szCs w:val="28"/>
              </w:rPr>
              <w:t>…</w:t>
            </w:r>
          </w:p>
          <w:p w:rsidR="00C41673" w:rsidRPr="00C30608" w:rsidRDefault="00C41673" w:rsidP="00C41673">
            <w:pPr>
              <w:spacing w:before="120"/>
              <w:ind w:firstLine="470"/>
              <w:jc w:val="both"/>
              <w:rPr>
                <w:sz w:val="28"/>
                <w:szCs w:val="28"/>
              </w:rPr>
            </w:pPr>
            <w:r w:rsidRPr="00C30608">
              <w:rPr>
                <w:b/>
                <w:sz w:val="28"/>
                <w:szCs w:val="28"/>
              </w:rPr>
              <w:t>Норма відсутня.</w:t>
            </w:r>
          </w:p>
        </w:tc>
        <w:tc>
          <w:tcPr>
            <w:tcW w:w="7584" w:type="dxa"/>
            <w:tcBorders>
              <w:top w:val="single" w:sz="4" w:space="0" w:color="auto"/>
              <w:left w:val="single" w:sz="4" w:space="0" w:color="auto"/>
              <w:bottom w:val="single" w:sz="4" w:space="0" w:color="auto"/>
              <w:right w:val="single" w:sz="4" w:space="0" w:color="auto"/>
            </w:tcBorders>
          </w:tcPr>
          <w:p w:rsidR="00C41673" w:rsidRPr="00C30608" w:rsidRDefault="00C41673" w:rsidP="00C41673">
            <w:pPr>
              <w:spacing w:before="120"/>
              <w:ind w:firstLine="470"/>
              <w:jc w:val="both"/>
              <w:rPr>
                <w:sz w:val="28"/>
                <w:szCs w:val="28"/>
              </w:rPr>
            </w:pPr>
            <w:r w:rsidRPr="00C30608">
              <w:rPr>
                <w:sz w:val="28"/>
                <w:szCs w:val="28"/>
              </w:rPr>
              <w:t xml:space="preserve">Підрозділ 4 «Особливості справляння податку на прибуток підприємств» розділу </w:t>
            </w:r>
            <w:r w:rsidRPr="00C30608">
              <w:rPr>
                <w:sz w:val="28"/>
                <w:szCs w:val="28"/>
                <w:lang w:val="en-US"/>
              </w:rPr>
              <w:t>XX</w:t>
            </w:r>
            <w:r w:rsidRPr="00C30608">
              <w:rPr>
                <w:sz w:val="28"/>
                <w:szCs w:val="28"/>
                <w:lang w:val="ru-RU"/>
              </w:rPr>
              <w:t xml:space="preserve"> «</w:t>
            </w:r>
            <w:r w:rsidRPr="00C30608">
              <w:rPr>
                <w:sz w:val="28"/>
                <w:szCs w:val="28"/>
              </w:rPr>
              <w:t>Перехідні положення»</w:t>
            </w:r>
          </w:p>
          <w:p w:rsidR="00C41673" w:rsidRPr="00C30608" w:rsidRDefault="00C41673" w:rsidP="00C41673">
            <w:pPr>
              <w:spacing w:before="120"/>
              <w:ind w:firstLine="470"/>
              <w:jc w:val="both"/>
              <w:rPr>
                <w:sz w:val="28"/>
                <w:szCs w:val="28"/>
              </w:rPr>
            </w:pPr>
            <w:r w:rsidRPr="00C30608">
              <w:rPr>
                <w:sz w:val="28"/>
                <w:szCs w:val="28"/>
              </w:rPr>
              <w:t>…</w:t>
            </w:r>
          </w:p>
          <w:p w:rsidR="001B4FE6" w:rsidRPr="00C30608" w:rsidRDefault="001B4FE6" w:rsidP="001B4FE6">
            <w:pPr>
              <w:pStyle w:val="a3"/>
              <w:spacing w:before="0"/>
              <w:ind w:firstLine="531"/>
              <w:rPr>
                <w:rFonts w:ascii="Times New Roman CYR" w:hAnsi="Times New Roman CYR"/>
                <w:b/>
                <w:sz w:val="28"/>
                <w:szCs w:val="28"/>
              </w:rPr>
            </w:pPr>
            <w:r w:rsidRPr="00C30608">
              <w:rPr>
                <w:rFonts w:ascii="Times New Roman CYR" w:hAnsi="Times New Roman CYR"/>
                <w:b/>
                <w:sz w:val="28"/>
                <w:szCs w:val="28"/>
              </w:rPr>
              <w:t xml:space="preserve">51. Звільняється від оподаткування прибуток, отриманий до </w:t>
            </w:r>
            <w:r w:rsidRPr="00C30608">
              <w:rPr>
                <w:rFonts w:ascii="Times New Roman CYR" w:eastAsia="Calibri" w:hAnsi="Times New Roman CYR"/>
                <w:b/>
                <w:sz w:val="28"/>
                <w:szCs w:val="28"/>
                <w:lang w:eastAsia="en-US"/>
              </w:rPr>
              <w:t xml:space="preserve">26 травня </w:t>
            </w:r>
            <w:r w:rsidRPr="00C30608">
              <w:rPr>
                <w:rFonts w:ascii="Times New Roman CYR" w:hAnsi="Times New Roman CYR"/>
                <w:b/>
                <w:sz w:val="28"/>
                <w:szCs w:val="28"/>
              </w:rPr>
              <w:t xml:space="preserve"> 2018 року </w:t>
            </w:r>
            <w:r w:rsidRPr="00C30608">
              <w:rPr>
                <w:rFonts w:ascii="Times New Roman CYR" w:eastAsia="Calibri" w:hAnsi="Times New Roman CYR"/>
                <w:b/>
                <w:sz w:val="28"/>
                <w:szCs w:val="28"/>
                <w:lang w:eastAsia="en-US"/>
              </w:rPr>
              <w:t>включно</w:t>
            </w:r>
            <w:r w:rsidRPr="00C30608">
              <w:rPr>
                <w:rFonts w:ascii="Times New Roman CYR" w:hAnsi="Times New Roman CYR"/>
                <w:b/>
                <w:sz w:val="28"/>
                <w:szCs w:val="28"/>
              </w:rPr>
              <w:t xml:space="preserve"> УЄФА та/або його пов’язаними особами від передачі та/чи використання комерційних прав, що стосуються </w:t>
            </w:r>
            <w:r w:rsidRPr="00C30608">
              <w:rPr>
                <w:rFonts w:ascii="Times New Roman CYR" w:hAnsi="Times New Roman CYR"/>
                <w:b/>
                <w:bCs/>
                <w:sz w:val="28"/>
                <w:szCs w:val="28"/>
                <w:shd w:val="clear" w:color="auto" w:fill="FFFFFF"/>
              </w:rPr>
              <w:t>фінальних матчів Ліги чемпіонів УЄФА та Ліги чемпіонів УЄФА серед жінок сезону 2017/2018.</w:t>
            </w:r>
          </w:p>
          <w:p w:rsidR="001B4FE6" w:rsidRPr="00C30608" w:rsidRDefault="001B4FE6" w:rsidP="001B4FE6">
            <w:pPr>
              <w:pStyle w:val="a3"/>
              <w:spacing w:before="0"/>
              <w:ind w:firstLine="531"/>
              <w:rPr>
                <w:rFonts w:ascii="Times New Roman CYR" w:hAnsi="Times New Roman CYR"/>
                <w:b/>
                <w:sz w:val="28"/>
                <w:szCs w:val="28"/>
              </w:rPr>
            </w:pPr>
            <w:r w:rsidRPr="00C30608">
              <w:rPr>
                <w:rFonts w:ascii="Times New Roman CYR" w:hAnsi="Times New Roman CYR"/>
                <w:b/>
                <w:sz w:val="28"/>
                <w:szCs w:val="28"/>
              </w:rPr>
              <w:t xml:space="preserve">Діяльність УЄФА та/або його пов’язаних осіб для </w:t>
            </w:r>
            <w:r w:rsidRPr="00C30608">
              <w:rPr>
                <w:rFonts w:ascii="Times New Roman CYR" w:hAnsi="Times New Roman CYR"/>
                <w:b/>
                <w:sz w:val="28"/>
                <w:szCs w:val="28"/>
              </w:rPr>
              <w:lastRenderedPageBreak/>
              <w:t>цілей підготовки та/або  проведення зазначених</w:t>
            </w:r>
            <w:r w:rsidRPr="00C30608">
              <w:rPr>
                <w:rFonts w:ascii="Times New Roman CYR" w:hAnsi="Times New Roman CYR"/>
                <w:b/>
                <w:bCs/>
                <w:sz w:val="28"/>
                <w:szCs w:val="28"/>
                <w:shd w:val="clear" w:color="auto" w:fill="FFFFFF"/>
              </w:rPr>
              <w:t xml:space="preserve"> матчів провадиться без створення </w:t>
            </w:r>
            <w:r w:rsidRPr="00C30608">
              <w:rPr>
                <w:rFonts w:ascii="Times New Roman CYR" w:hAnsi="Times New Roman CYR"/>
                <w:b/>
                <w:sz w:val="28"/>
                <w:szCs w:val="28"/>
              </w:rPr>
              <w:t xml:space="preserve">постійного представництва в Україні </w:t>
            </w:r>
            <w:r w:rsidR="009D5E23">
              <w:rPr>
                <w:rFonts w:ascii="Times New Roman CYR" w:hAnsi="Times New Roman CYR"/>
                <w:b/>
                <w:sz w:val="28"/>
                <w:szCs w:val="28"/>
              </w:rPr>
              <w:t>в</w:t>
            </w:r>
            <w:bookmarkStart w:id="0" w:name="_GoBack"/>
            <w:bookmarkEnd w:id="0"/>
            <w:r w:rsidRPr="00C30608">
              <w:rPr>
                <w:rFonts w:ascii="Times New Roman CYR" w:hAnsi="Times New Roman CYR"/>
                <w:b/>
                <w:sz w:val="28"/>
                <w:szCs w:val="28"/>
              </w:rPr>
              <w:t xml:space="preserve"> розумінні підпункту 14.1.193 пункту 14.1 статті 14 цього Кодексу та отриманий прибуток від такої діяльності звільня</w:t>
            </w:r>
            <w:r w:rsidR="009D5E23">
              <w:rPr>
                <w:rFonts w:ascii="Times New Roman CYR" w:hAnsi="Times New Roman CYR"/>
                <w:b/>
                <w:sz w:val="28"/>
                <w:szCs w:val="28"/>
              </w:rPr>
              <w:t>є</w:t>
            </w:r>
            <w:r w:rsidRPr="00C30608">
              <w:rPr>
                <w:rFonts w:ascii="Times New Roman CYR" w:hAnsi="Times New Roman CYR"/>
                <w:b/>
                <w:sz w:val="28"/>
                <w:szCs w:val="28"/>
              </w:rPr>
              <w:t>ться від оподаткування згідно з розділом ІІІ цього Кодексу.</w:t>
            </w:r>
          </w:p>
          <w:p w:rsidR="001B4FE6" w:rsidRPr="00C30608" w:rsidRDefault="001B4FE6" w:rsidP="001B4FE6">
            <w:pPr>
              <w:pStyle w:val="a3"/>
              <w:spacing w:before="0"/>
              <w:ind w:firstLine="531"/>
              <w:rPr>
                <w:rFonts w:ascii="Times New Roman CYR" w:hAnsi="Times New Roman CYR"/>
                <w:b/>
                <w:bCs/>
                <w:sz w:val="28"/>
                <w:szCs w:val="28"/>
                <w:shd w:val="clear" w:color="auto" w:fill="FFFFFF"/>
              </w:rPr>
            </w:pPr>
            <w:r w:rsidRPr="00C30608">
              <w:rPr>
                <w:rFonts w:ascii="Times New Roman CYR" w:hAnsi="Times New Roman CYR"/>
                <w:b/>
                <w:sz w:val="28"/>
                <w:szCs w:val="28"/>
              </w:rPr>
              <w:t xml:space="preserve">Не оподатковуються доходи із джерелом їх походження з України, визначені у пункті 141.4 статті 141 цього Кодексу та отримані УЄФА та/або його пов’язаними особами від Федерації футболу України та резидентів України, що залучені для підготовки та/або проведення </w:t>
            </w:r>
            <w:r w:rsidRPr="00C30608">
              <w:rPr>
                <w:rFonts w:ascii="Times New Roman CYR" w:hAnsi="Times New Roman CYR"/>
                <w:b/>
                <w:bCs/>
                <w:sz w:val="28"/>
                <w:szCs w:val="28"/>
                <w:shd w:val="clear" w:color="auto" w:fill="FFFFFF"/>
              </w:rPr>
              <w:t>зазначених матчів.</w:t>
            </w:r>
          </w:p>
          <w:p w:rsidR="001B4FE6" w:rsidRPr="00C30608" w:rsidRDefault="001B4FE6" w:rsidP="001B4FE6">
            <w:pPr>
              <w:pStyle w:val="a3"/>
              <w:spacing w:before="0"/>
              <w:ind w:firstLine="531"/>
              <w:rPr>
                <w:rFonts w:ascii="Times New Roman CYR" w:hAnsi="Times New Roman CYR"/>
                <w:b/>
                <w:sz w:val="28"/>
                <w:szCs w:val="28"/>
              </w:rPr>
            </w:pPr>
            <w:r w:rsidRPr="00C30608">
              <w:rPr>
                <w:rFonts w:ascii="Times New Roman CYR" w:hAnsi="Times New Roman CYR"/>
                <w:b/>
                <w:sz w:val="28"/>
                <w:szCs w:val="28"/>
              </w:rPr>
              <w:t>У цьому пункті терміни вживаються в такому значенні:</w:t>
            </w:r>
          </w:p>
          <w:p w:rsidR="001B4FE6" w:rsidRPr="00C30608" w:rsidRDefault="001B4FE6" w:rsidP="001B4FE6">
            <w:pPr>
              <w:pStyle w:val="a3"/>
              <w:spacing w:before="0"/>
              <w:ind w:firstLine="531"/>
              <w:rPr>
                <w:rFonts w:ascii="Times New Roman CYR" w:hAnsi="Times New Roman CYR"/>
                <w:b/>
                <w:sz w:val="28"/>
                <w:szCs w:val="28"/>
              </w:rPr>
            </w:pPr>
            <w:r w:rsidRPr="00C30608">
              <w:rPr>
                <w:rFonts w:ascii="Times New Roman CYR" w:hAnsi="Times New Roman CYR"/>
                <w:b/>
                <w:sz w:val="28"/>
                <w:szCs w:val="28"/>
              </w:rPr>
              <w:t xml:space="preserve">комерційні права – права, шо виникають у зв’язку з проведенням </w:t>
            </w:r>
            <w:r w:rsidRPr="00C30608">
              <w:rPr>
                <w:rFonts w:ascii="Times New Roman CYR" w:hAnsi="Times New Roman CYR"/>
                <w:b/>
                <w:bCs/>
                <w:sz w:val="28"/>
                <w:szCs w:val="28"/>
                <w:shd w:val="clear" w:color="auto" w:fill="FFFFFF"/>
              </w:rPr>
              <w:t>зазначених матчів</w:t>
            </w:r>
            <w:r w:rsidRPr="00C30608">
              <w:rPr>
                <w:rFonts w:ascii="Times New Roman CYR" w:hAnsi="Times New Roman CYR"/>
                <w:b/>
                <w:sz w:val="28"/>
                <w:szCs w:val="28"/>
              </w:rPr>
              <w:t>, включаючи права на рекламування, маркетинг, збут, ліцензування, комерційну концесію, спонсорство, опублікування, діяльність друкованих засобів масової інформації, телевізійне мовлення, запис і відтворення заходів, пов’язаних з проведенням зазначених</w:t>
            </w:r>
            <w:r w:rsidRPr="00C30608">
              <w:rPr>
                <w:rFonts w:ascii="Times New Roman CYR" w:hAnsi="Times New Roman CYR"/>
                <w:b/>
                <w:bCs/>
                <w:sz w:val="28"/>
                <w:szCs w:val="28"/>
                <w:shd w:val="clear" w:color="auto" w:fill="FFFFFF"/>
              </w:rPr>
              <w:t xml:space="preserve"> матчів</w:t>
            </w:r>
            <w:r w:rsidRPr="00C30608">
              <w:rPr>
                <w:rFonts w:ascii="Times New Roman CYR" w:hAnsi="Times New Roman CYR"/>
                <w:b/>
                <w:sz w:val="28"/>
                <w:szCs w:val="28"/>
              </w:rPr>
              <w:t>;</w:t>
            </w:r>
          </w:p>
          <w:p w:rsidR="001B4FE6" w:rsidRPr="00C30608" w:rsidRDefault="001B4FE6" w:rsidP="001B4FE6">
            <w:pPr>
              <w:pStyle w:val="a3"/>
              <w:ind w:firstLine="531"/>
              <w:rPr>
                <w:sz w:val="28"/>
                <w:szCs w:val="28"/>
              </w:rPr>
            </w:pPr>
            <w:r w:rsidRPr="00C30608">
              <w:rPr>
                <w:rFonts w:ascii="Times New Roman CYR" w:hAnsi="Times New Roman CYR"/>
                <w:b/>
                <w:sz w:val="28"/>
                <w:szCs w:val="28"/>
              </w:rPr>
              <w:t>УЄФА – Союз європейських футбольних асоціацій.</w:t>
            </w:r>
          </w:p>
        </w:tc>
      </w:tr>
      <w:tr w:rsidR="001B4FE6" w:rsidRPr="00AD0C17" w:rsidTr="00C41673">
        <w:trPr>
          <w:trHeight w:val="125"/>
        </w:trPr>
        <w:tc>
          <w:tcPr>
            <w:tcW w:w="7584" w:type="dxa"/>
            <w:tcBorders>
              <w:top w:val="single" w:sz="4" w:space="0" w:color="auto"/>
              <w:left w:val="single" w:sz="4" w:space="0" w:color="auto"/>
              <w:bottom w:val="single" w:sz="4" w:space="0" w:color="auto"/>
              <w:right w:val="single" w:sz="4" w:space="0" w:color="auto"/>
            </w:tcBorders>
          </w:tcPr>
          <w:p w:rsidR="001B4FE6" w:rsidRPr="00AD0C17" w:rsidRDefault="001B4FE6" w:rsidP="001B4FE6">
            <w:pPr>
              <w:spacing w:before="120"/>
              <w:ind w:firstLine="470"/>
              <w:jc w:val="both"/>
              <w:rPr>
                <w:sz w:val="28"/>
                <w:szCs w:val="28"/>
              </w:rPr>
            </w:pPr>
            <w:r w:rsidRPr="00AD0C17">
              <w:rPr>
                <w:sz w:val="28"/>
                <w:szCs w:val="28"/>
              </w:rPr>
              <w:lastRenderedPageBreak/>
              <w:t xml:space="preserve">Підрозділ 10 “Інші перехідні положення” розділу </w:t>
            </w:r>
            <w:r w:rsidRPr="00AD0C17">
              <w:rPr>
                <w:sz w:val="28"/>
                <w:szCs w:val="28"/>
                <w:lang w:val="en-US"/>
              </w:rPr>
              <w:t>XX</w:t>
            </w:r>
            <w:r w:rsidRPr="00AD0C17">
              <w:rPr>
                <w:sz w:val="28"/>
                <w:szCs w:val="28"/>
              </w:rPr>
              <w:t xml:space="preserve"> «Перехідні положення»</w:t>
            </w:r>
          </w:p>
          <w:p w:rsidR="001B4FE6" w:rsidRPr="00AD0C17" w:rsidRDefault="001B4FE6" w:rsidP="001B4FE6">
            <w:pPr>
              <w:spacing w:before="120"/>
              <w:ind w:firstLine="470"/>
              <w:jc w:val="both"/>
              <w:rPr>
                <w:sz w:val="28"/>
                <w:szCs w:val="28"/>
              </w:rPr>
            </w:pPr>
            <w:r w:rsidRPr="00AD0C17">
              <w:rPr>
                <w:sz w:val="28"/>
                <w:szCs w:val="28"/>
              </w:rPr>
              <w:t>…</w:t>
            </w:r>
          </w:p>
          <w:p w:rsidR="001B4FE6" w:rsidRPr="00AD0C17" w:rsidRDefault="001B4FE6" w:rsidP="001B4FE6">
            <w:pPr>
              <w:shd w:val="clear" w:color="auto" w:fill="FFFFFF"/>
              <w:ind w:firstLine="450"/>
              <w:jc w:val="both"/>
              <w:textAlignment w:val="baseline"/>
              <w:rPr>
                <w:sz w:val="28"/>
                <w:szCs w:val="28"/>
              </w:rPr>
            </w:pPr>
            <w:r w:rsidRPr="00AD0C17">
              <w:rPr>
                <w:sz w:val="28"/>
                <w:szCs w:val="28"/>
              </w:rPr>
              <w:t>16</w:t>
            </w:r>
            <w:r w:rsidRPr="00AD0C17">
              <w:rPr>
                <w:b/>
                <w:bCs/>
                <w:sz w:val="28"/>
                <w:szCs w:val="28"/>
                <w:bdr w:val="none" w:sz="0" w:space="0" w:color="auto" w:frame="1"/>
              </w:rPr>
              <w:t>-</w:t>
            </w:r>
            <w:r w:rsidRPr="00AD0C17">
              <w:rPr>
                <w:b/>
                <w:bCs/>
                <w:sz w:val="28"/>
                <w:szCs w:val="28"/>
                <w:bdr w:val="none" w:sz="0" w:space="0" w:color="auto" w:frame="1"/>
                <w:vertAlign w:val="superscript"/>
              </w:rPr>
              <w:t>1</w:t>
            </w:r>
            <w:r w:rsidRPr="00AD0C17">
              <w:rPr>
                <w:sz w:val="28"/>
                <w:szCs w:val="28"/>
              </w:rPr>
              <w:t>. Тимчасово, до набрання чинності рішенням Верховної Ради України про завершення реформи Збройних Сил України, встановлюється військовий збір.</w:t>
            </w:r>
          </w:p>
          <w:p w:rsidR="001B4FE6" w:rsidRPr="00AD0C17" w:rsidRDefault="001B4FE6" w:rsidP="001B4FE6">
            <w:pPr>
              <w:spacing w:before="120"/>
              <w:ind w:firstLine="470"/>
              <w:jc w:val="both"/>
              <w:rPr>
                <w:sz w:val="28"/>
                <w:szCs w:val="28"/>
              </w:rPr>
            </w:pPr>
            <w:r w:rsidRPr="00AD0C17">
              <w:rPr>
                <w:sz w:val="28"/>
                <w:szCs w:val="28"/>
              </w:rPr>
              <w:lastRenderedPageBreak/>
              <w:t>…</w:t>
            </w:r>
          </w:p>
          <w:p w:rsidR="001B4FE6" w:rsidRPr="00AD0C17" w:rsidRDefault="001B4FE6" w:rsidP="001B4FE6">
            <w:pPr>
              <w:spacing w:before="120"/>
              <w:ind w:firstLine="470"/>
              <w:jc w:val="both"/>
              <w:rPr>
                <w:sz w:val="28"/>
                <w:szCs w:val="28"/>
              </w:rPr>
            </w:pPr>
            <w:r w:rsidRPr="00AD0C17">
              <w:rPr>
                <w:b/>
                <w:sz w:val="28"/>
                <w:szCs w:val="28"/>
              </w:rPr>
              <w:t>Норма відсутня.</w:t>
            </w:r>
          </w:p>
        </w:tc>
        <w:tc>
          <w:tcPr>
            <w:tcW w:w="7584" w:type="dxa"/>
            <w:tcBorders>
              <w:top w:val="single" w:sz="4" w:space="0" w:color="auto"/>
              <w:left w:val="single" w:sz="4" w:space="0" w:color="auto"/>
              <w:bottom w:val="single" w:sz="4" w:space="0" w:color="auto"/>
              <w:right w:val="single" w:sz="4" w:space="0" w:color="auto"/>
            </w:tcBorders>
          </w:tcPr>
          <w:p w:rsidR="001B4FE6" w:rsidRPr="00AD0C17" w:rsidRDefault="001B4FE6" w:rsidP="001B4FE6">
            <w:pPr>
              <w:spacing w:before="120"/>
              <w:ind w:firstLine="470"/>
              <w:jc w:val="both"/>
              <w:rPr>
                <w:sz w:val="28"/>
                <w:szCs w:val="28"/>
              </w:rPr>
            </w:pPr>
            <w:r w:rsidRPr="00AD0C17">
              <w:rPr>
                <w:sz w:val="28"/>
                <w:szCs w:val="28"/>
              </w:rPr>
              <w:lastRenderedPageBreak/>
              <w:t xml:space="preserve">Підрозділ 10 “Інші перехідні положення” розділу </w:t>
            </w:r>
            <w:r w:rsidRPr="00AD0C17">
              <w:rPr>
                <w:sz w:val="28"/>
                <w:szCs w:val="28"/>
                <w:lang w:val="en-US"/>
              </w:rPr>
              <w:t>XX</w:t>
            </w:r>
            <w:r w:rsidRPr="00AD0C17">
              <w:rPr>
                <w:sz w:val="28"/>
                <w:szCs w:val="28"/>
              </w:rPr>
              <w:t xml:space="preserve"> «Перехідні положення»</w:t>
            </w:r>
          </w:p>
          <w:p w:rsidR="001B4FE6" w:rsidRPr="00AD0C17" w:rsidRDefault="001B4FE6" w:rsidP="001B4FE6">
            <w:pPr>
              <w:spacing w:before="120"/>
              <w:ind w:firstLine="470"/>
              <w:jc w:val="both"/>
              <w:rPr>
                <w:sz w:val="28"/>
                <w:szCs w:val="28"/>
              </w:rPr>
            </w:pPr>
            <w:r w:rsidRPr="00AD0C17">
              <w:rPr>
                <w:sz w:val="28"/>
                <w:szCs w:val="28"/>
              </w:rPr>
              <w:t>…</w:t>
            </w:r>
          </w:p>
          <w:p w:rsidR="001B4FE6" w:rsidRPr="00AD0C17" w:rsidRDefault="001B4FE6" w:rsidP="001B4FE6">
            <w:pPr>
              <w:shd w:val="clear" w:color="auto" w:fill="FFFFFF"/>
              <w:ind w:firstLine="450"/>
              <w:jc w:val="both"/>
              <w:textAlignment w:val="baseline"/>
              <w:rPr>
                <w:sz w:val="28"/>
                <w:szCs w:val="28"/>
              </w:rPr>
            </w:pPr>
            <w:r w:rsidRPr="00AD0C17">
              <w:rPr>
                <w:sz w:val="28"/>
                <w:szCs w:val="28"/>
              </w:rPr>
              <w:t>16</w:t>
            </w:r>
            <w:r w:rsidRPr="00AD0C17">
              <w:rPr>
                <w:b/>
                <w:bCs/>
                <w:sz w:val="28"/>
                <w:szCs w:val="28"/>
                <w:bdr w:val="none" w:sz="0" w:space="0" w:color="auto" w:frame="1"/>
              </w:rPr>
              <w:t>-</w:t>
            </w:r>
            <w:r w:rsidRPr="00AD0C17">
              <w:rPr>
                <w:b/>
                <w:bCs/>
                <w:sz w:val="28"/>
                <w:szCs w:val="28"/>
                <w:bdr w:val="none" w:sz="0" w:space="0" w:color="auto" w:frame="1"/>
                <w:vertAlign w:val="superscript"/>
              </w:rPr>
              <w:t>1</w:t>
            </w:r>
            <w:r w:rsidRPr="00AD0C17">
              <w:rPr>
                <w:sz w:val="28"/>
                <w:szCs w:val="28"/>
              </w:rPr>
              <w:t>. Тимчасово, до набрання чинності рішенням Верховної Ради України про завершення реформи Збройних Сил України, встановлюється військовий збір.</w:t>
            </w:r>
          </w:p>
          <w:p w:rsidR="001B4FE6" w:rsidRPr="00AD0C17" w:rsidRDefault="001B4FE6" w:rsidP="00C41673">
            <w:pPr>
              <w:spacing w:before="120"/>
              <w:ind w:firstLine="470"/>
              <w:jc w:val="both"/>
              <w:rPr>
                <w:sz w:val="28"/>
                <w:szCs w:val="28"/>
              </w:rPr>
            </w:pPr>
            <w:r w:rsidRPr="00AD0C17">
              <w:rPr>
                <w:sz w:val="28"/>
                <w:szCs w:val="28"/>
              </w:rPr>
              <w:lastRenderedPageBreak/>
              <w:t>…</w:t>
            </w:r>
          </w:p>
          <w:p w:rsidR="001B4FE6" w:rsidRPr="00AD0C17" w:rsidRDefault="001B4FE6" w:rsidP="00AD0C17">
            <w:pPr>
              <w:spacing w:before="120"/>
              <w:ind w:firstLine="470"/>
              <w:jc w:val="both"/>
              <w:rPr>
                <w:b/>
                <w:sz w:val="28"/>
                <w:szCs w:val="28"/>
              </w:rPr>
            </w:pPr>
            <w:r w:rsidRPr="00AD0C17">
              <w:rPr>
                <w:b/>
                <w:sz w:val="28"/>
                <w:szCs w:val="28"/>
              </w:rPr>
              <w:t>1.9. Звільняються від оподаткування військовим збором доходи, зазначені у абзаці першому пункт</w:t>
            </w:r>
            <w:r w:rsidR="00AD0C17">
              <w:rPr>
                <w:b/>
                <w:sz w:val="28"/>
                <w:szCs w:val="28"/>
              </w:rPr>
              <w:t>у</w:t>
            </w:r>
            <w:r w:rsidRPr="00AD0C17">
              <w:rPr>
                <w:b/>
                <w:sz w:val="28"/>
                <w:szCs w:val="28"/>
              </w:rPr>
              <w:t xml:space="preserve"> 10 підрозділу 1 цього розділу.</w:t>
            </w:r>
          </w:p>
        </w:tc>
      </w:tr>
    </w:tbl>
    <w:p w:rsidR="00624E53" w:rsidRPr="00C30608" w:rsidRDefault="00624E53">
      <w:pPr>
        <w:rPr>
          <w:sz w:val="28"/>
          <w:szCs w:val="28"/>
        </w:rPr>
      </w:pPr>
    </w:p>
    <w:p w:rsidR="00C41673" w:rsidRPr="00C30608" w:rsidRDefault="00C41673">
      <w:pPr>
        <w:rPr>
          <w:sz w:val="28"/>
          <w:szCs w:val="28"/>
        </w:rPr>
      </w:pPr>
    </w:p>
    <w:p w:rsidR="009F69CF" w:rsidRPr="00FC4A03" w:rsidRDefault="008C6E92" w:rsidP="009F69CF">
      <w:pPr>
        <w:spacing w:before="120"/>
        <w:jc w:val="both"/>
        <w:rPr>
          <w:b/>
          <w:sz w:val="28"/>
          <w:szCs w:val="28"/>
        </w:rPr>
      </w:pPr>
      <w:r w:rsidRPr="00C30608">
        <w:rPr>
          <w:b/>
          <w:sz w:val="28"/>
          <w:szCs w:val="28"/>
        </w:rPr>
        <w:t xml:space="preserve"> </w:t>
      </w:r>
      <w:r w:rsidR="009F69CF" w:rsidRPr="00FC4A03">
        <w:rPr>
          <w:b/>
          <w:sz w:val="28"/>
          <w:szCs w:val="28"/>
          <w:lang w:val="ru-RU"/>
        </w:rPr>
        <w:t xml:space="preserve">В. о. </w:t>
      </w:r>
      <w:r w:rsidR="009F69CF" w:rsidRPr="00FC4A03">
        <w:rPr>
          <w:b/>
          <w:sz w:val="28"/>
          <w:szCs w:val="28"/>
        </w:rPr>
        <w:t>Міністр</w:t>
      </w:r>
      <w:r w:rsidR="009F69CF" w:rsidRPr="00FC4A03">
        <w:rPr>
          <w:b/>
          <w:sz w:val="28"/>
          <w:szCs w:val="28"/>
          <w:lang w:val="ru-RU"/>
        </w:rPr>
        <w:t>а</w:t>
      </w:r>
      <w:r w:rsidR="009F69CF">
        <w:rPr>
          <w:b/>
          <w:sz w:val="28"/>
          <w:szCs w:val="28"/>
          <w:lang w:val="ru-RU"/>
        </w:rPr>
        <w:t xml:space="preserve"> </w:t>
      </w:r>
      <w:r w:rsidR="009F69CF" w:rsidRPr="00C30608">
        <w:rPr>
          <w:b/>
          <w:sz w:val="28"/>
          <w:szCs w:val="28"/>
        </w:rPr>
        <w:t>фінансів України</w:t>
      </w:r>
      <w:r w:rsidR="009F69CF" w:rsidRPr="00FC4A03">
        <w:rPr>
          <w:b/>
          <w:sz w:val="28"/>
          <w:szCs w:val="28"/>
        </w:rPr>
        <w:tab/>
      </w:r>
      <w:r w:rsidR="009F69CF" w:rsidRPr="00FC4A03">
        <w:rPr>
          <w:b/>
          <w:sz w:val="28"/>
          <w:szCs w:val="28"/>
        </w:rPr>
        <w:tab/>
        <w:t xml:space="preserve">         </w:t>
      </w:r>
      <w:r w:rsidR="009F69CF" w:rsidRPr="00FC4A03">
        <w:rPr>
          <w:b/>
          <w:sz w:val="28"/>
          <w:szCs w:val="28"/>
        </w:rPr>
        <w:tab/>
      </w:r>
      <w:r w:rsidR="009F69CF" w:rsidRPr="00FC4A03">
        <w:rPr>
          <w:b/>
          <w:sz w:val="28"/>
          <w:szCs w:val="28"/>
        </w:rPr>
        <w:tab/>
      </w:r>
      <w:r w:rsidR="009F69CF" w:rsidRPr="00FC4A03">
        <w:rPr>
          <w:b/>
          <w:sz w:val="28"/>
          <w:szCs w:val="28"/>
        </w:rPr>
        <w:tab/>
      </w:r>
      <w:r w:rsidR="009F69CF" w:rsidRPr="00FC4A03">
        <w:rPr>
          <w:b/>
          <w:sz w:val="28"/>
          <w:szCs w:val="28"/>
        </w:rPr>
        <w:tab/>
      </w:r>
      <w:r w:rsidR="009F69CF" w:rsidRPr="00FC4A03">
        <w:rPr>
          <w:b/>
          <w:sz w:val="28"/>
          <w:szCs w:val="28"/>
        </w:rPr>
        <w:tab/>
        <w:t xml:space="preserve">  </w:t>
      </w:r>
      <w:r w:rsidR="009F69CF" w:rsidRPr="00FC4A03">
        <w:rPr>
          <w:b/>
          <w:sz w:val="28"/>
          <w:szCs w:val="28"/>
          <w:lang w:val="ru-RU"/>
        </w:rPr>
        <w:t xml:space="preserve">   </w:t>
      </w:r>
      <w:r w:rsidR="009F69CF">
        <w:rPr>
          <w:b/>
          <w:sz w:val="28"/>
          <w:szCs w:val="28"/>
          <w:lang w:val="ru-RU"/>
        </w:rPr>
        <w:t xml:space="preserve">                                                           </w:t>
      </w:r>
      <w:r w:rsidR="009F69CF" w:rsidRPr="00FC4A03">
        <w:rPr>
          <w:b/>
          <w:sz w:val="28"/>
          <w:szCs w:val="28"/>
          <w:lang w:val="ru-RU"/>
        </w:rPr>
        <w:t>С. МАРЧЕНКО</w:t>
      </w:r>
      <w:r w:rsidR="009F69CF" w:rsidRPr="00FC4A03">
        <w:rPr>
          <w:b/>
          <w:sz w:val="28"/>
          <w:szCs w:val="28"/>
        </w:rPr>
        <w:t xml:space="preserve">                </w:t>
      </w:r>
    </w:p>
    <w:p w:rsidR="00DD04FE" w:rsidRPr="00C30608" w:rsidRDefault="000778B5">
      <w:pPr>
        <w:rPr>
          <w:b/>
          <w:sz w:val="28"/>
          <w:szCs w:val="28"/>
        </w:rPr>
      </w:pPr>
      <w:r w:rsidRPr="00C30608">
        <w:br/>
      </w:r>
    </w:p>
    <w:p w:rsidR="00C41673" w:rsidRPr="00C30608" w:rsidRDefault="00C41673">
      <w:pPr>
        <w:rPr>
          <w:sz w:val="28"/>
          <w:szCs w:val="28"/>
        </w:rPr>
      </w:pPr>
      <w:r w:rsidRPr="00C30608">
        <w:rPr>
          <w:sz w:val="28"/>
          <w:szCs w:val="28"/>
        </w:rPr>
        <w:t>«___» __________ 201</w:t>
      </w:r>
      <w:r w:rsidR="001B4FE6" w:rsidRPr="00C30608">
        <w:rPr>
          <w:sz w:val="28"/>
          <w:szCs w:val="28"/>
        </w:rPr>
        <w:t>8</w:t>
      </w:r>
      <w:r w:rsidR="00E10A80" w:rsidRPr="00C30608">
        <w:rPr>
          <w:sz w:val="28"/>
          <w:szCs w:val="28"/>
        </w:rPr>
        <w:t xml:space="preserve"> </w:t>
      </w:r>
      <w:r w:rsidRPr="00C30608">
        <w:rPr>
          <w:sz w:val="28"/>
          <w:szCs w:val="28"/>
        </w:rPr>
        <w:t>р.</w:t>
      </w:r>
    </w:p>
    <w:sectPr w:rsidR="00C41673" w:rsidRPr="00C30608" w:rsidSect="00C41673">
      <w:headerReference w:type="default" r:id="rId9"/>
      <w:pgSz w:w="16838"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90" w:rsidRDefault="005D4590" w:rsidP="00C41673">
      <w:r>
        <w:separator/>
      </w:r>
    </w:p>
  </w:endnote>
  <w:endnote w:type="continuationSeparator" w:id="0">
    <w:p w:rsidR="005D4590" w:rsidRDefault="005D4590" w:rsidP="00C4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panose1 w:val="020B0500000000000000"/>
    <w:charset w:val="00"/>
    <w:family w:val="swiss"/>
    <w:pitch w:val="variable"/>
    <w:sig w:usb0="00000203" w:usb1="00000000" w:usb2="00000000" w:usb3="00000000" w:csb0="00000005"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90" w:rsidRDefault="005D4590" w:rsidP="00C41673">
      <w:r>
        <w:separator/>
      </w:r>
    </w:p>
  </w:footnote>
  <w:footnote w:type="continuationSeparator" w:id="0">
    <w:p w:rsidR="005D4590" w:rsidRDefault="005D4590" w:rsidP="00C4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997490"/>
      <w:docPartObj>
        <w:docPartGallery w:val="Page Numbers (Top of Page)"/>
        <w:docPartUnique/>
      </w:docPartObj>
    </w:sdtPr>
    <w:sdtEndPr>
      <w:rPr>
        <w:noProof/>
      </w:rPr>
    </w:sdtEndPr>
    <w:sdtContent>
      <w:p w:rsidR="00C41673" w:rsidRDefault="00565883">
        <w:pPr>
          <w:pStyle w:val="a5"/>
          <w:jc w:val="center"/>
        </w:pPr>
        <w:r>
          <w:fldChar w:fldCharType="begin"/>
        </w:r>
        <w:r w:rsidR="00C41673">
          <w:instrText xml:space="preserve"> PAGE   \* MERGEFORMAT </w:instrText>
        </w:r>
        <w:r>
          <w:fldChar w:fldCharType="separate"/>
        </w:r>
        <w:r w:rsidR="009D5E23">
          <w:rPr>
            <w:noProof/>
          </w:rPr>
          <w:t>4</w:t>
        </w:r>
        <w:r>
          <w:rPr>
            <w:noProof/>
          </w:rPr>
          <w:fldChar w:fldCharType="end"/>
        </w:r>
      </w:p>
    </w:sdtContent>
  </w:sdt>
  <w:p w:rsidR="00C41673" w:rsidRDefault="00C4167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B5"/>
    <w:rsid w:val="000344F5"/>
    <w:rsid w:val="00045C5E"/>
    <w:rsid w:val="00056591"/>
    <w:rsid w:val="000778B5"/>
    <w:rsid w:val="000A0725"/>
    <w:rsid w:val="0018485D"/>
    <w:rsid w:val="001B4FE6"/>
    <w:rsid w:val="001C3F58"/>
    <w:rsid w:val="001E3342"/>
    <w:rsid w:val="0022588E"/>
    <w:rsid w:val="0025388E"/>
    <w:rsid w:val="0028003F"/>
    <w:rsid w:val="002821DF"/>
    <w:rsid w:val="002A0D4F"/>
    <w:rsid w:val="00311AB1"/>
    <w:rsid w:val="003C268F"/>
    <w:rsid w:val="003F5B47"/>
    <w:rsid w:val="00437F84"/>
    <w:rsid w:val="004805B8"/>
    <w:rsid w:val="004C78E1"/>
    <w:rsid w:val="004F7B5C"/>
    <w:rsid w:val="00506732"/>
    <w:rsid w:val="00565883"/>
    <w:rsid w:val="00570265"/>
    <w:rsid w:val="00584075"/>
    <w:rsid w:val="005D4590"/>
    <w:rsid w:val="005E5626"/>
    <w:rsid w:val="00607B16"/>
    <w:rsid w:val="00610B8D"/>
    <w:rsid w:val="00624E53"/>
    <w:rsid w:val="00654C48"/>
    <w:rsid w:val="00686E97"/>
    <w:rsid w:val="00687A37"/>
    <w:rsid w:val="00690402"/>
    <w:rsid w:val="00783C8D"/>
    <w:rsid w:val="007C391A"/>
    <w:rsid w:val="00892676"/>
    <w:rsid w:val="008A6575"/>
    <w:rsid w:val="008C6E92"/>
    <w:rsid w:val="008D0AD9"/>
    <w:rsid w:val="008E0A3A"/>
    <w:rsid w:val="009A7634"/>
    <w:rsid w:val="009D5E23"/>
    <w:rsid w:val="009D738E"/>
    <w:rsid w:val="009E576B"/>
    <w:rsid w:val="009F69CF"/>
    <w:rsid w:val="00A6259B"/>
    <w:rsid w:val="00A93421"/>
    <w:rsid w:val="00AC0EE7"/>
    <w:rsid w:val="00AD0C17"/>
    <w:rsid w:val="00AF2134"/>
    <w:rsid w:val="00B158E4"/>
    <w:rsid w:val="00B423BD"/>
    <w:rsid w:val="00BB40A5"/>
    <w:rsid w:val="00C30608"/>
    <w:rsid w:val="00C3662D"/>
    <w:rsid w:val="00C41673"/>
    <w:rsid w:val="00CB2B1C"/>
    <w:rsid w:val="00D2553E"/>
    <w:rsid w:val="00D26670"/>
    <w:rsid w:val="00DA0A31"/>
    <w:rsid w:val="00DD04FE"/>
    <w:rsid w:val="00E1048A"/>
    <w:rsid w:val="00E10A80"/>
    <w:rsid w:val="00E14CE4"/>
    <w:rsid w:val="00FD171E"/>
    <w:rsid w:val="00FE2A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8B5"/>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Prop2">
    <w:name w:val="StyleProp2"/>
    <w:basedOn w:val="a"/>
    <w:rsid w:val="000778B5"/>
    <w:pPr>
      <w:spacing w:after="120" w:line="200" w:lineRule="exact"/>
      <w:ind w:firstLine="227"/>
      <w:jc w:val="both"/>
    </w:pPr>
    <w:rPr>
      <w:sz w:val="18"/>
      <w:szCs w:val="20"/>
      <w:lang w:eastAsia="ru-RU"/>
    </w:rPr>
  </w:style>
  <w:style w:type="paragraph" w:customStyle="1" w:styleId="a3">
    <w:name w:val="Нормальний текст"/>
    <w:basedOn w:val="a"/>
    <w:link w:val="a4"/>
    <w:uiPriority w:val="99"/>
    <w:rsid w:val="000778B5"/>
    <w:pPr>
      <w:spacing w:before="120"/>
      <w:ind w:firstLine="567"/>
      <w:jc w:val="both"/>
    </w:pPr>
    <w:rPr>
      <w:rFonts w:ascii="Antiqua" w:hAnsi="Antiqua"/>
      <w:sz w:val="26"/>
      <w:szCs w:val="20"/>
    </w:rPr>
  </w:style>
  <w:style w:type="character" w:customStyle="1" w:styleId="a4">
    <w:name w:val="Нормальний текст Знак"/>
    <w:link w:val="a3"/>
    <w:uiPriority w:val="99"/>
    <w:locked/>
    <w:rsid w:val="000778B5"/>
    <w:rPr>
      <w:rFonts w:ascii="Antiqua" w:eastAsia="Times New Roman" w:hAnsi="Antiqua" w:cs="Times New Roman"/>
      <w:sz w:val="26"/>
      <w:szCs w:val="20"/>
      <w:lang w:eastAsia="uk-UA"/>
    </w:rPr>
  </w:style>
  <w:style w:type="paragraph" w:customStyle="1" w:styleId="rvps2">
    <w:name w:val="rvps2"/>
    <w:basedOn w:val="a"/>
    <w:rsid w:val="00311AB1"/>
    <w:pPr>
      <w:spacing w:before="100" w:beforeAutospacing="1" w:after="100" w:afterAutospacing="1"/>
    </w:pPr>
    <w:rPr>
      <w:lang w:val="ru-RU" w:eastAsia="ru-RU"/>
    </w:rPr>
  </w:style>
  <w:style w:type="paragraph" w:styleId="a5">
    <w:name w:val="header"/>
    <w:basedOn w:val="a"/>
    <w:link w:val="a6"/>
    <w:uiPriority w:val="99"/>
    <w:unhideWhenUsed/>
    <w:rsid w:val="00C41673"/>
    <w:pPr>
      <w:tabs>
        <w:tab w:val="center" w:pos="4819"/>
        <w:tab w:val="right" w:pos="9639"/>
      </w:tabs>
    </w:pPr>
  </w:style>
  <w:style w:type="character" w:customStyle="1" w:styleId="a6">
    <w:name w:val="Верхній колонтитул Знак"/>
    <w:basedOn w:val="a0"/>
    <w:link w:val="a5"/>
    <w:uiPriority w:val="99"/>
    <w:rsid w:val="00C41673"/>
    <w:rPr>
      <w:rFonts w:ascii="Times New Roman" w:eastAsia="Times New Roman" w:hAnsi="Times New Roman" w:cs="Times New Roman"/>
      <w:sz w:val="24"/>
      <w:szCs w:val="24"/>
      <w:lang w:eastAsia="uk-UA"/>
    </w:rPr>
  </w:style>
  <w:style w:type="paragraph" w:styleId="a7">
    <w:name w:val="footer"/>
    <w:basedOn w:val="a"/>
    <w:link w:val="a8"/>
    <w:uiPriority w:val="99"/>
    <w:unhideWhenUsed/>
    <w:rsid w:val="00C41673"/>
    <w:pPr>
      <w:tabs>
        <w:tab w:val="center" w:pos="4819"/>
        <w:tab w:val="right" w:pos="9639"/>
      </w:tabs>
    </w:pPr>
  </w:style>
  <w:style w:type="character" w:customStyle="1" w:styleId="a8">
    <w:name w:val="Нижній колонтитул Знак"/>
    <w:basedOn w:val="a0"/>
    <w:link w:val="a7"/>
    <w:uiPriority w:val="99"/>
    <w:rsid w:val="00C41673"/>
    <w:rPr>
      <w:rFonts w:ascii="Times New Roman" w:eastAsia="Times New Roman" w:hAnsi="Times New Roman" w:cs="Times New Roman"/>
      <w:sz w:val="24"/>
      <w:szCs w:val="24"/>
      <w:lang w:eastAsia="uk-UA"/>
    </w:rPr>
  </w:style>
  <w:style w:type="paragraph" w:customStyle="1" w:styleId="a9">
    <w:name w:val="Вид документа"/>
    <w:basedOn w:val="a"/>
    <w:next w:val="a"/>
    <w:rsid w:val="001B4FE6"/>
    <w:pPr>
      <w:keepNext/>
      <w:keepLines/>
      <w:spacing w:after="240"/>
      <w:jc w:val="right"/>
    </w:pPr>
    <w:rPr>
      <w:rFonts w:ascii="Antiqua" w:hAnsi="Antiqua"/>
      <w:spacing w:val="20"/>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8B5"/>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Prop2">
    <w:name w:val="StyleProp2"/>
    <w:basedOn w:val="a"/>
    <w:rsid w:val="000778B5"/>
    <w:pPr>
      <w:spacing w:after="120" w:line="200" w:lineRule="exact"/>
      <w:ind w:firstLine="227"/>
      <w:jc w:val="both"/>
    </w:pPr>
    <w:rPr>
      <w:sz w:val="18"/>
      <w:szCs w:val="20"/>
      <w:lang w:eastAsia="ru-RU"/>
    </w:rPr>
  </w:style>
  <w:style w:type="paragraph" w:customStyle="1" w:styleId="a3">
    <w:name w:val="Нормальний текст"/>
    <w:basedOn w:val="a"/>
    <w:link w:val="a4"/>
    <w:uiPriority w:val="99"/>
    <w:rsid w:val="000778B5"/>
    <w:pPr>
      <w:spacing w:before="120"/>
      <w:ind w:firstLine="567"/>
      <w:jc w:val="both"/>
    </w:pPr>
    <w:rPr>
      <w:rFonts w:ascii="Antiqua" w:hAnsi="Antiqua"/>
      <w:sz w:val="26"/>
      <w:szCs w:val="20"/>
    </w:rPr>
  </w:style>
  <w:style w:type="character" w:customStyle="1" w:styleId="a4">
    <w:name w:val="Нормальний текст Знак"/>
    <w:link w:val="a3"/>
    <w:uiPriority w:val="99"/>
    <w:locked/>
    <w:rsid w:val="000778B5"/>
    <w:rPr>
      <w:rFonts w:ascii="Antiqua" w:eastAsia="Times New Roman" w:hAnsi="Antiqua" w:cs="Times New Roman"/>
      <w:sz w:val="26"/>
      <w:szCs w:val="20"/>
      <w:lang w:eastAsia="uk-UA"/>
    </w:rPr>
  </w:style>
  <w:style w:type="paragraph" w:customStyle="1" w:styleId="rvps2">
    <w:name w:val="rvps2"/>
    <w:basedOn w:val="a"/>
    <w:rsid w:val="00311AB1"/>
    <w:pPr>
      <w:spacing w:before="100" w:beforeAutospacing="1" w:after="100" w:afterAutospacing="1"/>
    </w:pPr>
    <w:rPr>
      <w:lang w:val="ru-RU" w:eastAsia="ru-RU"/>
    </w:rPr>
  </w:style>
  <w:style w:type="paragraph" w:styleId="a5">
    <w:name w:val="header"/>
    <w:basedOn w:val="a"/>
    <w:link w:val="a6"/>
    <w:uiPriority w:val="99"/>
    <w:unhideWhenUsed/>
    <w:rsid w:val="00C41673"/>
    <w:pPr>
      <w:tabs>
        <w:tab w:val="center" w:pos="4819"/>
        <w:tab w:val="right" w:pos="9639"/>
      </w:tabs>
    </w:pPr>
  </w:style>
  <w:style w:type="character" w:customStyle="1" w:styleId="a6">
    <w:name w:val="Верхній колонтитул Знак"/>
    <w:basedOn w:val="a0"/>
    <w:link w:val="a5"/>
    <w:uiPriority w:val="99"/>
    <w:rsid w:val="00C41673"/>
    <w:rPr>
      <w:rFonts w:ascii="Times New Roman" w:eastAsia="Times New Roman" w:hAnsi="Times New Roman" w:cs="Times New Roman"/>
      <w:sz w:val="24"/>
      <w:szCs w:val="24"/>
      <w:lang w:eastAsia="uk-UA"/>
    </w:rPr>
  </w:style>
  <w:style w:type="paragraph" w:styleId="a7">
    <w:name w:val="footer"/>
    <w:basedOn w:val="a"/>
    <w:link w:val="a8"/>
    <w:uiPriority w:val="99"/>
    <w:unhideWhenUsed/>
    <w:rsid w:val="00C41673"/>
    <w:pPr>
      <w:tabs>
        <w:tab w:val="center" w:pos="4819"/>
        <w:tab w:val="right" w:pos="9639"/>
      </w:tabs>
    </w:pPr>
  </w:style>
  <w:style w:type="character" w:customStyle="1" w:styleId="a8">
    <w:name w:val="Нижній колонтитул Знак"/>
    <w:basedOn w:val="a0"/>
    <w:link w:val="a7"/>
    <w:uiPriority w:val="99"/>
    <w:rsid w:val="00C41673"/>
    <w:rPr>
      <w:rFonts w:ascii="Times New Roman" w:eastAsia="Times New Roman" w:hAnsi="Times New Roman" w:cs="Times New Roman"/>
      <w:sz w:val="24"/>
      <w:szCs w:val="24"/>
      <w:lang w:eastAsia="uk-UA"/>
    </w:rPr>
  </w:style>
  <w:style w:type="paragraph" w:customStyle="1" w:styleId="a9">
    <w:name w:val="Вид документа"/>
    <w:basedOn w:val="a"/>
    <w:next w:val="a"/>
    <w:rsid w:val="001B4FE6"/>
    <w:pPr>
      <w:keepNext/>
      <w:keepLines/>
      <w:spacing w:after="240"/>
      <w:jc w:val="right"/>
    </w:pPr>
    <w:rPr>
      <w:rFonts w:ascii="Antiqua" w:hAnsi="Antiqua"/>
      <w:spacing w:val="2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5503-17/paran4400" TargetMode="External"/><Relationship Id="rId3" Type="http://schemas.openxmlformats.org/officeDocument/2006/relationships/settings" Target="settings.xml"/><Relationship Id="rId7" Type="http://schemas.openxmlformats.org/officeDocument/2006/relationships/hyperlink" Target="http://zakon3.rada.gov.ua/laws/show/5503-17/paran44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4026</Words>
  <Characters>2296</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User</cp:lastModifiedBy>
  <cp:revision>4</cp:revision>
  <cp:lastPrinted>2018-01-05T09:22:00Z</cp:lastPrinted>
  <dcterms:created xsi:type="dcterms:W3CDTF">2018-01-15T16:36:00Z</dcterms:created>
  <dcterms:modified xsi:type="dcterms:W3CDTF">2018-01-15T16:38:00Z</dcterms:modified>
</cp:coreProperties>
</file>