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528" w:rsidRPr="00766528" w:rsidRDefault="00766528" w:rsidP="00766528">
      <w:pPr>
        <w:spacing w:after="0" w:line="240" w:lineRule="auto"/>
        <w:ind w:left="7080" w:firstLine="708"/>
        <w:rPr>
          <w:rFonts w:eastAsia="Times New Roman" w:cs="Times New Roman"/>
          <w:sz w:val="18"/>
          <w:szCs w:val="18"/>
          <w:lang w:val="uk-UA" w:eastAsia="ru-RU"/>
        </w:rPr>
      </w:pPr>
      <w:r w:rsidRPr="00766528">
        <w:rPr>
          <w:rFonts w:eastAsia="Times New Roman" w:cs="Times New Roman"/>
          <w:sz w:val="18"/>
          <w:szCs w:val="18"/>
          <w:lang w:val="uk-UA" w:eastAsia="ru-RU"/>
        </w:rPr>
        <w:t>Проект № 8336</w:t>
      </w:r>
    </w:p>
    <w:p w:rsidR="00766528" w:rsidRPr="00766528" w:rsidRDefault="00766528" w:rsidP="00766528">
      <w:pPr>
        <w:spacing w:after="0" w:line="240" w:lineRule="auto"/>
        <w:rPr>
          <w:rFonts w:eastAsia="Times New Roman" w:cs="Times New Roman"/>
          <w:sz w:val="18"/>
          <w:szCs w:val="18"/>
          <w:lang w:val="uk-UA" w:eastAsia="ru-RU"/>
        </w:rPr>
      </w:pPr>
      <w:r w:rsidRPr="00766528">
        <w:rPr>
          <w:rFonts w:eastAsia="Times New Roman" w:cs="Times New Roman"/>
          <w:sz w:val="18"/>
          <w:szCs w:val="18"/>
          <w:lang w:val="uk-UA" w:eastAsia="ru-RU"/>
        </w:rPr>
        <w:tab/>
      </w:r>
      <w:r w:rsidRPr="00766528">
        <w:rPr>
          <w:rFonts w:eastAsia="Times New Roman" w:cs="Times New Roman"/>
          <w:sz w:val="18"/>
          <w:szCs w:val="18"/>
          <w:lang w:val="uk-UA" w:eastAsia="ru-RU"/>
        </w:rPr>
        <w:tab/>
      </w:r>
      <w:r w:rsidRPr="00766528">
        <w:rPr>
          <w:rFonts w:eastAsia="Times New Roman" w:cs="Times New Roman"/>
          <w:sz w:val="18"/>
          <w:szCs w:val="18"/>
          <w:lang w:val="uk-UA" w:eastAsia="ru-RU"/>
        </w:rPr>
        <w:tab/>
      </w:r>
      <w:r w:rsidRPr="00766528">
        <w:rPr>
          <w:rFonts w:eastAsia="Times New Roman" w:cs="Times New Roman"/>
          <w:sz w:val="18"/>
          <w:szCs w:val="18"/>
          <w:lang w:val="uk-UA" w:eastAsia="ru-RU"/>
        </w:rPr>
        <w:tab/>
      </w:r>
      <w:r w:rsidRPr="00766528">
        <w:rPr>
          <w:rFonts w:eastAsia="Times New Roman" w:cs="Times New Roman"/>
          <w:sz w:val="18"/>
          <w:szCs w:val="18"/>
          <w:lang w:val="uk-UA" w:eastAsia="ru-RU"/>
        </w:rPr>
        <w:tab/>
      </w:r>
      <w:r w:rsidRPr="00766528">
        <w:rPr>
          <w:rFonts w:eastAsia="Times New Roman" w:cs="Times New Roman"/>
          <w:sz w:val="18"/>
          <w:szCs w:val="18"/>
          <w:lang w:val="uk-UA" w:eastAsia="ru-RU"/>
        </w:rPr>
        <w:tab/>
      </w:r>
      <w:r w:rsidRPr="00766528">
        <w:rPr>
          <w:rFonts w:eastAsia="Times New Roman" w:cs="Times New Roman"/>
          <w:sz w:val="18"/>
          <w:szCs w:val="18"/>
          <w:lang w:val="uk-UA" w:eastAsia="ru-RU"/>
        </w:rPr>
        <w:tab/>
      </w:r>
      <w:r w:rsidRPr="00766528">
        <w:rPr>
          <w:rFonts w:eastAsia="Times New Roman" w:cs="Times New Roman"/>
          <w:sz w:val="18"/>
          <w:szCs w:val="18"/>
          <w:lang w:val="uk-UA" w:eastAsia="ru-RU"/>
        </w:rPr>
        <w:tab/>
      </w:r>
      <w:r w:rsidRPr="00766528">
        <w:rPr>
          <w:rFonts w:eastAsia="Times New Roman" w:cs="Times New Roman"/>
          <w:sz w:val="18"/>
          <w:szCs w:val="18"/>
          <w:lang w:val="uk-UA" w:eastAsia="ru-RU"/>
        </w:rPr>
        <w:tab/>
      </w:r>
      <w:r w:rsidRPr="00766528">
        <w:rPr>
          <w:rFonts w:eastAsia="Times New Roman" w:cs="Times New Roman"/>
          <w:sz w:val="18"/>
          <w:szCs w:val="18"/>
          <w:lang w:val="uk-UA" w:eastAsia="ru-RU"/>
        </w:rPr>
        <w:tab/>
      </w:r>
      <w:r>
        <w:rPr>
          <w:rFonts w:eastAsia="Times New Roman" w:cs="Times New Roman"/>
          <w:sz w:val="18"/>
          <w:szCs w:val="18"/>
          <w:lang w:val="uk-UA" w:eastAsia="ru-RU"/>
        </w:rPr>
        <w:tab/>
      </w:r>
      <w:r w:rsidRPr="00766528">
        <w:rPr>
          <w:rFonts w:eastAsia="Times New Roman" w:cs="Times New Roman"/>
          <w:sz w:val="18"/>
          <w:szCs w:val="18"/>
          <w:lang w:val="uk-UA" w:eastAsia="ru-RU"/>
        </w:rPr>
        <w:t>від 04.05.2018 р.</w:t>
      </w:r>
    </w:p>
    <w:p w:rsidR="00766528" w:rsidRPr="00766528" w:rsidRDefault="00766528" w:rsidP="00766528">
      <w:pPr>
        <w:keepNext/>
        <w:keepLines/>
        <w:autoSpaceDE w:val="0"/>
        <w:autoSpaceDN w:val="0"/>
        <w:spacing w:after="0" w:line="240" w:lineRule="auto"/>
        <w:jc w:val="center"/>
        <w:rPr>
          <w:rFonts w:eastAsia="Times New Roman" w:cs="Times New Roman"/>
          <w:b/>
          <w:szCs w:val="28"/>
          <w:lang w:val="uk-UA" w:eastAsia="ru-RU"/>
        </w:rPr>
      </w:pPr>
    </w:p>
    <w:p w:rsidR="00766528" w:rsidRPr="00766528" w:rsidRDefault="00766528" w:rsidP="00766528">
      <w:pPr>
        <w:keepNext/>
        <w:keepLines/>
        <w:autoSpaceDE w:val="0"/>
        <w:autoSpaceDN w:val="0"/>
        <w:spacing w:after="0" w:line="240" w:lineRule="auto"/>
        <w:jc w:val="center"/>
        <w:rPr>
          <w:rFonts w:eastAsia="Times New Roman" w:cs="Times New Roman"/>
          <w:b/>
          <w:szCs w:val="28"/>
          <w:lang w:val="uk-UA" w:eastAsia="ru-RU"/>
        </w:rPr>
      </w:pPr>
    </w:p>
    <w:p w:rsidR="00766528" w:rsidRPr="00766528" w:rsidRDefault="00766528" w:rsidP="00766528">
      <w:pPr>
        <w:keepNext/>
        <w:keepLines/>
        <w:autoSpaceDE w:val="0"/>
        <w:autoSpaceDN w:val="0"/>
        <w:spacing w:after="0" w:line="240" w:lineRule="auto"/>
        <w:jc w:val="center"/>
        <w:rPr>
          <w:rFonts w:eastAsia="Times New Roman" w:cs="Times New Roman"/>
          <w:b/>
          <w:szCs w:val="28"/>
          <w:lang w:val="uk-UA" w:eastAsia="ru-RU"/>
        </w:rPr>
      </w:pPr>
    </w:p>
    <w:p w:rsidR="00766528" w:rsidRPr="00766528" w:rsidRDefault="00766528" w:rsidP="00766528">
      <w:pPr>
        <w:keepNext/>
        <w:keepLines/>
        <w:autoSpaceDE w:val="0"/>
        <w:autoSpaceDN w:val="0"/>
        <w:spacing w:after="0" w:line="240" w:lineRule="auto"/>
        <w:jc w:val="center"/>
        <w:rPr>
          <w:rFonts w:eastAsia="Times New Roman" w:cs="Times New Roman"/>
          <w:b/>
          <w:szCs w:val="28"/>
          <w:lang w:val="uk-UA" w:eastAsia="ru-RU"/>
        </w:rPr>
      </w:pPr>
    </w:p>
    <w:p w:rsidR="00766528" w:rsidRPr="00766528" w:rsidRDefault="00766528" w:rsidP="00766528">
      <w:pPr>
        <w:keepNext/>
        <w:keepLines/>
        <w:autoSpaceDE w:val="0"/>
        <w:autoSpaceDN w:val="0"/>
        <w:spacing w:after="0" w:line="240" w:lineRule="auto"/>
        <w:jc w:val="center"/>
        <w:rPr>
          <w:rFonts w:eastAsia="Times New Roman" w:cs="Times New Roman"/>
          <w:b/>
          <w:szCs w:val="28"/>
          <w:lang w:val="uk-UA" w:eastAsia="ru-RU"/>
        </w:rPr>
      </w:pPr>
    </w:p>
    <w:p w:rsidR="00766528" w:rsidRPr="00766528" w:rsidRDefault="00766528" w:rsidP="00766528">
      <w:pPr>
        <w:spacing w:after="0" w:line="240" w:lineRule="auto"/>
        <w:rPr>
          <w:rFonts w:ascii="Arial" w:eastAsia="Times New Roman" w:hAnsi="Arial" w:cs="Times New Roman"/>
          <w:szCs w:val="28"/>
          <w:lang w:val="uk-UA" w:eastAsia="ru-RU"/>
        </w:rPr>
      </w:pPr>
    </w:p>
    <w:p w:rsidR="00766528" w:rsidRPr="00766528" w:rsidRDefault="00766528" w:rsidP="00766528">
      <w:pPr>
        <w:spacing w:after="0" w:line="240" w:lineRule="auto"/>
        <w:rPr>
          <w:rFonts w:ascii="Arial" w:eastAsia="Times New Roman" w:hAnsi="Arial" w:cs="Times New Roman"/>
          <w:szCs w:val="28"/>
          <w:lang w:val="uk-UA" w:eastAsia="ru-RU"/>
        </w:rPr>
      </w:pPr>
    </w:p>
    <w:p w:rsidR="00766528" w:rsidRPr="00766528" w:rsidRDefault="00766528" w:rsidP="00766528">
      <w:pPr>
        <w:spacing w:after="0" w:line="240" w:lineRule="auto"/>
        <w:rPr>
          <w:rFonts w:ascii="Arial" w:eastAsia="Times New Roman" w:hAnsi="Arial" w:cs="Times New Roman"/>
          <w:szCs w:val="28"/>
          <w:lang w:val="uk-UA" w:eastAsia="ru-RU"/>
        </w:rPr>
      </w:pPr>
    </w:p>
    <w:p w:rsidR="00766528" w:rsidRPr="00766528" w:rsidRDefault="00766528" w:rsidP="00766528">
      <w:pPr>
        <w:spacing w:after="0" w:line="240" w:lineRule="auto"/>
        <w:rPr>
          <w:rFonts w:ascii="Arial" w:eastAsia="Times New Roman" w:hAnsi="Arial" w:cs="Times New Roman"/>
          <w:szCs w:val="28"/>
          <w:lang w:val="uk-UA" w:eastAsia="ru-RU"/>
        </w:rPr>
      </w:pPr>
    </w:p>
    <w:p w:rsidR="00766528" w:rsidRPr="00766528" w:rsidRDefault="00766528" w:rsidP="00766528">
      <w:pPr>
        <w:spacing w:after="0" w:line="240" w:lineRule="auto"/>
        <w:rPr>
          <w:rFonts w:ascii="Arial" w:eastAsia="Times New Roman" w:hAnsi="Arial" w:cs="Times New Roman"/>
          <w:szCs w:val="28"/>
          <w:lang w:eastAsia="ru-RU"/>
        </w:rPr>
      </w:pPr>
    </w:p>
    <w:p w:rsidR="00766528" w:rsidRPr="00766528" w:rsidRDefault="00766528" w:rsidP="00766528">
      <w:pPr>
        <w:keepNext/>
        <w:shd w:val="clear" w:color="auto" w:fill="FFFFFF"/>
        <w:spacing w:after="0" w:line="240" w:lineRule="auto"/>
        <w:jc w:val="center"/>
        <w:outlineLvl w:val="2"/>
        <w:rPr>
          <w:rFonts w:eastAsia="Times New Roman" w:cs="Times New Roman"/>
          <w:b/>
          <w:bCs/>
          <w:szCs w:val="28"/>
          <w:lang w:val="uk-UA" w:eastAsia="ru-RU"/>
        </w:rPr>
      </w:pPr>
      <w:r w:rsidRPr="00766528">
        <w:rPr>
          <w:rFonts w:eastAsia="Times New Roman" w:cs="Times New Roman"/>
          <w:b/>
          <w:bCs/>
          <w:szCs w:val="28"/>
          <w:lang w:val="uk-UA" w:eastAsia="ru-RU"/>
        </w:rPr>
        <w:t>ЗАУВАЖЕННЯ</w:t>
      </w:r>
    </w:p>
    <w:p w:rsidR="00766528" w:rsidRPr="00766528" w:rsidRDefault="00766528" w:rsidP="00766528">
      <w:pPr>
        <w:keepNext/>
        <w:shd w:val="clear" w:color="auto" w:fill="FFFFFF"/>
        <w:spacing w:after="0" w:line="240" w:lineRule="auto"/>
        <w:ind w:firstLine="567"/>
        <w:jc w:val="center"/>
        <w:outlineLvl w:val="2"/>
        <w:rPr>
          <w:rFonts w:eastAsia="Times New Roman" w:cs="Times New Roman"/>
          <w:b/>
          <w:bCs/>
          <w:szCs w:val="28"/>
          <w:lang w:val="uk-UA" w:eastAsia="ru-RU"/>
        </w:rPr>
      </w:pPr>
      <w:r w:rsidRPr="00766528">
        <w:rPr>
          <w:rFonts w:eastAsia="Times New Roman" w:cs="Times New Roman"/>
          <w:b/>
          <w:bCs/>
          <w:szCs w:val="28"/>
          <w:lang w:val="uk-UA" w:eastAsia="ru-RU"/>
        </w:rPr>
        <w:t>до проекту Закону України «Про внесення змін до деяких законодавчих актів України щодо посилення гарантій незалежності судового експерта та належного забезпечення здійснення судово-експертної діяльності»</w:t>
      </w:r>
    </w:p>
    <w:p w:rsidR="00766528" w:rsidRPr="00766528" w:rsidRDefault="00766528" w:rsidP="00766528">
      <w:pPr>
        <w:widowControl w:val="0"/>
        <w:tabs>
          <w:tab w:val="left" w:pos="1260"/>
          <w:tab w:val="left" w:pos="2880"/>
        </w:tabs>
        <w:autoSpaceDE w:val="0"/>
        <w:autoSpaceDN w:val="0"/>
        <w:adjustRightInd w:val="0"/>
        <w:spacing w:after="0" w:line="240" w:lineRule="auto"/>
        <w:ind w:firstLine="567"/>
        <w:jc w:val="both"/>
        <w:outlineLvl w:val="0"/>
        <w:rPr>
          <w:rFonts w:eastAsia="Times New Roman" w:cs="Times New Roman"/>
          <w:bCs/>
          <w:szCs w:val="28"/>
          <w:lang w:val="uk-UA" w:eastAsia="ru-RU"/>
        </w:rPr>
      </w:pPr>
      <w:r w:rsidRPr="00766528">
        <w:rPr>
          <w:rFonts w:eastAsia="Times New Roman" w:cs="Times New Roman"/>
          <w:bCs/>
          <w:szCs w:val="28"/>
          <w:lang w:val="uk-UA" w:eastAsia="ru-RU"/>
        </w:rPr>
        <w:tab/>
      </w:r>
      <w:r w:rsidRPr="00766528">
        <w:rPr>
          <w:rFonts w:eastAsia="Times New Roman" w:cs="Times New Roman"/>
          <w:bCs/>
          <w:szCs w:val="28"/>
          <w:lang w:val="uk-UA" w:eastAsia="ru-RU"/>
        </w:rPr>
        <w:tab/>
      </w:r>
      <w:r w:rsidRPr="00766528">
        <w:rPr>
          <w:rFonts w:eastAsia="Times New Roman" w:cs="Times New Roman"/>
          <w:bCs/>
          <w:szCs w:val="28"/>
          <w:lang w:val="uk-UA" w:eastAsia="ru-RU"/>
        </w:rPr>
        <w:tab/>
        <w:t xml:space="preserve">      (реєст</w:t>
      </w:r>
      <w:r>
        <w:rPr>
          <w:rFonts w:eastAsia="Times New Roman" w:cs="Times New Roman"/>
          <w:bCs/>
          <w:szCs w:val="28"/>
          <w:lang w:val="uk-UA" w:eastAsia="ru-RU"/>
        </w:rPr>
        <w:t>р</w:t>
      </w:r>
      <w:r w:rsidRPr="00766528">
        <w:rPr>
          <w:rFonts w:eastAsia="Times New Roman" w:cs="Times New Roman"/>
          <w:bCs/>
          <w:szCs w:val="28"/>
          <w:lang w:val="uk-UA" w:eastAsia="ru-RU"/>
        </w:rPr>
        <w:t>. № 8336)</w:t>
      </w:r>
    </w:p>
    <w:p w:rsidR="00766528" w:rsidRPr="00766528" w:rsidRDefault="00766528" w:rsidP="00766528">
      <w:pPr>
        <w:widowControl w:val="0"/>
        <w:tabs>
          <w:tab w:val="left" w:pos="1260"/>
          <w:tab w:val="left" w:pos="2880"/>
        </w:tabs>
        <w:autoSpaceDE w:val="0"/>
        <w:autoSpaceDN w:val="0"/>
        <w:adjustRightInd w:val="0"/>
        <w:spacing w:after="0" w:line="240" w:lineRule="auto"/>
        <w:ind w:firstLine="567"/>
        <w:jc w:val="both"/>
        <w:outlineLvl w:val="0"/>
        <w:rPr>
          <w:rFonts w:eastAsia="Times New Roman" w:cs="Times New Roman"/>
          <w:bCs/>
          <w:szCs w:val="28"/>
          <w:lang w:val="uk-UA" w:eastAsia="ru-RU"/>
        </w:rPr>
      </w:pPr>
    </w:p>
    <w:p w:rsidR="00766528" w:rsidRPr="00766528" w:rsidRDefault="00766528" w:rsidP="00766528">
      <w:pPr>
        <w:spacing w:after="0" w:line="240" w:lineRule="auto"/>
        <w:ind w:firstLine="567"/>
        <w:jc w:val="both"/>
        <w:rPr>
          <w:rFonts w:eastAsia="Times New Roman" w:cs="Times New Roman"/>
          <w:szCs w:val="28"/>
          <w:lang w:val="uk-UA" w:eastAsia="ru-RU"/>
        </w:rPr>
      </w:pPr>
      <w:r w:rsidRPr="00766528">
        <w:rPr>
          <w:rFonts w:eastAsia="Times New Roman" w:cs="Times New Roman"/>
          <w:szCs w:val="28"/>
          <w:lang w:val="uk-UA" w:eastAsia="ru-RU"/>
        </w:rPr>
        <w:t>У Головному юридичному управлінні</w:t>
      </w:r>
      <w:r w:rsidRPr="00766528">
        <w:rPr>
          <w:rFonts w:eastAsia="Times New Roman" w:cs="Times New Roman"/>
          <w:b/>
          <w:szCs w:val="28"/>
          <w:lang w:val="uk-UA" w:eastAsia="ru-RU"/>
        </w:rPr>
        <w:t xml:space="preserve"> </w:t>
      </w:r>
      <w:r w:rsidRPr="00766528">
        <w:rPr>
          <w:rFonts w:eastAsia="Times New Roman" w:cs="Times New Roman"/>
          <w:szCs w:val="28"/>
          <w:lang w:val="uk-UA" w:eastAsia="ru-RU"/>
        </w:rPr>
        <w:t xml:space="preserve">розглянуто </w:t>
      </w:r>
      <w:r>
        <w:rPr>
          <w:rFonts w:eastAsia="Times New Roman" w:cs="Times New Roman"/>
          <w:szCs w:val="28"/>
          <w:lang w:val="uk-UA" w:eastAsia="ru-RU"/>
        </w:rPr>
        <w:t>проект Закону України «</w:t>
      </w:r>
      <w:r w:rsidRPr="00766528">
        <w:rPr>
          <w:rFonts w:eastAsia="Times New Roman" w:cs="Times New Roman"/>
          <w:szCs w:val="28"/>
          <w:lang w:val="uk-UA" w:eastAsia="ru-RU"/>
        </w:rPr>
        <w:t>Про внесення змін до деяких законодавчих актів України щодо посилення гарантій незалежності судового експерта та належного забезпечення здійснення судово-експертної діяльності</w:t>
      </w:r>
      <w:r>
        <w:rPr>
          <w:rFonts w:eastAsia="Times New Roman" w:cs="Times New Roman"/>
          <w:szCs w:val="28"/>
          <w:lang w:val="uk-UA" w:eastAsia="ru-RU"/>
        </w:rPr>
        <w:t xml:space="preserve">» (реєстр. № 8336), </w:t>
      </w:r>
      <w:r w:rsidRPr="00766528">
        <w:rPr>
          <w:rFonts w:eastAsia="Times New Roman" w:cs="Times New Roman"/>
          <w:szCs w:val="28"/>
          <w:lang w:val="uk-UA" w:eastAsia="ru-RU"/>
        </w:rPr>
        <w:t xml:space="preserve">підготовлений Комітетом з питань законодавчого забезпечення правоохоронної діяльності до </w:t>
      </w:r>
      <w:r>
        <w:rPr>
          <w:rFonts w:eastAsia="Times New Roman" w:cs="Times New Roman"/>
          <w:szCs w:val="28"/>
          <w:lang w:val="uk-UA" w:eastAsia="ru-RU"/>
        </w:rPr>
        <w:t xml:space="preserve">розгляду у </w:t>
      </w:r>
      <w:r w:rsidRPr="00766528">
        <w:rPr>
          <w:rFonts w:eastAsia="Times New Roman" w:cs="Times New Roman"/>
          <w:szCs w:val="28"/>
          <w:lang w:val="uk-UA" w:eastAsia="ru-RU"/>
        </w:rPr>
        <w:t>друго</w:t>
      </w:r>
      <w:r>
        <w:rPr>
          <w:rFonts w:eastAsia="Times New Roman" w:cs="Times New Roman"/>
          <w:szCs w:val="28"/>
          <w:lang w:val="uk-UA" w:eastAsia="ru-RU"/>
        </w:rPr>
        <w:t>му</w:t>
      </w:r>
      <w:r w:rsidRPr="00766528">
        <w:rPr>
          <w:rFonts w:eastAsia="Times New Roman" w:cs="Times New Roman"/>
          <w:szCs w:val="28"/>
          <w:lang w:val="uk-UA" w:eastAsia="ru-RU"/>
        </w:rPr>
        <w:t xml:space="preserve"> читанн</w:t>
      </w:r>
      <w:r>
        <w:rPr>
          <w:rFonts w:eastAsia="Times New Roman" w:cs="Times New Roman"/>
          <w:szCs w:val="28"/>
          <w:lang w:val="uk-UA" w:eastAsia="ru-RU"/>
        </w:rPr>
        <w:t>і</w:t>
      </w:r>
      <w:r w:rsidRPr="00766528">
        <w:rPr>
          <w:rFonts w:eastAsia="Times New Roman" w:cs="Times New Roman"/>
          <w:szCs w:val="28"/>
          <w:lang w:val="uk-UA" w:eastAsia="ru-RU"/>
        </w:rPr>
        <w:t>.</w:t>
      </w:r>
      <w:r w:rsidRPr="00766528">
        <w:rPr>
          <w:bCs/>
          <w:szCs w:val="28"/>
          <w:lang w:val="uk-UA"/>
        </w:rPr>
        <w:t xml:space="preserve"> </w:t>
      </w:r>
    </w:p>
    <w:p w:rsidR="00766528" w:rsidRPr="00766528" w:rsidRDefault="00766528" w:rsidP="00766528">
      <w:pPr>
        <w:spacing w:after="0" w:line="240" w:lineRule="auto"/>
        <w:ind w:firstLine="567"/>
        <w:jc w:val="both"/>
        <w:rPr>
          <w:rFonts w:eastAsia="Times New Roman" w:cs="Times New Roman"/>
          <w:szCs w:val="28"/>
          <w:lang w:val="uk-UA" w:eastAsia="ru-RU"/>
        </w:rPr>
      </w:pPr>
    </w:p>
    <w:p w:rsidR="00766528" w:rsidRPr="00766528" w:rsidRDefault="00766528" w:rsidP="00766528">
      <w:pPr>
        <w:spacing w:after="0" w:line="240" w:lineRule="auto"/>
        <w:ind w:firstLine="567"/>
        <w:jc w:val="both"/>
        <w:rPr>
          <w:rFonts w:eastAsia="Times New Roman" w:cs="Times New Roman"/>
          <w:szCs w:val="28"/>
          <w:lang w:val="uk-UA" w:eastAsia="ru-RU"/>
        </w:rPr>
      </w:pPr>
      <w:r w:rsidRPr="00766528">
        <w:rPr>
          <w:rFonts w:eastAsia="Times New Roman" w:cs="Times New Roman"/>
          <w:szCs w:val="28"/>
          <w:lang w:val="uk-UA" w:eastAsia="ru-RU"/>
        </w:rPr>
        <w:t xml:space="preserve">Насамперед звертаємо увагу, що </w:t>
      </w:r>
      <w:r w:rsidR="006345FD">
        <w:rPr>
          <w:rFonts w:eastAsia="Times New Roman" w:cs="Times New Roman"/>
          <w:szCs w:val="28"/>
          <w:lang w:val="uk-UA" w:eastAsia="ru-RU"/>
        </w:rPr>
        <w:t xml:space="preserve">частково </w:t>
      </w:r>
      <w:r w:rsidRPr="00766528">
        <w:rPr>
          <w:rFonts w:eastAsia="Times New Roman" w:cs="Times New Roman"/>
          <w:szCs w:val="28"/>
          <w:lang w:val="uk-UA" w:eastAsia="ru-RU"/>
        </w:rPr>
        <w:t xml:space="preserve">зберіг свою актуальність висновок Головного науково-експертного управління до зазначеного проекту. </w:t>
      </w:r>
    </w:p>
    <w:p w:rsidR="00766528" w:rsidRPr="00766528" w:rsidRDefault="00766528" w:rsidP="00766528">
      <w:pPr>
        <w:spacing w:after="0" w:line="240" w:lineRule="auto"/>
        <w:ind w:firstLine="567"/>
        <w:jc w:val="both"/>
        <w:rPr>
          <w:rFonts w:eastAsia="Times New Roman" w:cs="Times New Roman"/>
          <w:szCs w:val="28"/>
          <w:lang w:val="uk-UA" w:eastAsia="ru-RU"/>
        </w:rPr>
      </w:pPr>
      <w:r w:rsidRPr="00766528">
        <w:rPr>
          <w:rFonts w:eastAsia="Times New Roman" w:cs="Times New Roman"/>
          <w:szCs w:val="28"/>
          <w:lang w:val="uk-UA" w:eastAsia="ru-RU"/>
        </w:rPr>
        <w:t>У зв’язку з цим вважаємо за необхідне ще раз звернути увагу на найбільш суттєві зауваження Головного науково-експертного управління та висловити нові зауваження до законопроекту.</w:t>
      </w:r>
    </w:p>
    <w:p w:rsidR="0097641F" w:rsidRDefault="00766528" w:rsidP="00766528">
      <w:pPr>
        <w:spacing w:after="0" w:line="240" w:lineRule="auto"/>
        <w:ind w:firstLine="567"/>
        <w:jc w:val="both"/>
        <w:rPr>
          <w:rFonts w:eastAsia="Times New Roman" w:cs="Times New Roman"/>
          <w:szCs w:val="28"/>
          <w:lang w:val="uk-UA" w:eastAsia="ru-RU"/>
        </w:rPr>
      </w:pPr>
      <w:r>
        <w:rPr>
          <w:rFonts w:eastAsia="Times New Roman" w:cs="Times New Roman"/>
          <w:szCs w:val="28"/>
          <w:lang w:val="uk-UA" w:eastAsia="ru-RU"/>
        </w:rPr>
        <w:t>1. </w:t>
      </w:r>
      <w:r w:rsidR="0097641F">
        <w:rPr>
          <w:rFonts w:eastAsia="Times New Roman" w:cs="Times New Roman"/>
          <w:szCs w:val="28"/>
          <w:lang w:val="uk-UA" w:eastAsia="ru-RU"/>
        </w:rPr>
        <w:t>Як вбачається із пояснювальної записки, положення проекту Закону спрямовані, серед іншого, на запобігання «втручання в діяльність судового експерта, що негативно впливає на незалежність експертів», а також випадкам «зловживання правом на допит експерта з боку слідства під час досудового розслідування, внаслідок чого вчиняється тиск на експертів та втручання в їхню діяльність».</w:t>
      </w:r>
    </w:p>
    <w:p w:rsidR="0097641F" w:rsidRDefault="0097641F" w:rsidP="00766528">
      <w:pPr>
        <w:spacing w:after="0" w:line="240" w:lineRule="auto"/>
        <w:ind w:firstLine="567"/>
        <w:jc w:val="both"/>
        <w:rPr>
          <w:rFonts w:eastAsia="Times New Roman" w:cs="Times New Roman"/>
          <w:szCs w:val="28"/>
          <w:lang w:val="uk-UA" w:eastAsia="ru-RU"/>
        </w:rPr>
      </w:pPr>
      <w:r>
        <w:rPr>
          <w:rFonts w:eastAsia="Times New Roman" w:cs="Times New Roman"/>
          <w:szCs w:val="28"/>
          <w:lang w:val="uk-UA" w:eastAsia="ru-RU"/>
        </w:rPr>
        <w:t>Основним механізмом реалізації таких завдань відповідно до положень законопроекту є обмеження процесуальної взаємодії експерта із органами досудового розслідування та прокурором.</w:t>
      </w:r>
    </w:p>
    <w:p w:rsidR="0097641F" w:rsidRDefault="0097641F" w:rsidP="00766528">
      <w:pPr>
        <w:spacing w:after="0" w:line="240" w:lineRule="auto"/>
        <w:ind w:firstLine="567"/>
        <w:jc w:val="both"/>
        <w:rPr>
          <w:rFonts w:eastAsia="Times New Roman" w:cs="Times New Roman"/>
          <w:szCs w:val="28"/>
          <w:lang w:val="uk-UA" w:eastAsia="ru-RU"/>
        </w:rPr>
      </w:pPr>
      <w:r>
        <w:rPr>
          <w:rFonts w:eastAsia="Times New Roman" w:cs="Times New Roman"/>
          <w:szCs w:val="28"/>
          <w:lang w:val="uk-UA" w:eastAsia="ru-RU"/>
        </w:rPr>
        <w:t>Зокрема, відповідно до положень пункту 2 частини п’ятої статті 69 К</w:t>
      </w:r>
      <w:r w:rsidR="00C128F8">
        <w:rPr>
          <w:rFonts w:eastAsia="Times New Roman" w:cs="Times New Roman"/>
          <w:szCs w:val="28"/>
          <w:lang w:val="uk-UA" w:eastAsia="ru-RU"/>
        </w:rPr>
        <w:t>римінального процесуального кодексу</w:t>
      </w:r>
      <w:r>
        <w:rPr>
          <w:rFonts w:eastAsia="Times New Roman" w:cs="Times New Roman"/>
          <w:szCs w:val="28"/>
          <w:lang w:val="uk-UA" w:eastAsia="ru-RU"/>
        </w:rPr>
        <w:t xml:space="preserve"> України</w:t>
      </w:r>
      <w:r w:rsidR="003B1DA6">
        <w:rPr>
          <w:rFonts w:eastAsia="Times New Roman" w:cs="Times New Roman"/>
          <w:szCs w:val="28"/>
          <w:lang w:val="uk-UA" w:eastAsia="ru-RU"/>
        </w:rPr>
        <w:t xml:space="preserve"> (далі – КПК України)</w:t>
      </w:r>
      <w:r>
        <w:rPr>
          <w:rFonts w:eastAsia="Times New Roman" w:cs="Times New Roman"/>
          <w:szCs w:val="28"/>
          <w:lang w:val="uk-UA" w:eastAsia="ru-RU"/>
        </w:rPr>
        <w:t xml:space="preserve"> (у редакції законопроекту) з експерта знімається обов’язок прибути до слідчого, прокурора і дати відповіді на запитання під час допиту</w:t>
      </w:r>
      <w:r w:rsidR="0058727F">
        <w:rPr>
          <w:rFonts w:eastAsia="Times New Roman" w:cs="Times New Roman"/>
          <w:szCs w:val="28"/>
          <w:lang w:val="uk-UA" w:eastAsia="ru-RU"/>
        </w:rPr>
        <w:t>. Такий обов’язок залишається лише щодо допиту у суді.</w:t>
      </w:r>
    </w:p>
    <w:p w:rsidR="0058727F" w:rsidRDefault="0058727F" w:rsidP="00766528">
      <w:pPr>
        <w:spacing w:after="0" w:line="240" w:lineRule="auto"/>
        <w:ind w:firstLine="567"/>
        <w:jc w:val="both"/>
        <w:rPr>
          <w:rFonts w:eastAsia="Times New Roman" w:cs="Times New Roman"/>
          <w:bCs/>
          <w:szCs w:val="28"/>
          <w:lang w:val="uk-UA" w:eastAsia="ru-RU"/>
        </w:rPr>
      </w:pPr>
      <w:r>
        <w:rPr>
          <w:rFonts w:eastAsia="Times New Roman" w:cs="Times New Roman"/>
          <w:szCs w:val="28"/>
          <w:lang w:val="uk-UA" w:eastAsia="ru-RU"/>
        </w:rPr>
        <w:lastRenderedPageBreak/>
        <w:t xml:space="preserve">Крім того, відповідно до частини третьої статті 95 КПК України (у редакції проекту) </w:t>
      </w:r>
      <w:r>
        <w:rPr>
          <w:rFonts w:eastAsia="Times New Roman" w:cs="Times New Roman"/>
          <w:bCs/>
          <w:szCs w:val="28"/>
          <w:lang w:val="uk-UA" w:eastAsia="ru-RU"/>
        </w:rPr>
        <w:t>свідок зобов’</w:t>
      </w:r>
      <w:r w:rsidRPr="0058727F">
        <w:rPr>
          <w:rFonts w:eastAsia="Times New Roman" w:cs="Times New Roman"/>
          <w:bCs/>
          <w:szCs w:val="28"/>
          <w:lang w:val="uk-UA" w:eastAsia="ru-RU"/>
        </w:rPr>
        <w:t>язаний давати показання слідчому, прокурору, слідчому судді та суду, а</w:t>
      </w:r>
      <w:r>
        <w:rPr>
          <w:rFonts w:eastAsia="Times New Roman" w:cs="Times New Roman"/>
          <w:bCs/>
          <w:szCs w:val="28"/>
          <w:lang w:val="uk-UA" w:eastAsia="ru-RU"/>
        </w:rPr>
        <w:t xml:space="preserve"> </w:t>
      </w:r>
      <w:r w:rsidRPr="0058727F">
        <w:rPr>
          <w:rFonts w:eastAsia="Times New Roman" w:cs="Times New Roman"/>
          <w:bCs/>
          <w:szCs w:val="28"/>
          <w:u w:val="single"/>
          <w:lang w:val="uk-UA" w:eastAsia="ru-RU"/>
        </w:rPr>
        <w:t>експерт – суду</w:t>
      </w:r>
      <w:r>
        <w:rPr>
          <w:rFonts w:eastAsia="Times New Roman" w:cs="Times New Roman"/>
          <w:bCs/>
          <w:szCs w:val="28"/>
          <w:lang w:val="uk-UA" w:eastAsia="ru-RU"/>
        </w:rPr>
        <w:t xml:space="preserve"> в установленому КПК України</w:t>
      </w:r>
      <w:r w:rsidRPr="0058727F">
        <w:rPr>
          <w:rFonts w:eastAsia="Times New Roman" w:cs="Times New Roman"/>
          <w:bCs/>
          <w:szCs w:val="28"/>
          <w:lang w:val="uk-UA" w:eastAsia="ru-RU"/>
        </w:rPr>
        <w:t xml:space="preserve"> порядку</w:t>
      </w:r>
      <w:r>
        <w:rPr>
          <w:rFonts w:eastAsia="Times New Roman" w:cs="Times New Roman"/>
          <w:bCs/>
          <w:szCs w:val="28"/>
          <w:lang w:val="uk-UA" w:eastAsia="ru-RU"/>
        </w:rPr>
        <w:t>.</w:t>
      </w:r>
    </w:p>
    <w:p w:rsidR="0058727F" w:rsidRDefault="0058727F" w:rsidP="00766528">
      <w:pPr>
        <w:spacing w:after="0" w:line="240" w:lineRule="auto"/>
        <w:ind w:firstLine="567"/>
        <w:jc w:val="both"/>
        <w:rPr>
          <w:rFonts w:eastAsia="Times New Roman" w:cs="Times New Roman"/>
          <w:szCs w:val="28"/>
          <w:lang w:val="uk-UA" w:eastAsia="ru-RU"/>
        </w:rPr>
      </w:pPr>
      <w:r>
        <w:rPr>
          <w:rFonts w:eastAsia="Times New Roman" w:cs="Times New Roman"/>
          <w:szCs w:val="28"/>
          <w:lang w:val="uk-UA" w:eastAsia="ru-RU"/>
        </w:rPr>
        <w:t>Із наведених положень КПК України у редакції законопроекту випливає, що експерт з приводу наданого ним висновку може бути допитаний лише під час судового розгляду, тобто після завершення досудового розслідування.</w:t>
      </w:r>
    </w:p>
    <w:p w:rsidR="0058727F" w:rsidRDefault="0058727F" w:rsidP="00766528">
      <w:pPr>
        <w:spacing w:after="0" w:line="240" w:lineRule="auto"/>
        <w:ind w:firstLine="567"/>
        <w:jc w:val="both"/>
        <w:rPr>
          <w:rFonts w:eastAsia="Times New Roman" w:cs="Times New Roman"/>
          <w:szCs w:val="28"/>
          <w:lang w:val="uk-UA" w:eastAsia="ru-RU"/>
        </w:rPr>
      </w:pPr>
      <w:r>
        <w:rPr>
          <w:rFonts w:eastAsia="Times New Roman" w:cs="Times New Roman"/>
          <w:szCs w:val="28"/>
          <w:lang w:val="uk-UA" w:eastAsia="ru-RU"/>
        </w:rPr>
        <w:t xml:space="preserve">Такий </w:t>
      </w:r>
      <w:r w:rsidR="00A560B9">
        <w:rPr>
          <w:rFonts w:eastAsia="Times New Roman" w:cs="Times New Roman"/>
          <w:szCs w:val="28"/>
          <w:lang w:val="uk-UA" w:eastAsia="ru-RU"/>
        </w:rPr>
        <w:t>законодавчий підхід</w:t>
      </w:r>
      <w:r>
        <w:rPr>
          <w:rFonts w:eastAsia="Times New Roman" w:cs="Times New Roman"/>
          <w:szCs w:val="28"/>
          <w:lang w:val="uk-UA" w:eastAsia="ru-RU"/>
        </w:rPr>
        <w:t xml:space="preserve">, на нашу думку, не сприятиме реалізації завдань кримінального провадження в частині забезпечення швидкого, повного та неупередженого розслідування кримінальних правопорушень (стаття 2 КПК України), що, в свою чергу, може призвести до численних порушень як прав осіб, що притягуються до кримінальної відповідальності, так і потерпілих від кримінальних правопорушень. </w:t>
      </w:r>
      <w:r w:rsidR="00A560B9">
        <w:rPr>
          <w:rFonts w:eastAsia="Times New Roman" w:cs="Times New Roman"/>
          <w:szCs w:val="28"/>
          <w:lang w:val="uk-UA" w:eastAsia="ru-RU"/>
        </w:rPr>
        <w:t>Адже</w:t>
      </w:r>
      <w:r>
        <w:rPr>
          <w:rFonts w:eastAsia="Times New Roman" w:cs="Times New Roman"/>
          <w:szCs w:val="28"/>
          <w:lang w:val="uk-UA" w:eastAsia="ru-RU"/>
        </w:rPr>
        <w:t xml:space="preserve"> згідно з положеннями частини другої статті 3 Конституції України </w:t>
      </w:r>
      <w:r w:rsidR="007C7105">
        <w:rPr>
          <w:rFonts w:eastAsia="Times New Roman" w:cs="Times New Roman"/>
          <w:szCs w:val="28"/>
          <w:lang w:val="uk-UA" w:eastAsia="ru-RU"/>
        </w:rPr>
        <w:t xml:space="preserve">забезпечення прав і свобод людини </w:t>
      </w:r>
      <w:r w:rsidR="00631242">
        <w:rPr>
          <w:rFonts w:eastAsia="Times New Roman" w:cs="Times New Roman"/>
          <w:szCs w:val="28"/>
          <w:lang w:val="uk-UA" w:eastAsia="ru-RU"/>
        </w:rPr>
        <w:t xml:space="preserve">є головним обов’язком держави. </w:t>
      </w:r>
    </w:p>
    <w:p w:rsidR="00117B52" w:rsidRDefault="00631242" w:rsidP="00766528">
      <w:pPr>
        <w:spacing w:after="0" w:line="240" w:lineRule="auto"/>
        <w:ind w:firstLine="567"/>
        <w:jc w:val="both"/>
        <w:rPr>
          <w:rFonts w:eastAsia="Times New Roman" w:cs="Times New Roman"/>
          <w:szCs w:val="28"/>
          <w:lang w:val="uk-UA" w:eastAsia="ru-RU"/>
        </w:rPr>
      </w:pPr>
      <w:r>
        <w:rPr>
          <w:rFonts w:eastAsia="Times New Roman" w:cs="Times New Roman"/>
          <w:szCs w:val="28"/>
          <w:lang w:val="uk-UA" w:eastAsia="ru-RU"/>
        </w:rPr>
        <w:t xml:space="preserve">Також необхідно звернути увагу, що положеннями частини третьої статті 95 КПК України в редакції, передбаченій підпунктом «ж» підпункту 3 пункту 2 розділу </w:t>
      </w:r>
      <w:r>
        <w:rPr>
          <w:rFonts w:eastAsia="Times New Roman" w:cs="Times New Roman"/>
          <w:szCs w:val="28"/>
          <w:lang w:val="en-US" w:eastAsia="ru-RU"/>
        </w:rPr>
        <w:t>VI</w:t>
      </w:r>
      <w:r w:rsidRPr="00631242">
        <w:rPr>
          <w:rFonts w:eastAsia="Times New Roman" w:cs="Times New Roman"/>
          <w:szCs w:val="28"/>
          <w:lang w:val="uk-UA" w:eastAsia="ru-RU"/>
        </w:rPr>
        <w:t xml:space="preserve"> </w:t>
      </w:r>
      <w:r>
        <w:rPr>
          <w:rFonts w:eastAsia="Times New Roman" w:cs="Times New Roman"/>
          <w:szCs w:val="28"/>
          <w:lang w:val="uk-UA" w:eastAsia="ru-RU"/>
        </w:rPr>
        <w:t xml:space="preserve">«Прикінцеві та перехідні положення» Закону України «Про Вищий антикорупційний суд» передбачено обов’язок експерта давати показання як суду, так і слідчому судді. Проте, положення </w:t>
      </w:r>
      <w:r w:rsidRPr="00631242">
        <w:rPr>
          <w:rFonts w:eastAsia="Times New Roman" w:cs="Times New Roman"/>
          <w:szCs w:val="28"/>
          <w:lang w:val="uk-UA" w:eastAsia="ru-RU"/>
        </w:rPr>
        <w:t>Закону України «Про Вищий антикорупційний суд»</w:t>
      </w:r>
      <w:r>
        <w:rPr>
          <w:rFonts w:eastAsia="Times New Roman" w:cs="Times New Roman"/>
          <w:szCs w:val="28"/>
          <w:lang w:val="uk-UA" w:eastAsia="ru-RU"/>
        </w:rPr>
        <w:t xml:space="preserve"> в цій частині не регламентують процесуальний порядок відібрання та фіксації показань експерта під час досудового розслідування. </w:t>
      </w:r>
    </w:p>
    <w:p w:rsidR="00631242" w:rsidRDefault="00117B52" w:rsidP="00766528">
      <w:pPr>
        <w:spacing w:after="0" w:line="240" w:lineRule="auto"/>
        <w:ind w:firstLine="567"/>
        <w:jc w:val="both"/>
        <w:rPr>
          <w:rFonts w:eastAsia="Times New Roman" w:cs="Times New Roman"/>
          <w:szCs w:val="28"/>
          <w:lang w:val="uk-UA" w:eastAsia="ru-RU"/>
        </w:rPr>
      </w:pPr>
      <w:r>
        <w:rPr>
          <w:rFonts w:eastAsia="Times New Roman" w:cs="Times New Roman"/>
          <w:szCs w:val="28"/>
          <w:lang w:val="uk-UA" w:eastAsia="ru-RU"/>
        </w:rPr>
        <w:t>Проектом Закону</w:t>
      </w:r>
      <w:r w:rsidR="00631242">
        <w:rPr>
          <w:rFonts w:eastAsia="Times New Roman" w:cs="Times New Roman"/>
          <w:szCs w:val="28"/>
          <w:lang w:val="uk-UA" w:eastAsia="ru-RU"/>
        </w:rPr>
        <w:t>, що розглядається</w:t>
      </w:r>
      <w:r>
        <w:rPr>
          <w:rFonts w:eastAsia="Times New Roman" w:cs="Times New Roman"/>
          <w:szCs w:val="28"/>
          <w:lang w:val="uk-UA" w:eastAsia="ru-RU"/>
        </w:rPr>
        <w:t xml:space="preserve">, положення </w:t>
      </w:r>
      <w:r w:rsidRPr="00117B52">
        <w:rPr>
          <w:rFonts w:eastAsia="Times New Roman" w:cs="Times New Roman"/>
          <w:szCs w:val="28"/>
          <w:lang w:val="uk-UA" w:eastAsia="ru-RU"/>
        </w:rPr>
        <w:t xml:space="preserve">розділу </w:t>
      </w:r>
      <w:r w:rsidRPr="00117B52">
        <w:rPr>
          <w:rFonts w:eastAsia="Times New Roman" w:cs="Times New Roman"/>
          <w:szCs w:val="28"/>
          <w:lang w:val="en-US" w:eastAsia="ru-RU"/>
        </w:rPr>
        <w:t>VI</w:t>
      </w:r>
      <w:r w:rsidRPr="00117B52">
        <w:rPr>
          <w:rFonts w:eastAsia="Times New Roman" w:cs="Times New Roman"/>
          <w:szCs w:val="28"/>
          <w:lang w:val="uk-UA" w:eastAsia="ru-RU"/>
        </w:rPr>
        <w:t xml:space="preserve"> «Прикінцеві та перехідні положення» Закону України «Про Вищий антикорупційний суд»</w:t>
      </w:r>
      <w:r>
        <w:rPr>
          <w:rFonts w:eastAsia="Times New Roman" w:cs="Times New Roman"/>
          <w:szCs w:val="28"/>
          <w:lang w:val="uk-UA" w:eastAsia="ru-RU"/>
        </w:rPr>
        <w:t xml:space="preserve"> в частині взаємодії судового експерта із органами досудового розслідування та прокурором виключаються.</w:t>
      </w:r>
    </w:p>
    <w:p w:rsidR="00117B52" w:rsidRDefault="00117B52" w:rsidP="00766528">
      <w:pPr>
        <w:spacing w:after="0" w:line="240" w:lineRule="auto"/>
        <w:ind w:firstLine="567"/>
        <w:jc w:val="both"/>
        <w:rPr>
          <w:rFonts w:eastAsia="Times New Roman" w:cs="Times New Roman"/>
          <w:szCs w:val="28"/>
          <w:lang w:val="uk-UA" w:eastAsia="ru-RU"/>
        </w:rPr>
      </w:pPr>
    </w:p>
    <w:p w:rsidR="00117B52" w:rsidRPr="00117B52" w:rsidRDefault="00117B52" w:rsidP="00117B52">
      <w:pPr>
        <w:spacing w:after="0" w:line="240" w:lineRule="auto"/>
        <w:ind w:firstLine="567"/>
        <w:jc w:val="both"/>
        <w:rPr>
          <w:rFonts w:eastAsia="Times New Roman" w:cs="Times New Roman"/>
          <w:bCs/>
          <w:szCs w:val="28"/>
          <w:lang w:val="uk-UA" w:eastAsia="ru-RU"/>
        </w:rPr>
      </w:pPr>
      <w:r w:rsidRPr="00117B52">
        <w:rPr>
          <w:rFonts w:eastAsia="Times New Roman" w:cs="Times New Roman"/>
          <w:bCs/>
          <w:szCs w:val="28"/>
          <w:lang w:val="uk-UA" w:eastAsia="ru-RU"/>
        </w:rPr>
        <w:t xml:space="preserve">2. Положеннями проекту Закону передбачено частину другу статті 65 </w:t>
      </w:r>
      <w:r w:rsidR="003B1DA6" w:rsidRPr="003B1DA6">
        <w:rPr>
          <w:rFonts w:eastAsia="Times New Roman" w:cs="Times New Roman"/>
          <w:bCs/>
          <w:szCs w:val="28"/>
          <w:lang w:val="uk-UA" w:eastAsia="ru-RU"/>
        </w:rPr>
        <w:t>КПК України</w:t>
      </w:r>
      <w:r w:rsidRPr="00117B52">
        <w:rPr>
          <w:rFonts w:eastAsia="Times New Roman" w:cs="Times New Roman"/>
          <w:bCs/>
          <w:szCs w:val="28"/>
          <w:lang w:val="uk-UA" w:eastAsia="ru-RU"/>
        </w:rPr>
        <w:t xml:space="preserve"> доповнити новим пунктом 11, відповідно до змісту якого експерти не можуть бути допитані як свідки щодо наданих н</w:t>
      </w:r>
      <w:r w:rsidR="00F05032">
        <w:rPr>
          <w:rFonts w:eastAsia="Times New Roman" w:cs="Times New Roman"/>
          <w:bCs/>
          <w:szCs w:val="28"/>
          <w:lang w:val="uk-UA" w:eastAsia="ru-RU"/>
        </w:rPr>
        <w:t>и</w:t>
      </w:r>
      <w:r w:rsidRPr="00117B52">
        <w:rPr>
          <w:rFonts w:eastAsia="Times New Roman" w:cs="Times New Roman"/>
          <w:bCs/>
          <w:szCs w:val="28"/>
          <w:lang w:val="uk-UA" w:eastAsia="ru-RU"/>
        </w:rPr>
        <w:t>ми висновків.</w:t>
      </w:r>
    </w:p>
    <w:p w:rsidR="00117B52" w:rsidRDefault="00117B52" w:rsidP="00117B52">
      <w:pPr>
        <w:spacing w:after="0" w:line="240" w:lineRule="auto"/>
        <w:ind w:firstLine="567"/>
        <w:jc w:val="both"/>
        <w:rPr>
          <w:rFonts w:eastAsia="Times New Roman" w:cs="Times New Roman"/>
          <w:bCs/>
          <w:szCs w:val="28"/>
          <w:lang w:val="uk-UA" w:eastAsia="ru-RU"/>
        </w:rPr>
      </w:pPr>
      <w:r w:rsidRPr="00117B52">
        <w:rPr>
          <w:rFonts w:eastAsia="Times New Roman" w:cs="Times New Roman"/>
          <w:bCs/>
          <w:szCs w:val="28"/>
          <w:lang w:val="uk-UA" w:eastAsia="ru-RU"/>
        </w:rPr>
        <w:t>Передусім слід зауважити, що відповідно до положень пункту 25 частини першої статті 3 КПК України експерт нарівні зі свідком визнається учасником кримінального провадження.</w:t>
      </w:r>
      <w:r w:rsidR="00E373BA">
        <w:rPr>
          <w:rFonts w:eastAsia="Times New Roman" w:cs="Times New Roman"/>
          <w:bCs/>
          <w:szCs w:val="28"/>
          <w:lang w:val="uk-UA" w:eastAsia="ru-RU"/>
        </w:rPr>
        <w:t xml:space="preserve"> </w:t>
      </w:r>
      <w:r w:rsidR="00A3433D">
        <w:rPr>
          <w:rFonts w:eastAsia="Times New Roman" w:cs="Times New Roman"/>
          <w:bCs/>
          <w:szCs w:val="28"/>
          <w:lang w:val="uk-UA" w:eastAsia="ru-RU"/>
        </w:rPr>
        <w:t xml:space="preserve">Статус кожного </w:t>
      </w:r>
      <w:r w:rsidR="00A560B9">
        <w:rPr>
          <w:rFonts w:eastAsia="Times New Roman" w:cs="Times New Roman"/>
          <w:bCs/>
          <w:szCs w:val="28"/>
          <w:lang w:val="uk-UA" w:eastAsia="ru-RU"/>
        </w:rPr>
        <w:t>і</w:t>
      </w:r>
      <w:r w:rsidR="00A3433D">
        <w:rPr>
          <w:rFonts w:eastAsia="Times New Roman" w:cs="Times New Roman"/>
          <w:bCs/>
          <w:szCs w:val="28"/>
          <w:lang w:val="uk-UA" w:eastAsia="ru-RU"/>
        </w:rPr>
        <w:t xml:space="preserve">з </w:t>
      </w:r>
      <w:r w:rsidR="00A560B9">
        <w:rPr>
          <w:rFonts w:eastAsia="Times New Roman" w:cs="Times New Roman"/>
          <w:bCs/>
          <w:szCs w:val="28"/>
          <w:lang w:val="uk-UA" w:eastAsia="ru-RU"/>
        </w:rPr>
        <w:t>зазначених</w:t>
      </w:r>
      <w:r w:rsidR="00A3433D">
        <w:rPr>
          <w:rFonts w:eastAsia="Times New Roman" w:cs="Times New Roman"/>
          <w:bCs/>
          <w:szCs w:val="28"/>
          <w:lang w:val="uk-UA" w:eastAsia="ru-RU"/>
        </w:rPr>
        <w:t xml:space="preserve"> учасників кримінального провадження, а також їх роль у здійсненні кримінального провадження визначаються положеннями КПК України.</w:t>
      </w:r>
    </w:p>
    <w:p w:rsidR="00A3433D" w:rsidRPr="00E373BA" w:rsidRDefault="00A3433D" w:rsidP="00117B52">
      <w:pPr>
        <w:spacing w:after="0" w:line="240" w:lineRule="auto"/>
        <w:ind w:firstLine="567"/>
        <w:jc w:val="both"/>
        <w:rPr>
          <w:rFonts w:eastAsia="Times New Roman" w:cs="Times New Roman"/>
          <w:bCs/>
          <w:szCs w:val="28"/>
          <w:lang w:val="uk-UA" w:eastAsia="ru-RU"/>
        </w:rPr>
      </w:pPr>
      <w:r>
        <w:rPr>
          <w:rFonts w:eastAsia="Times New Roman" w:cs="Times New Roman"/>
          <w:bCs/>
          <w:szCs w:val="28"/>
          <w:lang w:val="uk-UA" w:eastAsia="ru-RU"/>
        </w:rPr>
        <w:t xml:space="preserve">Так, відповідно до </w:t>
      </w:r>
      <w:r w:rsidR="005D0FD5">
        <w:rPr>
          <w:rFonts w:eastAsia="Times New Roman" w:cs="Times New Roman"/>
          <w:bCs/>
          <w:szCs w:val="28"/>
          <w:lang w:val="uk-UA" w:eastAsia="ru-RU"/>
        </w:rPr>
        <w:t xml:space="preserve">положень статей 77 та 79 КПК України участь експерта у цьому ж кримінальному провадженні у якості свідка є підставою для його відводу. </w:t>
      </w:r>
      <w:r w:rsidR="00FE45DF">
        <w:rPr>
          <w:rFonts w:eastAsia="Times New Roman" w:cs="Times New Roman"/>
          <w:bCs/>
          <w:szCs w:val="28"/>
          <w:lang w:val="uk-UA" w:eastAsia="ru-RU"/>
        </w:rPr>
        <w:t xml:space="preserve">Показання ж експерта щодо здійсненого ним експертного </w:t>
      </w:r>
      <w:r w:rsidR="00706126">
        <w:rPr>
          <w:rFonts w:eastAsia="Times New Roman" w:cs="Times New Roman"/>
          <w:bCs/>
          <w:szCs w:val="28"/>
          <w:lang w:val="uk-UA" w:eastAsia="ru-RU"/>
        </w:rPr>
        <w:t>дослідження, отримані від нього</w:t>
      </w:r>
      <w:r w:rsidR="00FE45DF">
        <w:rPr>
          <w:rFonts w:eastAsia="Times New Roman" w:cs="Times New Roman"/>
          <w:bCs/>
          <w:szCs w:val="28"/>
          <w:lang w:val="uk-UA" w:eastAsia="ru-RU"/>
        </w:rPr>
        <w:t xml:space="preserve"> у процесуальному статусі відмінному від статусу експерта</w:t>
      </w:r>
      <w:r w:rsidR="00706126" w:rsidRPr="00706126">
        <w:rPr>
          <w:rFonts w:eastAsia="Times New Roman" w:cs="Times New Roman"/>
          <w:bCs/>
          <w:szCs w:val="28"/>
          <w:lang w:val="uk-UA" w:eastAsia="ru-RU"/>
        </w:rPr>
        <w:t xml:space="preserve"> </w:t>
      </w:r>
      <w:r w:rsidR="00706126">
        <w:rPr>
          <w:rFonts w:eastAsia="Times New Roman" w:cs="Times New Roman"/>
          <w:bCs/>
          <w:szCs w:val="28"/>
          <w:lang w:val="uk-UA" w:eastAsia="ru-RU"/>
        </w:rPr>
        <w:t>не можуть бути визнані допустимим доказом</w:t>
      </w:r>
      <w:r w:rsidR="00FE45DF">
        <w:rPr>
          <w:rFonts w:eastAsia="Times New Roman" w:cs="Times New Roman"/>
          <w:bCs/>
          <w:szCs w:val="28"/>
          <w:lang w:val="uk-UA" w:eastAsia="ru-RU"/>
        </w:rPr>
        <w:t>,</w:t>
      </w:r>
      <w:r w:rsidR="00706126">
        <w:rPr>
          <w:rFonts w:eastAsia="Times New Roman" w:cs="Times New Roman"/>
          <w:bCs/>
          <w:szCs w:val="28"/>
          <w:lang w:val="uk-UA" w:eastAsia="ru-RU"/>
        </w:rPr>
        <w:t xml:space="preserve"> оскільки </w:t>
      </w:r>
      <w:r w:rsidR="00FE45DF">
        <w:rPr>
          <w:rFonts w:eastAsia="Times New Roman" w:cs="Times New Roman"/>
          <w:bCs/>
          <w:szCs w:val="28"/>
          <w:lang w:val="uk-UA" w:eastAsia="ru-RU"/>
        </w:rPr>
        <w:t>з огляду на положення статті 86 «Допустимість доказу» КПК України</w:t>
      </w:r>
      <w:r w:rsidR="00706126">
        <w:rPr>
          <w:rFonts w:eastAsia="Times New Roman" w:cs="Times New Roman"/>
          <w:bCs/>
          <w:szCs w:val="28"/>
          <w:lang w:val="uk-UA" w:eastAsia="ru-RU"/>
        </w:rPr>
        <w:t xml:space="preserve"> доказ визнається допустимим, якщо він отриманий у порядку встановленому КПК України</w:t>
      </w:r>
      <w:r w:rsidR="00FE45DF">
        <w:rPr>
          <w:rFonts w:eastAsia="Times New Roman" w:cs="Times New Roman"/>
          <w:bCs/>
          <w:szCs w:val="28"/>
          <w:lang w:val="uk-UA" w:eastAsia="ru-RU"/>
        </w:rPr>
        <w:t>.</w:t>
      </w:r>
    </w:p>
    <w:p w:rsidR="00117B52" w:rsidRDefault="00706126" w:rsidP="00766528">
      <w:pPr>
        <w:spacing w:after="0" w:line="240" w:lineRule="auto"/>
        <w:ind w:firstLine="567"/>
        <w:jc w:val="both"/>
        <w:rPr>
          <w:rFonts w:eastAsia="Times New Roman" w:cs="Times New Roman"/>
          <w:bCs/>
          <w:szCs w:val="28"/>
          <w:lang w:val="uk-UA" w:eastAsia="ru-RU"/>
        </w:rPr>
      </w:pPr>
      <w:r>
        <w:rPr>
          <w:rFonts w:eastAsia="Times New Roman" w:cs="Times New Roman"/>
          <w:bCs/>
          <w:szCs w:val="28"/>
          <w:lang w:val="uk-UA" w:eastAsia="ru-RU"/>
        </w:rPr>
        <w:t xml:space="preserve">Отже, зміни до статті 65 КПК України, передбачені проектом Закону, </w:t>
      </w:r>
      <w:r w:rsidR="00A560B9">
        <w:rPr>
          <w:rFonts w:eastAsia="Times New Roman" w:cs="Times New Roman"/>
          <w:bCs/>
          <w:szCs w:val="28"/>
          <w:lang w:val="uk-UA" w:eastAsia="ru-RU"/>
        </w:rPr>
        <w:t>не вписано системно у контексті</w:t>
      </w:r>
      <w:r>
        <w:rPr>
          <w:rFonts w:eastAsia="Times New Roman" w:cs="Times New Roman"/>
          <w:bCs/>
          <w:szCs w:val="28"/>
          <w:lang w:val="uk-UA" w:eastAsia="ru-RU"/>
        </w:rPr>
        <w:t xml:space="preserve"> загальн</w:t>
      </w:r>
      <w:r w:rsidR="00B20933">
        <w:rPr>
          <w:rFonts w:eastAsia="Times New Roman" w:cs="Times New Roman"/>
          <w:bCs/>
          <w:szCs w:val="28"/>
          <w:lang w:val="uk-UA" w:eastAsia="ru-RU"/>
        </w:rPr>
        <w:t>ої</w:t>
      </w:r>
      <w:r>
        <w:rPr>
          <w:rFonts w:eastAsia="Times New Roman" w:cs="Times New Roman"/>
          <w:bCs/>
          <w:szCs w:val="28"/>
          <w:lang w:val="uk-UA" w:eastAsia="ru-RU"/>
        </w:rPr>
        <w:t xml:space="preserve"> логі</w:t>
      </w:r>
      <w:r w:rsidR="00B20933">
        <w:rPr>
          <w:rFonts w:eastAsia="Times New Roman" w:cs="Times New Roman"/>
          <w:bCs/>
          <w:szCs w:val="28"/>
          <w:lang w:val="uk-UA" w:eastAsia="ru-RU"/>
        </w:rPr>
        <w:t>ки</w:t>
      </w:r>
      <w:r>
        <w:rPr>
          <w:rFonts w:eastAsia="Times New Roman" w:cs="Times New Roman"/>
          <w:bCs/>
          <w:szCs w:val="28"/>
          <w:lang w:val="uk-UA" w:eastAsia="ru-RU"/>
        </w:rPr>
        <w:t xml:space="preserve"> кримінально-процесуального регулювання.</w:t>
      </w:r>
    </w:p>
    <w:p w:rsidR="00400113" w:rsidRDefault="00400113" w:rsidP="00766528">
      <w:pPr>
        <w:spacing w:after="0" w:line="240" w:lineRule="auto"/>
        <w:ind w:firstLine="567"/>
        <w:jc w:val="both"/>
        <w:rPr>
          <w:rFonts w:eastAsia="Times New Roman" w:cs="Times New Roman"/>
          <w:bCs/>
          <w:szCs w:val="28"/>
          <w:lang w:val="uk-UA" w:eastAsia="ru-RU"/>
        </w:rPr>
      </w:pPr>
    </w:p>
    <w:p w:rsidR="00741AD8" w:rsidRDefault="00706126" w:rsidP="00766528">
      <w:pPr>
        <w:spacing w:after="0" w:line="240" w:lineRule="auto"/>
        <w:ind w:firstLine="567"/>
        <w:jc w:val="both"/>
        <w:rPr>
          <w:rFonts w:eastAsia="Times New Roman" w:cs="Times New Roman"/>
          <w:bCs/>
          <w:szCs w:val="28"/>
          <w:lang w:val="uk-UA" w:eastAsia="ru-RU"/>
        </w:rPr>
      </w:pPr>
      <w:r>
        <w:rPr>
          <w:rFonts w:eastAsia="Times New Roman" w:cs="Times New Roman"/>
          <w:bCs/>
          <w:szCs w:val="28"/>
          <w:lang w:val="uk-UA" w:eastAsia="ru-RU"/>
        </w:rPr>
        <w:lastRenderedPageBreak/>
        <w:t xml:space="preserve">3. Положеннями проекту Закону </w:t>
      </w:r>
      <w:r w:rsidR="00741AD8">
        <w:rPr>
          <w:rFonts w:eastAsia="Times New Roman" w:cs="Times New Roman"/>
          <w:bCs/>
          <w:szCs w:val="28"/>
          <w:lang w:val="uk-UA" w:eastAsia="ru-RU"/>
        </w:rPr>
        <w:t>передбачено, що у кримінальному провадженні може бути залучен</w:t>
      </w:r>
      <w:r w:rsidR="00B26A7B">
        <w:rPr>
          <w:rFonts w:eastAsia="Times New Roman" w:cs="Times New Roman"/>
          <w:bCs/>
          <w:szCs w:val="28"/>
          <w:lang w:val="uk-UA" w:eastAsia="ru-RU"/>
        </w:rPr>
        <w:t>о</w:t>
      </w:r>
      <w:r w:rsidR="00741AD8">
        <w:rPr>
          <w:rFonts w:eastAsia="Times New Roman" w:cs="Times New Roman"/>
          <w:bCs/>
          <w:szCs w:val="28"/>
          <w:lang w:val="uk-UA" w:eastAsia="ru-RU"/>
        </w:rPr>
        <w:t xml:space="preserve"> </w:t>
      </w:r>
      <w:r w:rsidR="00B26A7B">
        <w:rPr>
          <w:rFonts w:eastAsia="Times New Roman" w:cs="Times New Roman"/>
          <w:bCs/>
          <w:szCs w:val="28"/>
          <w:lang w:val="uk-UA" w:eastAsia="ru-RU"/>
        </w:rPr>
        <w:t xml:space="preserve">виключно експерта </w:t>
      </w:r>
      <w:r w:rsidR="00741AD8">
        <w:rPr>
          <w:rFonts w:eastAsia="Times New Roman" w:cs="Times New Roman"/>
          <w:bCs/>
          <w:szCs w:val="28"/>
          <w:lang w:val="uk-UA" w:eastAsia="ru-RU"/>
        </w:rPr>
        <w:t>державної спеціалізованої установи (стаття 243, пункт 4 частини другої, частина шоста статті 244, стаття 244</w:t>
      </w:r>
      <w:r w:rsidR="00741AD8" w:rsidRPr="00AC4C5B">
        <w:rPr>
          <w:rFonts w:eastAsia="Times New Roman" w:cs="Times New Roman"/>
          <w:bCs/>
          <w:szCs w:val="28"/>
          <w:vertAlign w:val="superscript"/>
          <w:lang w:val="uk-UA" w:eastAsia="ru-RU"/>
        </w:rPr>
        <w:t>1</w:t>
      </w:r>
      <w:r w:rsidR="00741AD8">
        <w:rPr>
          <w:rFonts w:eastAsia="Times New Roman" w:cs="Times New Roman"/>
          <w:bCs/>
          <w:szCs w:val="28"/>
          <w:lang w:val="uk-UA" w:eastAsia="ru-RU"/>
        </w:rPr>
        <w:t xml:space="preserve">, частина друга статті 332 КПК України в редакції проекту Закону). </w:t>
      </w:r>
    </w:p>
    <w:p w:rsidR="00B26A7B" w:rsidRDefault="00B26A7B" w:rsidP="00766528">
      <w:pPr>
        <w:spacing w:after="0" w:line="240" w:lineRule="auto"/>
        <w:ind w:firstLine="567"/>
        <w:jc w:val="both"/>
        <w:rPr>
          <w:rFonts w:eastAsia="Times New Roman" w:cs="Times New Roman"/>
          <w:bCs/>
          <w:szCs w:val="28"/>
          <w:lang w:val="uk-UA" w:eastAsia="ru-RU"/>
        </w:rPr>
      </w:pPr>
      <w:r>
        <w:rPr>
          <w:rFonts w:eastAsia="Times New Roman" w:cs="Times New Roman"/>
          <w:bCs/>
          <w:szCs w:val="28"/>
          <w:lang w:val="uk-UA" w:eastAsia="ru-RU"/>
        </w:rPr>
        <w:t xml:space="preserve">Слід зауважити, що таке обмеження щодо залучення експертів у кримінальному провадженні у випадку необхідності проведення окремих рідкісних видів експертиз, або залучення експертів рідкісних експертних спеціальностей на практиці </w:t>
      </w:r>
      <w:r w:rsidR="00B20933">
        <w:rPr>
          <w:rFonts w:eastAsia="Times New Roman" w:cs="Times New Roman"/>
          <w:bCs/>
          <w:szCs w:val="28"/>
          <w:lang w:val="uk-UA" w:eastAsia="ru-RU"/>
        </w:rPr>
        <w:t xml:space="preserve">може </w:t>
      </w:r>
      <w:r w:rsidR="00F937E4">
        <w:rPr>
          <w:rFonts w:eastAsia="Times New Roman" w:cs="Times New Roman"/>
          <w:bCs/>
          <w:szCs w:val="28"/>
          <w:lang w:val="uk-UA" w:eastAsia="ru-RU"/>
        </w:rPr>
        <w:t>призве</w:t>
      </w:r>
      <w:r w:rsidR="00B20933">
        <w:rPr>
          <w:rFonts w:eastAsia="Times New Roman" w:cs="Times New Roman"/>
          <w:bCs/>
          <w:szCs w:val="28"/>
          <w:lang w:val="uk-UA" w:eastAsia="ru-RU"/>
        </w:rPr>
        <w:t xml:space="preserve">сти до </w:t>
      </w:r>
      <w:r w:rsidR="00F937E4">
        <w:rPr>
          <w:rFonts w:eastAsia="Times New Roman" w:cs="Times New Roman"/>
          <w:bCs/>
          <w:szCs w:val="28"/>
          <w:lang w:val="uk-UA" w:eastAsia="ru-RU"/>
        </w:rPr>
        <w:t xml:space="preserve">неможливості проведення експертизи у кримінальному провадженні. </w:t>
      </w:r>
      <w:r>
        <w:rPr>
          <w:rFonts w:eastAsia="Times New Roman" w:cs="Times New Roman"/>
          <w:bCs/>
          <w:szCs w:val="28"/>
          <w:lang w:val="uk-UA" w:eastAsia="ru-RU"/>
        </w:rPr>
        <w:t xml:space="preserve"> </w:t>
      </w:r>
    </w:p>
    <w:p w:rsidR="00AC71C3" w:rsidRDefault="00F937E4" w:rsidP="00F937E4">
      <w:pPr>
        <w:spacing w:after="0" w:line="240" w:lineRule="auto"/>
        <w:ind w:firstLine="567"/>
        <w:jc w:val="both"/>
        <w:rPr>
          <w:rFonts w:eastAsia="Times New Roman" w:cs="Times New Roman"/>
          <w:bCs/>
          <w:szCs w:val="28"/>
          <w:lang w:val="uk-UA" w:eastAsia="ru-RU"/>
        </w:rPr>
      </w:pPr>
      <w:r>
        <w:rPr>
          <w:rFonts w:eastAsia="Times New Roman" w:cs="Times New Roman"/>
          <w:bCs/>
          <w:szCs w:val="28"/>
          <w:lang w:val="uk-UA" w:eastAsia="ru-RU"/>
        </w:rPr>
        <w:t xml:space="preserve">Водночас </w:t>
      </w:r>
      <w:r w:rsidR="00AC71C3">
        <w:rPr>
          <w:rFonts w:eastAsia="Times New Roman" w:cs="Times New Roman"/>
          <w:bCs/>
          <w:szCs w:val="28"/>
          <w:lang w:val="uk-UA" w:eastAsia="ru-RU"/>
        </w:rPr>
        <w:t xml:space="preserve">частиною третьою статті 10 </w:t>
      </w:r>
      <w:r w:rsidR="006345FD">
        <w:rPr>
          <w:rFonts w:eastAsia="Times New Roman" w:cs="Times New Roman"/>
          <w:bCs/>
          <w:szCs w:val="28"/>
          <w:lang w:val="uk-UA" w:eastAsia="ru-RU"/>
        </w:rPr>
        <w:t xml:space="preserve">Закону України </w:t>
      </w:r>
      <w:r w:rsidR="00AC71C3" w:rsidRPr="00AC71C3">
        <w:rPr>
          <w:rFonts w:eastAsia="Times New Roman" w:cs="Times New Roman"/>
          <w:bCs/>
          <w:szCs w:val="28"/>
          <w:lang w:val="uk-UA" w:eastAsia="ru-RU"/>
        </w:rPr>
        <w:t>«Про судову експертизу»</w:t>
      </w:r>
      <w:r w:rsidR="00AC71C3">
        <w:rPr>
          <w:rFonts w:eastAsia="Times New Roman" w:cs="Times New Roman"/>
          <w:bCs/>
          <w:szCs w:val="28"/>
          <w:lang w:val="uk-UA" w:eastAsia="ru-RU"/>
        </w:rPr>
        <w:t xml:space="preserve"> визначено, що д</w:t>
      </w:r>
      <w:r w:rsidR="00AC71C3" w:rsidRPr="00AC71C3">
        <w:rPr>
          <w:rFonts w:eastAsia="Times New Roman" w:cs="Times New Roman"/>
          <w:bCs/>
          <w:szCs w:val="28"/>
          <w:lang w:val="uk-UA" w:eastAsia="ru-RU"/>
        </w:rPr>
        <w:t xml:space="preserve">о проведення судових експертиз, крім тих, що проводяться виключно державними спеціалізованими установами, можуть залучатися також судові експерти, які не </w:t>
      </w:r>
      <w:r w:rsidR="00AC71C3">
        <w:rPr>
          <w:rFonts w:eastAsia="Times New Roman" w:cs="Times New Roman"/>
          <w:bCs/>
          <w:szCs w:val="28"/>
          <w:lang w:val="uk-UA" w:eastAsia="ru-RU"/>
        </w:rPr>
        <w:t>є працівниками цих установ,</w:t>
      </w:r>
      <w:r w:rsidR="00AC71C3" w:rsidRPr="00AC71C3">
        <w:rPr>
          <w:rFonts w:eastAsia="Times New Roman" w:cs="Times New Roman"/>
          <w:bCs/>
          <w:szCs w:val="28"/>
          <w:lang w:val="uk-UA" w:eastAsia="ru-RU"/>
        </w:rPr>
        <w:t xml:space="preserve"> за умови, що вони мають відповідну вищу освіту, </w:t>
      </w:r>
      <w:r w:rsidR="00AC71C3">
        <w:rPr>
          <w:rFonts w:eastAsia="Times New Roman" w:cs="Times New Roman"/>
          <w:bCs/>
          <w:szCs w:val="28"/>
          <w:lang w:val="uk-UA" w:eastAsia="ru-RU"/>
        </w:rPr>
        <w:t>освітньо-кваліфікаційний</w:t>
      </w:r>
      <w:r w:rsidR="00AC71C3" w:rsidRPr="00AC71C3">
        <w:rPr>
          <w:rFonts w:eastAsia="Times New Roman" w:cs="Times New Roman"/>
          <w:bCs/>
          <w:szCs w:val="28"/>
          <w:lang w:val="uk-UA" w:eastAsia="ru-RU"/>
        </w:rPr>
        <w:t xml:space="preserve"> рівень не </w:t>
      </w:r>
      <w:r w:rsidR="00AC71C3">
        <w:rPr>
          <w:rFonts w:eastAsia="Times New Roman" w:cs="Times New Roman"/>
          <w:bCs/>
          <w:szCs w:val="28"/>
          <w:lang w:val="uk-UA" w:eastAsia="ru-RU"/>
        </w:rPr>
        <w:t>нижче спеціаліста,</w:t>
      </w:r>
      <w:r w:rsidR="00AC71C3" w:rsidRPr="00AC71C3">
        <w:rPr>
          <w:rFonts w:eastAsia="Times New Roman" w:cs="Times New Roman"/>
          <w:bCs/>
          <w:szCs w:val="28"/>
          <w:lang w:val="uk-UA" w:eastAsia="ru-RU"/>
        </w:rPr>
        <w:t xml:space="preserve"> пройшли відповідну підготовку в державних спеціалізованих установах Міністерства юстиції України, </w:t>
      </w:r>
      <w:r w:rsidR="00AC71C3" w:rsidRPr="00AC71C3">
        <w:rPr>
          <w:rFonts w:eastAsia="Times New Roman" w:cs="Times New Roman"/>
          <w:bCs/>
          <w:szCs w:val="28"/>
          <w:u w:val="single"/>
          <w:lang w:val="uk-UA" w:eastAsia="ru-RU"/>
        </w:rPr>
        <w:t xml:space="preserve">атестовані та отримали кваліфікацію </w:t>
      </w:r>
      <w:r w:rsidR="00AC71C3" w:rsidRPr="00AC71C3">
        <w:rPr>
          <w:rFonts w:eastAsia="Times New Roman" w:cs="Times New Roman"/>
          <w:bCs/>
          <w:szCs w:val="28"/>
          <w:u w:val="single"/>
          <w:lang w:eastAsia="ru-RU"/>
        </w:rPr>
        <w:t xml:space="preserve">судового </w:t>
      </w:r>
      <w:proofErr w:type="spellStart"/>
      <w:r w:rsidR="00AC71C3" w:rsidRPr="00AC71C3">
        <w:rPr>
          <w:rFonts w:eastAsia="Times New Roman" w:cs="Times New Roman"/>
          <w:bCs/>
          <w:szCs w:val="28"/>
          <w:u w:val="single"/>
          <w:lang w:eastAsia="ru-RU"/>
        </w:rPr>
        <w:t>експерта</w:t>
      </w:r>
      <w:proofErr w:type="spellEnd"/>
      <w:r w:rsidR="00AC71C3" w:rsidRPr="00AC71C3">
        <w:rPr>
          <w:rFonts w:eastAsia="Times New Roman" w:cs="Times New Roman"/>
          <w:bCs/>
          <w:szCs w:val="28"/>
          <w:u w:val="single"/>
          <w:lang w:eastAsia="ru-RU"/>
        </w:rPr>
        <w:t xml:space="preserve"> з </w:t>
      </w:r>
      <w:proofErr w:type="spellStart"/>
      <w:r w:rsidR="00AC71C3" w:rsidRPr="00AC71C3">
        <w:rPr>
          <w:rFonts w:eastAsia="Times New Roman" w:cs="Times New Roman"/>
          <w:bCs/>
          <w:szCs w:val="28"/>
          <w:u w:val="single"/>
          <w:lang w:eastAsia="ru-RU"/>
        </w:rPr>
        <w:t>певної</w:t>
      </w:r>
      <w:proofErr w:type="spellEnd"/>
      <w:r w:rsidR="00AC71C3" w:rsidRPr="00AC71C3">
        <w:rPr>
          <w:rFonts w:eastAsia="Times New Roman" w:cs="Times New Roman"/>
          <w:bCs/>
          <w:szCs w:val="28"/>
          <w:u w:val="single"/>
          <w:lang w:eastAsia="ru-RU"/>
        </w:rPr>
        <w:t xml:space="preserve"> </w:t>
      </w:r>
      <w:proofErr w:type="spellStart"/>
      <w:r w:rsidR="00AC71C3" w:rsidRPr="00AC71C3">
        <w:rPr>
          <w:rFonts w:eastAsia="Times New Roman" w:cs="Times New Roman"/>
          <w:bCs/>
          <w:szCs w:val="28"/>
          <w:u w:val="single"/>
          <w:lang w:eastAsia="ru-RU"/>
        </w:rPr>
        <w:t>спеціальності</w:t>
      </w:r>
      <w:proofErr w:type="spellEnd"/>
      <w:r w:rsidR="00AC71C3" w:rsidRPr="00AC71C3">
        <w:rPr>
          <w:rFonts w:eastAsia="Times New Roman" w:cs="Times New Roman"/>
          <w:bCs/>
          <w:szCs w:val="28"/>
          <w:lang w:eastAsia="ru-RU"/>
        </w:rPr>
        <w:t xml:space="preserve"> у порядку,  </w:t>
      </w:r>
      <w:proofErr w:type="spellStart"/>
      <w:r w:rsidR="00AC71C3" w:rsidRPr="00AC71C3">
        <w:rPr>
          <w:rFonts w:eastAsia="Times New Roman" w:cs="Times New Roman"/>
          <w:bCs/>
          <w:szCs w:val="28"/>
          <w:lang w:eastAsia="ru-RU"/>
        </w:rPr>
        <w:t>передбаченому</w:t>
      </w:r>
      <w:proofErr w:type="spellEnd"/>
      <w:r w:rsidR="00AC71C3" w:rsidRPr="00AC71C3">
        <w:rPr>
          <w:rFonts w:eastAsia="Times New Roman" w:cs="Times New Roman"/>
          <w:bCs/>
          <w:szCs w:val="28"/>
          <w:lang w:eastAsia="ru-RU"/>
        </w:rPr>
        <w:t xml:space="preserve"> </w:t>
      </w:r>
      <w:proofErr w:type="spellStart"/>
      <w:r w:rsidR="00AC71C3" w:rsidRPr="00AC71C3">
        <w:rPr>
          <w:rFonts w:eastAsia="Times New Roman" w:cs="Times New Roman"/>
          <w:bCs/>
          <w:szCs w:val="28"/>
          <w:lang w:eastAsia="ru-RU"/>
        </w:rPr>
        <w:t>цим</w:t>
      </w:r>
      <w:proofErr w:type="spellEnd"/>
      <w:r w:rsidR="00AC71C3" w:rsidRPr="00AC71C3">
        <w:rPr>
          <w:rFonts w:eastAsia="Times New Roman" w:cs="Times New Roman"/>
          <w:bCs/>
          <w:szCs w:val="28"/>
          <w:lang w:eastAsia="ru-RU"/>
        </w:rPr>
        <w:t xml:space="preserve"> Законом.</w:t>
      </w:r>
    </w:p>
    <w:p w:rsidR="00F937E4" w:rsidRDefault="00AC71C3" w:rsidP="00F937E4">
      <w:pPr>
        <w:spacing w:after="0" w:line="240" w:lineRule="auto"/>
        <w:ind w:firstLine="567"/>
        <w:jc w:val="both"/>
        <w:rPr>
          <w:rFonts w:eastAsia="Times New Roman" w:cs="Times New Roman"/>
          <w:bCs/>
          <w:szCs w:val="28"/>
          <w:lang w:val="uk-UA" w:eastAsia="ru-RU"/>
        </w:rPr>
      </w:pPr>
      <w:r>
        <w:rPr>
          <w:rFonts w:eastAsia="Times New Roman" w:cs="Times New Roman"/>
          <w:bCs/>
          <w:szCs w:val="28"/>
          <w:lang w:val="uk-UA" w:eastAsia="ru-RU"/>
        </w:rPr>
        <w:t xml:space="preserve">Крім того, </w:t>
      </w:r>
      <w:r w:rsidR="00F937E4">
        <w:rPr>
          <w:rFonts w:eastAsia="Times New Roman" w:cs="Times New Roman"/>
          <w:bCs/>
          <w:szCs w:val="28"/>
          <w:lang w:val="uk-UA" w:eastAsia="ru-RU"/>
        </w:rPr>
        <w:t>відповідно до положень статті 7 Закону України «Про судову експертизу» виключно державними</w:t>
      </w:r>
      <w:r w:rsidR="00F937E4" w:rsidRPr="00F937E4">
        <w:rPr>
          <w:rFonts w:eastAsia="Times New Roman" w:cs="Times New Roman"/>
          <w:bCs/>
          <w:szCs w:val="28"/>
          <w:lang w:val="uk-UA" w:eastAsia="ru-RU"/>
        </w:rPr>
        <w:t xml:space="preserve"> спеціалізованими установами здійснюється судово-експертна діяльність, пов</w:t>
      </w:r>
      <w:r w:rsidR="00F937E4">
        <w:rPr>
          <w:rFonts w:eastAsia="Times New Roman" w:cs="Times New Roman"/>
          <w:bCs/>
          <w:szCs w:val="28"/>
          <w:lang w:val="uk-UA" w:eastAsia="ru-RU"/>
        </w:rPr>
        <w:t>’</w:t>
      </w:r>
      <w:r w:rsidR="00F937E4" w:rsidRPr="00F937E4">
        <w:rPr>
          <w:rFonts w:eastAsia="Times New Roman" w:cs="Times New Roman"/>
          <w:bCs/>
          <w:szCs w:val="28"/>
          <w:lang w:val="uk-UA" w:eastAsia="ru-RU"/>
        </w:rPr>
        <w:t xml:space="preserve">язана з проведенням криміналістичних, судово-медичних і судово-психіатричних експертиз. </w:t>
      </w:r>
    </w:p>
    <w:p w:rsidR="00AC71C3" w:rsidRPr="00AC71C3" w:rsidRDefault="00AC71C3" w:rsidP="00AC71C3">
      <w:pPr>
        <w:spacing w:after="0" w:line="240" w:lineRule="auto"/>
        <w:ind w:firstLine="567"/>
        <w:jc w:val="both"/>
        <w:rPr>
          <w:rFonts w:eastAsia="Times New Roman" w:cs="Times New Roman"/>
          <w:bCs/>
          <w:szCs w:val="28"/>
          <w:lang w:val="uk-UA" w:eastAsia="ru-RU"/>
        </w:rPr>
      </w:pPr>
      <w:r>
        <w:rPr>
          <w:rFonts w:eastAsia="Times New Roman" w:cs="Times New Roman"/>
          <w:bCs/>
          <w:szCs w:val="28"/>
          <w:lang w:val="uk-UA" w:eastAsia="ru-RU"/>
        </w:rPr>
        <w:t xml:space="preserve">Таким чином, обмеження у проекті Закону залучення у кримінальному провадженні експертів виключно експертами </w:t>
      </w:r>
      <w:r w:rsidR="008252EB">
        <w:rPr>
          <w:rFonts w:eastAsia="Times New Roman" w:cs="Times New Roman"/>
          <w:bCs/>
          <w:szCs w:val="28"/>
          <w:lang w:val="uk-UA" w:eastAsia="ru-RU"/>
        </w:rPr>
        <w:t xml:space="preserve">державних спеціалізованих установ не сприятиме реалізації завдань кримінального провадження відповідно до статті 2 КПК України, а також не узгоджується з положеннями Закону України </w:t>
      </w:r>
      <w:r w:rsidR="008252EB" w:rsidRPr="008252EB">
        <w:rPr>
          <w:rFonts w:eastAsia="Times New Roman" w:cs="Times New Roman"/>
          <w:bCs/>
          <w:szCs w:val="28"/>
          <w:lang w:val="uk-UA" w:eastAsia="ru-RU"/>
        </w:rPr>
        <w:t>«Про судову експертизу»</w:t>
      </w:r>
      <w:r w:rsidR="008252EB">
        <w:rPr>
          <w:rFonts w:eastAsia="Times New Roman" w:cs="Times New Roman"/>
          <w:bCs/>
          <w:szCs w:val="28"/>
          <w:lang w:val="uk-UA" w:eastAsia="ru-RU"/>
        </w:rPr>
        <w:t>.</w:t>
      </w:r>
    </w:p>
    <w:p w:rsidR="00741AD8" w:rsidRPr="00AC71C3" w:rsidRDefault="00741AD8" w:rsidP="00AC71C3">
      <w:pPr>
        <w:spacing w:after="0" w:line="240" w:lineRule="auto"/>
        <w:ind w:firstLine="567"/>
        <w:jc w:val="both"/>
        <w:rPr>
          <w:rFonts w:eastAsia="Times New Roman" w:cs="Times New Roman"/>
          <w:bCs/>
          <w:szCs w:val="28"/>
          <w:lang w:val="uk-UA" w:eastAsia="ru-RU"/>
        </w:rPr>
      </w:pPr>
    </w:p>
    <w:p w:rsidR="00741AD8" w:rsidRDefault="008252EB" w:rsidP="00766528">
      <w:pPr>
        <w:spacing w:after="0" w:line="240" w:lineRule="auto"/>
        <w:ind w:firstLine="567"/>
        <w:jc w:val="both"/>
        <w:rPr>
          <w:rFonts w:eastAsia="Times New Roman" w:cs="Times New Roman"/>
          <w:bCs/>
          <w:szCs w:val="28"/>
          <w:lang w:val="uk-UA" w:eastAsia="ru-RU"/>
        </w:rPr>
      </w:pPr>
      <w:r>
        <w:rPr>
          <w:rFonts w:eastAsia="Times New Roman" w:cs="Times New Roman"/>
          <w:bCs/>
          <w:szCs w:val="28"/>
          <w:lang w:val="uk-UA" w:eastAsia="ru-RU"/>
        </w:rPr>
        <w:t xml:space="preserve">4. Відповідно до частини першої статті 243 КПК України (у редакції проекту Закону) у разі, якщо для з’ясування обставин, що мають значення для кримінального провадження, необхідне проведення почеркознавчої експертизи, лінгвістичної експертизи мовлення, експертизи відео-, звукозапису, економічної експертизи, товарознавчої експертизи (якщо вартість об’єкта товарознавчої експертизи у 200 і більше разів перевищує розмір прожиткового мінімуму для працездатних осіб), </w:t>
      </w:r>
      <w:r w:rsidRPr="00E17AA9">
        <w:rPr>
          <w:rFonts w:eastAsia="Times New Roman" w:cs="Times New Roman"/>
          <w:bCs/>
          <w:szCs w:val="28"/>
          <w:u w:val="single"/>
          <w:lang w:val="uk-UA" w:eastAsia="ru-RU"/>
        </w:rPr>
        <w:t>сторона обвинувачення звертається</w:t>
      </w:r>
      <w:r>
        <w:rPr>
          <w:rFonts w:eastAsia="Times New Roman" w:cs="Times New Roman"/>
          <w:bCs/>
          <w:szCs w:val="28"/>
          <w:lang w:val="uk-UA" w:eastAsia="ru-RU"/>
        </w:rPr>
        <w:t xml:space="preserve"> з клопотанням про проведення експертизи до слідчого судді.</w:t>
      </w:r>
    </w:p>
    <w:p w:rsidR="008252EB" w:rsidRDefault="002B210F" w:rsidP="00766528">
      <w:pPr>
        <w:spacing w:after="0" w:line="240" w:lineRule="auto"/>
        <w:ind w:firstLine="567"/>
        <w:jc w:val="both"/>
        <w:rPr>
          <w:rFonts w:eastAsia="Times New Roman" w:cs="Times New Roman"/>
          <w:bCs/>
          <w:szCs w:val="28"/>
          <w:lang w:val="uk-UA" w:eastAsia="ru-RU"/>
        </w:rPr>
      </w:pPr>
      <w:r>
        <w:rPr>
          <w:rFonts w:eastAsia="Times New Roman" w:cs="Times New Roman"/>
          <w:bCs/>
          <w:szCs w:val="28"/>
          <w:lang w:val="uk-UA" w:eastAsia="ru-RU"/>
        </w:rPr>
        <w:t xml:space="preserve">В частині наведеного переліку судових експертиз, призначення яких вимагає звернення з клопотанням до слідчого судді, необхідно зазначити, що </w:t>
      </w:r>
      <w:r w:rsidR="00086B6F">
        <w:rPr>
          <w:rFonts w:eastAsia="Times New Roman" w:cs="Times New Roman"/>
          <w:bCs/>
          <w:szCs w:val="28"/>
          <w:lang w:val="uk-UA" w:eastAsia="ru-RU"/>
        </w:rPr>
        <w:t xml:space="preserve">ні з тексту проекту Закону, ні з пояснювальної записки не вбачається ні доцільність такого обмеження для сторони обвинувачення, ні обґрунтованість саме такого переліку видів судових експертиз. </w:t>
      </w:r>
    </w:p>
    <w:p w:rsidR="00E17AA9" w:rsidRDefault="00E17AA9" w:rsidP="00766528">
      <w:pPr>
        <w:spacing w:after="0" w:line="240" w:lineRule="auto"/>
        <w:ind w:firstLine="567"/>
        <w:jc w:val="both"/>
        <w:rPr>
          <w:rFonts w:eastAsia="Times New Roman" w:cs="Times New Roman"/>
          <w:bCs/>
          <w:szCs w:val="28"/>
          <w:lang w:val="uk-UA" w:eastAsia="ru-RU"/>
        </w:rPr>
      </w:pPr>
      <w:r>
        <w:rPr>
          <w:rFonts w:eastAsia="Times New Roman" w:cs="Times New Roman"/>
          <w:bCs/>
          <w:szCs w:val="28"/>
          <w:lang w:val="uk-UA" w:eastAsia="ru-RU"/>
        </w:rPr>
        <w:t xml:space="preserve">Водночас, відповідно до частини другої статті 243 КПК України (у редакції проекту Закону) </w:t>
      </w:r>
      <w:r w:rsidRPr="00E17AA9">
        <w:rPr>
          <w:rFonts w:eastAsia="Times New Roman" w:cs="Times New Roman"/>
          <w:bCs/>
          <w:szCs w:val="28"/>
          <w:u w:val="single"/>
          <w:lang w:val="uk-UA" w:eastAsia="ru-RU"/>
        </w:rPr>
        <w:t>с</w:t>
      </w:r>
      <w:proofErr w:type="spellStart"/>
      <w:r w:rsidRPr="00E17AA9">
        <w:rPr>
          <w:rFonts w:eastAsia="Times New Roman" w:cs="Times New Roman"/>
          <w:bCs/>
          <w:szCs w:val="28"/>
          <w:u w:val="single"/>
          <w:lang w:eastAsia="ru-RU"/>
        </w:rPr>
        <w:t>торона</w:t>
      </w:r>
      <w:proofErr w:type="spellEnd"/>
      <w:r w:rsidRPr="00E17AA9">
        <w:rPr>
          <w:rFonts w:eastAsia="Times New Roman" w:cs="Times New Roman"/>
          <w:bCs/>
          <w:szCs w:val="28"/>
          <w:u w:val="single"/>
          <w:lang w:eastAsia="ru-RU"/>
        </w:rPr>
        <w:t xml:space="preserve"> </w:t>
      </w:r>
      <w:proofErr w:type="spellStart"/>
      <w:r w:rsidRPr="00E17AA9">
        <w:rPr>
          <w:rFonts w:eastAsia="Times New Roman" w:cs="Times New Roman"/>
          <w:bCs/>
          <w:szCs w:val="28"/>
          <w:u w:val="single"/>
          <w:lang w:eastAsia="ru-RU"/>
        </w:rPr>
        <w:t>захисту</w:t>
      </w:r>
      <w:proofErr w:type="spellEnd"/>
      <w:r w:rsidRPr="00E17AA9">
        <w:rPr>
          <w:rFonts w:eastAsia="Times New Roman" w:cs="Times New Roman"/>
          <w:bCs/>
          <w:szCs w:val="28"/>
          <w:lang w:eastAsia="ru-RU"/>
        </w:rPr>
        <w:t xml:space="preserve"> </w:t>
      </w:r>
      <w:proofErr w:type="spellStart"/>
      <w:r w:rsidRPr="00E17AA9">
        <w:rPr>
          <w:rFonts w:eastAsia="Times New Roman" w:cs="Times New Roman"/>
          <w:bCs/>
          <w:szCs w:val="28"/>
          <w:lang w:eastAsia="ru-RU"/>
        </w:rPr>
        <w:t>має</w:t>
      </w:r>
      <w:proofErr w:type="spellEnd"/>
      <w:r w:rsidRPr="00E17AA9">
        <w:rPr>
          <w:rFonts w:eastAsia="Times New Roman" w:cs="Times New Roman"/>
          <w:bCs/>
          <w:szCs w:val="28"/>
          <w:lang w:eastAsia="ru-RU"/>
        </w:rPr>
        <w:t xml:space="preserve"> право </w:t>
      </w:r>
      <w:proofErr w:type="spellStart"/>
      <w:r w:rsidRPr="00E17AA9">
        <w:rPr>
          <w:rFonts w:eastAsia="Times New Roman" w:cs="Times New Roman"/>
          <w:bCs/>
          <w:szCs w:val="28"/>
          <w:lang w:eastAsia="ru-RU"/>
        </w:rPr>
        <w:t>самостійно</w:t>
      </w:r>
      <w:proofErr w:type="spellEnd"/>
      <w:r w:rsidRPr="00E17AA9">
        <w:rPr>
          <w:rFonts w:eastAsia="Times New Roman" w:cs="Times New Roman"/>
          <w:bCs/>
          <w:szCs w:val="28"/>
          <w:lang w:eastAsia="ru-RU"/>
        </w:rPr>
        <w:t xml:space="preserve"> </w:t>
      </w:r>
      <w:proofErr w:type="spellStart"/>
      <w:r w:rsidRPr="00E17AA9">
        <w:rPr>
          <w:rFonts w:eastAsia="Times New Roman" w:cs="Times New Roman"/>
          <w:bCs/>
          <w:szCs w:val="28"/>
          <w:lang w:eastAsia="ru-RU"/>
        </w:rPr>
        <w:t>залучати</w:t>
      </w:r>
      <w:proofErr w:type="spellEnd"/>
      <w:r w:rsidRPr="00E17AA9">
        <w:rPr>
          <w:rFonts w:eastAsia="Times New Roman" w:cs="Times New Roman"/>
          <w:bCs/>
          <w:szCs w:val="28"/>
          <w:lang w:eastAsia="ru-RU"/>
        </w:rPr>
        <w:t xml:space="preserve"> </w:t>
      </w:r>
      <w:proofErr w:type="spellStart"/>
      <w:r w:rsidRPr="00E17AA9">
        <w:rPr>
          <w:rFonts w:eastAsia="Times New Roman" w:cs="Times New Roman"/>
          <w:bCs/>
          <w:szCs w:val="28"/>
          <w:lang w:eastAsia="ru-RU"/>
        </w:rPr>
        <w:t>експерта</w:t>
      </w:r>
      <w:proofErr w:type="spellEnd"/>
      <w:r w:rsidRPr="00E17AA9">
        <w:rPr>
          <w:rFonts w:eastAsia="Times New Roman" w:cs="Times New Roman"/>
          <w:bCs/>
          <w:szCs w:val="28"/>
          <w:lang w:eastAsia="ru-RU"/>
        </w:rPr>
        <w:t xml:space="preserve"> </w:t>
      </w:r>
      <w:proofErr w:type="spellStart"/>
      <w:r>
        <w:rPr>
          <w:rFonts w:eastAsia="Times New Roman" w:cs="Times New Roman"/>
          <w:bCs/>
          <w:szCs w:val="28"/>
          <w:lang w:eastAsia="ru-RU"/>
        </w:rPr>
        <w:t>державної</w:t>
      </w:r>
      <w:proofErr w:type="spellEnd"/>
      <w:r w:rsidRPr="00E17AA9">
        <w:rPr>
          <w:rFonts w:eastAsia="Times New Roman" w:cs="Times New Roman"/>
          <w:bCs/>
          <w:szCs w:val="28"/>
          <w:lang w:eastAsia="ru-RU"/>
        </w:rPr>
        <w:t xml:space="preserve"> </w:t>
      </w:r>
      <w:proofErr w:type="spellStart"/>
      <w:r w:rsidRPr="00E17AA9">
        <w:rPr>
          <w:rFonts w:eastAsia="Times New Roman" w:cs="Times New Roman"/>
          <w:bCs/>
          <w:szCs w:val="28"/>
          <w:lang w:eastAsia="ru-RU"/>
        </w:rPr>
        <w:t>спеціалізованої</w:t>
      </w:r>
      <w:proofErr w:type="spellEnd"/>
      <w:r w:rsidRPr="00E17AA9">
        <w:rPr>
          <w:rFonts w:eastAsia="Times New Roman" w:cs="Times New Roman"/>
          <w:bCs/>
          <w:szCs w:val="28"/>
          <w:lang w:eastAsia="ru-RU"/>
        </w:rPr>
        <w:t xml:space="preserve"> установи на </w:t>
      </w:r>
      <w:proofErr w:type="spellStart"/>
      <w:r w:rsidRPr="00E17AA9">
        <w:rPr>
          <w:rFonts w:eastAsia="Times New Roman" w:cs="Times New Roman"/>
          <w:bCs/>
          <w:szCs w:val="28"/>
          <w:lang w:eastAsia="ru-RU"/>
        </w:rPr>
        <w:t>договірних</w:t>
      </w:r>
      <w:proofErr w:type="spellEnd"/>
      <w:r w:rsidRPr="00E17AA9">
        <w:rPr>
          <w:rFonts w:eastAsia="Times New Roman" w:cs="Times New Roman"/>
          <w:bCs/>
          <w:szCs w:val="28"/>
          <w:lang w:eastAsia="ru-RU"/>
        </w:rPr>
        <w:t xml:space="preserve"> </w:t>
      </w:r>
      <w:proofErr w:type="spellStart"/>
      <w:r w:rsidRPr="00E17AA9">
        <w:rPr>
          <w:rFonts w:eastAsia="Times New Roman" w:cs="Times New Roman"/>
          <w:bCs/>
          <w:szCs w:val="28"/>
          <w:lang w:eastAsia="ru-RU"/>
        </w:rPr>
        <w:t>умовах</w:t>
      </w:r>
      <w:proofErr w:type="spellEnd"/>
      <w:r w:rsidRPr="00E17AA9">
        <w:rPr>
          <w:rFonts w:eastAsia="Times New Roman" w:cs="Times New Roman"/>
          <w:bCs/>
          <w:szCs w:val="28"/>
          <w:lang w:eastAsia="ru-RU"/>
        </w:rPr>
        <w:t xml:space="preserve"> для </w:t>
      </w:r>
      <w:proofErr w:type="spellStart"/>
      <w:r w:rsidRPr="00E17AA9">
        <w:rPr>
          <w:rFonts w:eastAsia="Times New Roman" w:cs="Times New Roman"/>
          <w:bCs/>
          <w:szCs w:val="28"/>
          <w:lang w:eastAsia="ru-RU"/>
        </w:rPr>
        <w:t>проведення</w:t>
      </w:r>
      <w:proofErr w:type="spellEnd"/>
      <w:r w:rsidRPr="00E17AA9">
        <w:rPr>
          <w:rFonts w:eastAsia="Times New Roman" w:cs="Times New Roman"/>
          <w:bCs/>
          <w:szCs w:val="28"/>
          <w:lang w:eastAsia="ru-RU"/>
        </w:rPr>
        <w:t xml:space="preserve"> </w:t>
      </w:r>
      <w:proofErr w:type="spellStart"/>
      <w:r w:rsidRPr="00E17AA9">
        <w:rPr>
          <w:rFonts w:eastAsia="Times New Roman" w:cs="Times New Roman"/>
          <w:bCs/>
          <w:szCs w:val="28"/>
          <w:lang w:eastAsia="ru-RU"/>
        </w:rPr>
        <w:t>експертизи</w:t>
      </w:r>
      <w:proofErr w:type="spellEnd"/>
      <w:r w:rsidRPr="00E17AA9">
        <w:rPr>
          <w:rFonts w:eastAsia="Times New Roman" w:cs="Times New Roman"/>
          <w:bCs/>
          <w:szCs w:val="28"/>
          <w:lang w:eastAsia="ru-RU"/>
        </w:rPr>
        <w:t xml:space="preserve">, у тому </w:t>
      </w:r>
      <w:proofErr w:type="spellStart"/>
      <w:r w:rsidRPr="00E17AA9">
        <w:rPr>
          <w:rFonts w:eastAsia="Times New Roman" w:cs="Times New Roman"/>
          <w:bCs/>
          <w:szCs w:val="28"/>
          <w:lang w:eastAsia="ru-RU"/>
        </w:rPr>
        <w:t>числі</w:t>
      </w:r>
      <w:proofErr w:type="spellEnd"/>
      <w:r w:rsidRPr="00E17AA9">
        <w:rPr>
          <w:rFonts w:eastAsia="Times New Roman" w:cs="Times New Roman"/>
          <w:bCs/>
          <w:szCs w:val="28"/>
          <w:lang w:eastAsia="ru-RU"/>
        </w:rPr>
        <w:t xml:space="preserve"> </w:t>
      </w:r>
      <w:proofErr w:type="spellStart"/>
      <w:r w:rsidRPr="00E17AA9">
        <w:rPr>
          <w:rFonts w:eastAsia="Times New Roman" w:cs="Times New Roman"/>
          <w:bCs/>
          <w:szCs w:val="28"/>
          <w:lang w:eastAsia="ru-RU"/>
        </w:rPr>
        <w:t>обов’язкової</w:t>
      </w:r>
      <w:proofErr w:type="spellEnd"/>
      <w:r w:rsidRPr="00E17AA9">
        <w:rPr>
          <w:rFonts w:eastAsia="Times New Roman" w:cs="Times New Roman"/>
          <w:bCs/>
          <w:szCs w:val="28"/>
          <w:lang w:eastAsia="ru-RU"/>
        </w:rPr>
        <w:t>.</w:t>
      </w:r>
    </w:p>
    <w:p w:rsidR="007D2875" w:rsidRDefault="00E17AA9" w:rsidP="00766528">
      <w:pPr>
        <w:spacing w:after="0" w:line="240" w:lineRule="auto"/>
        <w:ind w:firstLine="567"/>
        <w:jc w:val="both"/>
        <w:rPr>
          <w:rFonts w:eastAsia="Times New Roman" w:cs="Times New Roman"/>
          <w:bCs/>
          <w:szCs w:val="28"/>
          <w:lang w:val="uk-UA" w:eastAsia="ru-RU"/>
        </w:rPr>
      </w:pPr>
      <w:r>
        <w:rPr>
          <w:rFonts w:eastAsia="Times New Roman" w:cs="Times New Roman"/>
          <w:bCs/>
          <w:szCs w:val="28"/>
          <w:lang w:val="uk-UA" w:eastAsia="ru-RU"/>
        </w:rPr>
        <w:lastRenderedPageBreak/>
        <w:t>Таким чином н</w:t>
      </w:r>
      <w:r w:rsidR="007D2875">
        <w:rPr>
          <w:rFonts w:eastAsia="Times New Roman" w:cs="Times New Roman"/>
          <w:bCs/>
          <w:szCs w:val="28"/>
          <w:lang w:val="uk-UA" w:eastAsia="ru-RU"/>
        </w:rPr>
        <w:t xml:space="preserve">аведене обмеження сторони обвинувачення порушує кримінально-процесуальні принципи змагальності сторін та свободи у поданні ними суду своїх доказів і у доведенні перед судом їх переконливості, закріплених у статті 22 КПК України, відповідно до частини другої якої </w:t>
      </w:r>
      <w:r>
        <w:rPr>
          <w:rFonts w:eastAsia="Times New Roman" w:cs="Times New Roman"/>
          <w:bCs/>
          <w:szCs w:val="28"/>
          <w:lang w:val="uk-UA" w:eastAsia="ru-RU"/>
        </w:rPr>
        <w:t>с</w:t>
      </w:r>
      <w:proofErr w:type="spellStart"/>
      <w:r w:rsidRPr="00E17AA9">
        <w:rPr>
          <w:rFonts w:eastAsia="Times New Roman" w:cs="Times New Roman"/>
          <w:bCs/>
          <w:szCs w:val="28"/>
          <w:lang w:eastAsia="ru-RU"/>
        </w:rPr>
        <w:t>торони</w:t>
      </w:r>
      <w:proofErr w:type="spellEnd"/>
      <w:r w:rsidRPr="00E17AA9">
        <w:rPr>
          <w:rFonts w:eastAsia="Times New Roman" w:cs="Times New Roman"/>
          <w:bCs/>
          <w:szCs w:val="28"/>
          <w:lang w:eastAsia="ru-RU"/>
        </w:rPr>
        <w:t xml:space="preserve"> </w:t>
      </w:r>
      <w:proofErr w:type="spellStart"/>
      <w:r w:rsidRPr="00E17AA9">
        <w:rPr>
          <w:rFonts w:eastAsia="Times New Roman" w:cs="Times New Roman"/>
          <w:bCs/>
          <w:szCs w:val="28"/>
          <w:lang w:eastAsia="ru-RU"/>
        </w:rPr>
        <w:t>кримінального</w:t>
      </w:r>
      <w:proofErr w:type="spellEnd"/>
      <w:r w:rsidRPr="00E17AA9">
        <w:rPr>
          <w:rFonts w:eastAsia="Times New Roman" w:cs="Times New Roman"/>
          <w:bCs/>
          <w:szCs w:val="28"/>
          <w:lang w:eastAsia="ru-RU"/>
        </w:rPr>
        <w:t xml:space="preserve"> </w:t>
      </w:r>
      <w:proofErr w:type="spellStart"/>
      <w:r w:rsidRPr="00E17AA9">
        <w:rPr>
          <w:rFonts w:eastAsia="Times New Roman" w:cs="Times New Roman"/>
          <w:bCs/>
          <w:szCs w:val="28"/>
          <w:lang w:eastAsia="ru-RU"/>
        </w:rPr>
        <w:t>провадження</w:t>
      </w:r>
      <w:proofErr w:type="spellEnd"/>
      <w:r w:rsidRPr="00E17AA9">
        <w:rPr>
          <w:rFonts w:eastAsia="Times New Roman" w:cs="Times New Roman"/>
          <w:bCs/>
          <w:szCs w:val="28"/>
          <w:lang w:eastAsia="ru-RU"/>
        </w:rPr>
        <w:t xml:space="preserve"> </w:t>
      </w:r>
      <w:proofErr w:type="spellStart"/>
      <w:r w:rsidRPr="00E17AA9">
        <w:rPr>
          <w:rFonts w:eastAsia="Times New Roman" w:cs="Times New Roman"/>
          <w:bCs/>
          <w:szCs w:val="28"/>
          <w:lang w:eastAsia="ru-RU"/>
        </w:rPr>
        <w:t>мають</w:t>
      </w:r>
      <w:proofErr w:type="spellEnd"/>
      <w:r w:rsidRPr="00E17AA9">
        <w:rPr>
          <w:rFonts w:eastAsia="Times New Roman" w:cs="Times New Roman"/>
          <w:bCs/>
          <w:szCs w:val="28"/>
          <w:lang w:eastAsia="ru-RU"/>
        </w:rPr>
        <w:t xml:space="preserve"> </w:t>
      </w:r>
      <w:proofErr w:type="spellStart"/>
      <w:r w:rsidRPr="00E17AA9">
        <w:rPr>
          <w:rFonts w:eastAsia="Times New Roman" w:cs="Times New Roman"/>
          <w:bCs/>
          <w:szCs w:val="28"/>
          <w:lang w:eastAsia="ru-RU"/>
        </w:rPr>
        <w:t>рівні</w:t>
      </w:r>
      <w:proofErr w:type="spellEnd"/>
      <w:r w:rsidRPr="00E17AA9">
        <w:rPr>
          <w:rFonts w:eastAsia="Times New Roman" w:cs="Times New Roman"/>
          <w:bCs/>
          <w:szCs w:val="28"/>
          <w:lang w:eastAsia="ru-RU"/>
        </w:rPr>
        <w:t xml:space="preserve"> права на </w:t>
      </w:r>
      <w:proofErr w:type="spellStart"/>
      <w:r w:rsidRPr="00E17AA9">
        <w:rPr>
          <w:rFonts w:eastAsia="Times New Roman" w:cs="Times New Roman"/>
          <w:bCs/>
          <w:szCs w:val="28"/>
          <w:lang w:eastAsia="ru-RU"/>
        </w:rPr>
        <w:t>збирання</w:t>
      </w:r>
      <w:proofErr w:type="spellEnd"/>
      <w:r w:rsidRPr="00E17AA9">
        <w:rPr>
          <w:rFonts w:eastAsia="Times New Roman" w:cs="Times New Roman"/>
          <w:bCs/>
          <w:szCs w:val="28"/>
          <w:lang w:eastAsia="ru-RU"/>
        </w:rPr>
        <w:t xml:space="preserve"> та </w:t>
      </w:r>
      <w:proofErr w:type="spellStart"/>
      <w:r w:rsidRPr="00E17AA9">
        <w:rPr>
          <w:rFonts w:eastAsia="Times New Roman" w:cs="Times New Roman"/>
          <w:bCs/>
          <w:szCs w:val="28"/>
          <w:lang w:eastAsia="ru-RU"/>
        </w:rPr>
        <w:t>подання</w:t>
      </w:r>
      <w:proofErr w:type="spellEnd"/>
      <w:r w:rsidRPr="00E17AA9">
        <w:rPr>
          <w:rFonts w:eastAsia="Times New Roman" w:cs="Times New Roman"/>
          <w:bCs/>
          <w:szCs w:val="28"/>
          <w:lang w:eastAsia="ru-RU"/>
        </w:rPr>
        <w:t xml:space="preserve"> до суду речей, </w:t>
      </w:r>
      <w:proofErr w:type="spellStart"/>
      <w:r w:rsidRPr="00E17AA9">
        <w:rPr>
          <w:rFonts w:eastAsia="Times New Roman" w:cs="Times New Roman"/>
          <w:bCs/>
          <w:szCs w:val="28"/>
          <w:lang w:eastAsia="ru-RU"/>
        </w:rPr>
        <w:t>документів</w:t>
      </w:r>
      <w:proofErr w:type="spellEnd"/>
      <w:r w:rsidRPr="00E17AA9">
        <w:rPr>
          <w:rFonts w:eastAsia="Times New Roman" w:cs="Times New Roman"/>
          <w:bCs/>
          <w:szCs w:val="28"/>
          <w:lang w:eastAsia="ru-RU"/>
        </w:rPr>
        <w:t xml:space="preserve">, </w:t>
      </w:r>
      <w:proofErr w:type="spellStart"/>
      <w:r w:rsidRPr="00E17AA9">
        <w:rPr>
          <w:rFonts w:eastAsia="Times New Roman" w:cs="Times New Roman"/>
          <w:bCs/>
          <w:szCs w:val="28"/>
          <w:lang w:eastAsia="ru-RU"/>
        </w:rPr>
        <w:t>інших</w:t>
      </w:r>
      <w:proofErr w:type="spellEnd"/>
      <w:r w:rsidRPr="00E17AA9">
        <w:rPr>
          <w:rFonts w:eastAsia="Times New Roman" w:cs="Times New Roman"/>
          <w:bCs/>
          <w:szCs w:val="28"/>
          <w:lang w:eastAsia="ru-RU"/>
        </w:rPr>
        <w:t xml:space="preserve"> </w:t>
      </w:r>
      <w:proofErr w:type="spellStart"/>
      <w:r w:rsidRPr="00E17AA9">
        <w:rPr>
          <w:rFonts w:eastAsia="Times New Roman" w:cs="Times New Roman"/>
          <w:bCs/>
          <w:szCs w:val="28"/>
          <w:lang w:eastAsia="ru-RU"/>
        </w:rPr>
        <w:t>доказів</w:t>
      </w:r>
      <w:proofErr w:type="spellEnd"/>
      <w:r w:rsidRPr="00E17AA9">
        <w:rPr>
          <w:rFonts w:eastAsia="Times New Roman" w:cs="Times New Roman"/>
          <w:bCs/>
          <w:szCs w:val="28"/>
          <w:lang w:eastAsia="ru-RU"/>
        </w:rPr>
        <w:t xml:space="preserve">, </w:t>
      </w:r>
      <w:proofErr w:type="spellStart"/>
      <w:r w:rsidRPr="00E17AA9">
        <w:rPr>
          <w:rFonts w:eastAsia="Times New Roman" w:cs="Times New Roman"/>
          <w:bCs/>
          <w:szCs w:val="28"/>
          <w:lang w:eastAsia="ru-RU"/>
        </w:rPr>
        <w:t>клопотань</w:t>
      </w:r>
      <w:proofErr w:type="spellEnd"/>
      <w:r w:rsidRPr="00E17AA9">
        <w:rPr>
          <w:rFonts w:eastAsia="Times New Roman" w:cs="Times New Roman"/>
          <w:bCs/>
          <w:szCs w:val="28"/>
          <w:lang w:eastAsia="ru-RU"/>
        </w:rPr>
        <w:t xml:space="preserve">, </w:t>
      </w:r>
      <w:proofErr w:type="spellStart"/>
      <w:r w:rsidRPr="00E17AA9">
        <w:rPr>
          <w:rFonts w:eastAsia="Times New Roman" w:cs="Times New Roman"/>
          <w:bCs/>
          <w:szCs w:val="28"/>
          <w:lang w:eastAsia="ru-RU"/>
        </w:rPr>
        <w:t>скарг</w:t>
      </w:r>
      <w:proofErr w:type="spellEnd"/>
      <w:r w:rsidRPr="00E17AA9">
        <w:rPr>
          <w:rFonts w:eastAsia="Times New Roman" w:cs="Times New Roman"/>
          <w:bCs/>
          <w:szCs w:val="28"/>
          <w:lang w:eastAsia="ru-RU"/>
        </w:rPr>
        <w:t xml:space="preserve">, а </w:t>
      </w:r>
      <w:proofErr w:type="spellStart"/>
      <w:r w:rsidRPr="00E17AA9">
        <w:rPr>
          <w:rFonts w:eastAsia="Times New Roman" w:cs="Times New Roman"/>
          <w:bCs/>
          <w:szCs w:val="28"/>
          <w:lang w:eastAsia="ru-RU"/>
        </w:rPr>
        <w:t>також</w:t>
      </w:r>
      <w:proofErr w:type="spellEnd"/>
      <w:r w:rsidRPr="00E17AA9">
        <w:rPr>
          <w:rFonts w:eastAsia="Times New Roman" w:cs="Times New Roman"/>
          <w:bCs/>
          <w:szCs w:val="28"/>
          <w:lang w:eastAsia="ru-RU"/>
        </w:rPr>
        <w:t xml:space="preserve"> на </w:t>
      </w:r>
      <w:proofErr w:type="spellStart"/>
      <w:r w:rsidRPr="00E17AA9">
        <w:rPr>
          <w:rFonts w:eastAsia="Times New Roman" w:cs="Times New Roman"/>
          <w:bCs/>
          <w:szCs w:val="28"/>
          <w:lang w:eastAsia="ru-RU"/>
        </w:rPr>
        <w:t>реалізацію</w:t>
      </w:r>
      <w:proofErr w:type="spellEnd"/>
      <w:r w:rsidRPr="00E17AA9">
        <w:rPr>
          <w:rFonts w:eastAsia="Times New Roman" w:cs="Times New Roman"/>
          <w:bCs/>
          <w:szCs w:val="28"/>
          <w:lang w:eastAsia="ru-RU"/>
        </w:rPr>
        <w:t xml:space="preserve"> </w:t>
      </w:r>
      <w:proofErr w:type="spellStart"/>
      <w:r w:rsidRPr="00E17AA9">
        <w:rPr>
          <w:rFonts w:eastAsia="Times New Roman" w:cs="Times New Roman"/>
          <w:bCs/>
          <w:szCs w:val="28"/>
          <w:lang w:eastAsia="ru-RU"/>
        </w:rPr>
        <w:t>інших</w:t>
      </w:r>
      <w:proofErr w:type="spellEnd"/>
      <w:r w:rsidRPr="00E17AA9">
        <w:rPr>
          <w:rFonts w:eastAsia="Times New Roman" w:cs="Times New Roman"/>
          <w:bCs/>
          <w:szCs w:val="28"/>
          <w:lang w:eastAsia="ru-RU"/>
        </w:rPr>
        <w:t xml:space="preserve"> </w:t>
      </w:r>
      <w:proofErr w:type="spellStart"/>
      <w:r w:rsidRPr="00E17AA9">
        <w:rPr>
          <w:rFonts w:eastAsia="Times New Roman" w:cs="Times New Roman"/>
          <w:bCs/>
          <w:szCs w:val="28"/>
          <w:lang w:eastAsia="ru-RU"/>
        </w:rPr>
        <w:t>процесуальних</w:t>
      </w:r>
      <w:proofErr w:type="spellEnd"/>
      <w:r w:rsidRPr="00E17AA9">
        <w:rPr>
          <w:rFonts w:eastAsia="Times New Roman" w:cs="Times New Roman"/>
          <w:bCs/>
          <w:szCs w:val="28"/>
          <w:lang w:eastAsia="ru-RU"/>
        </w:rPr>
        <w:t xml:space="preserve"> прав, </w:t>
      </w:r>
      <w:proofErr w:type="spellStart"/>
      <w:r w:rsidRPr="00E17AA9">
        <w:rPr>
          <w:rFonts w:eastAsia="Times New Roman" w:cs="Times New Roman"/>
          <w:bCs/>
          <w:szCs w:val="28"/>
          <w:lang w:eastAsia="ru-RU"/>
        </w:rPr>
        <w:t>передбачених</w:t>
      </w:r>
      <w:proofErr w:type="spellEnd"/>
      <w:r w:rsidRPr="00E17AA9">
        <w:rPr>
          <w:rFonts w:eastAsia="Times New Roman" w:cs="Times New Roman"/>
          <w:bCs/>
          <w:szCs w:val="28"/>
          <w:lang w:eastAsia="ru-RU"/>
        </w:rPr>
        <w:t xml:space="preserve"> </w:t>
      </w:r>
      <w:r>
        <w:rPr>
          <w:rFonts w:eastAsia="Times New Roman" w:cs="Times New Roman"/>
          <w:bCs/>
          <w:szCs w:val="28"/>
          <w:lang w:val="uk-UA" w:eastAsia="ru-RU"/>
        </w:rPr>
        <w:t>КПК України</w:t>
      </w:r>
      <w:r w:rsidRPr="00E17AA9">
        <w:rPr>
          <w:rFonts w:eastAsia="Times New Roman" w:cs="Times New Roman"/>
          <w:bCs/>
          <w:szCs w:val="28"/>
          <w:lang w:eastAsia="ru-RU"/>
        </w:rPr>
        <w:t>.</w:t>
      </w:r>
      <w:r w:rsidR="007D2875">
        <w:rPr>
          <w:rFonts w:eastAsia="Times New Roman" w:cs="Times New Roman"/>
          <w:bCs/>
          <w:szCs w:val="28"/>
          <w:lang w:val="uk-UA" w:eastAsia="ru-RU"/>
        </w:rPr>
        <w:t xml:space="preserve">  </w:t>
      </w:r>
    </w:p>
    <w:p w:rsidR="008252EB" w:rsidRDefault="008252EB" w:rsidP="00766528">
      <w:pPr>
        <w:spacing w:after="0" w:line="240" w:lineRule="auto"/>
        <w:ind w:firstLine="567"/>
        <w:jc w:val="both"/>
        <w:rPr>
          <w:rFonts w:eastAsia="Times New Roman" w:cs="Times New Roman"/>
          <w:bCs/>
          <w:szCs w:val="28"/>
          <w:lang w:val="uk-UA" w:eastAsia="ru-RU"/>
        </w:rPr>
      </w:pPr>
    </w:p>
    <w:p w:rsidR="00314E46" w:rsidRDefault="000D0019" w:rsidP="00314E46">
      <w:pPr>
        <w:spacing w:after="0" w:line="240" w:lineRule="auto"/>
        <w:ind w:firstLine="567"/>
        <w:jc w:val="both"/>
        <w:rPr>
          <w:rFonts w:eastAsia="Times New Roman" w:cs="Times New Roman"/>
          <w:bCs/>
          <w:szCs w:val="28"/>
          <w:lang w:val="uk-UA" w:eastAsia="ru-RU"/>
        </w:rPr>
      </w:pPr>
      <w:r>
        <w:rPr>
          <w:rFonts w:eastAsia="Times New Roman" w:cs="Times New Roman"/>
          <w:bCs/>
          <w:szCs w:val="28"/>
          <w:lang w:val="uk-UA" w:eastAsia="ru-RU"/>
        </w:rPr>
        <w:t xml:space="preserve">Крім того, </w:t>
      </w:r>
      <w:r w:rsidR="00577110">
        <w:rPr>
          <w:rFonts w:eastAsia="Times New Roman" w:cs="Times New Roman"/>
          <w:bCs/>
          <w:szCs w:val="28"/>
          <w:lang w:val="uk-UA" w:eastAsia="ru-RU"/>
        </w:rPr>
        <w:t>в частині</w:t>
      </w:r>
      <w:r>
        <w:rPr>
          <w:rFonts w:eastAsia="Times New Roman" w:cs="Times New Roman"/>
          <w:bCs/>
          <w:szCs w:val="28"/>
          <w:lang w:val="uk-UA" w:eastAsia="ru-RU"/>
        </w:rPr>
        <w:t xml:space="preserve"> призначення товарознавчої експертизи</w:t>
      </w:r>
      <w:r w:rsidR="00314E46">
        <w:rPr>
          <w:rFonts w:eastAsia="Times New Roman" w:cs="Times New Roman"/>
          <w:bCs/>
          <w:szCs w:val="28"/>
          <w:lang w:val="uk-UA" w:eastAsia="ru-RU"/>
        </w:rPr>
        <w:t xml:space="preserve"> необхідно зазначити, що із положень проекту Закону </w:t>
      </w:r>
      <w:r w:rsidR="00577110">
        <w:rPr>
          <w:rFonts w:eastAsia="Times New Roman" w:cs="Times New Roman"/>
          <w:bCs/>
          <w:szCs w:val="28"/>
          <w:lang w:val="uk-UA" w:eastAsia="ru-RU"/>
        </w:rPr>
        <w:t xml:space="preserve">чітко </w:t>
      </w:r>
      <w:r w:rsidR="00314E46">
        <w:rPr>
          <w:rFonts w:eastAsia="Times New Roman" w:cs="Times New Roman"/>
          <w:bCs/>
          <w:szCs w:val="28"/>
          <w:lang w:val="uk-UA" w:eastAsia="ru-RU"/>
        </w:rPr>
        <w:t>не вбачається</w:t>
      </w:r>
      <w:r w:rsidR="00577110">
        <w:rPr>
          <w:rFonts w:eastAsia="Times New Roman" w:cs="Times New Roman"/>
          <w:bCs/>
          <w:szCs w:val="28"/>
          <w:lang w:val="uk-UA" w:eastAsia="ru-RU"/>
        </w:rPr>
        <w:t xml:space="preserve"> чи можливе взагалі проведення товарознавчої експертизи</w:t>
      </w:r>
      <w:r w:rsidR="00B20933">
        <w:rPr>
          <w:rFonts w:eastAsia="Times New Roman" w:cs="Times New Roman"/>
          <w:bCs/>
          <w:szCs w:val="28"/>
          <w:lang w:val="uk-UA" w:eastAsia="ru-RU"/>
        </w:rPr>
        <w:t>,</w:t>
      </w:r>
      <w:r w:rsidR="00577110">
        <w:rPr>
          <w:rFonts w:eastAsia="Times New Roman" w:cs="Times New Roman"/>
          <w:bCs/>
          <w:szCs w:val="28"/>
          <w:lang w:val="uk-UA" w:eastAsia="ru-RU"/>
        </w:rPr>
        <w:t xml:space="preserve"> </w:t>
      </w:r>
      <w:r w:rsidR="00577110" w:rsidRPr="00577110">
        <w:rPr>
          <w:rFonts w:eastAsia="Times New Roman" w:cs="Times New Roman"/>
          <w:bCs/>
          <w:szCs w:val="28"/>
          <w:lang w:val="uk-UA" w:eastAsia="ru-RU"/>
        </w:rPr>
        <w:t xml:space="preserve">якщо вартість </w:t>
      </w:r>
      <w:r w:rsidR="00577110">
        <w:rPr>
          <w:rFonts w:eastAsia="Times New Roman" w:cs="Times New Roman"/>
          <w:bCs/>
          <w:szCs w:val="28"/>
          <w:lang w:val="uk-UA" w:eastAsia="ru-RU"/>
        </w:rPr>
        <w:t xml:space="preserve">її </w:t>
      </w:r>
      <w:r w:rsidR="00577110" w:rsidRPr="00577110">
        <w:rPr>
          <w:rFonts w:eastAsia="Times New Roman" w:cs="Times New Roman"/>
          <w:bCs/>
          <w:szCs w:val="28"/>
          <w:lang w:val="uk-UA" w:eastAsia="ru-RU"/>
        </w:rPr>
        <w:t xml:space="preserve">об’єкта </w:t>
      </w:r>
      <w:r w:rsidR="00577110">
        <w:rPr>
          <w:rFonts w:eastAsia="Times New Roman" w:cs="Times New Roman"/>
          <w:bCs/>
          <w:szCs w:val="28"/>
          <w:lang w:val="uk-UA" w:eastAsia="ru-RU"/>
        </w:rPr>
        <w:t>менш</w:t>
      </w:r>
      <w:r w:rsidR="006345FD">
        <w:rPr>
          <w:rFonts w:eastAsia="Times New Roman" w:cs="Times New Roman"/>
          <w:bCs/>
          <w:szCs w:val="28"/>
          <w:lang w:val="uk-UA" w:eastAsia="ru-RU"/>
        </w:rPr>
        <w:t>а</w:t>
      </w:r>
      <w:r w:rsidR="00577110">
        <w:rPr>
          <w:rFonts w:eastAsia="Times New Roman" w:cs="Times New Roman"/>
          <w:bCs/>
          <w:szCs w:val="28"/>
          <w:lang w:val="uk-UA" w:eastAsia="ru-RU"/>
        </w:rPr>
        <w:t xml:space="preserve"> за вказану.</w:t>
      </w:r>
    </w:p>
    <w:p w:rsidR="00314E46" w:rsidRPr="00314E46" w:rsidRDefault="00577110" w:rsidP="00314E46">
      <w:pPr>
        <w:spacing w:after="0" w:line="240" w:lineRule="auto"/>
        <w:ind w:firstLine="567"/>
        <w:jc w:val="both"/>
        <w:rPr>
          <w:rFonts w:eastAsia="Times New Roman" w:cs="Times New Roman"/>
          <w:bCs/>
          <w:szCs w:val="28"/>
          <w:lang w:val="uk-UA" w:eastAsia="ru-RU"/>
        </w:rPr>
      </w:pPr>
      <w:r>
        <w:rPr>
          <w:rFonts w:eastAsia="Times New Roman" w:cs="Times New Roman"/>
          <w:bCs/>
          <w:szCs w:val="28"/>
          <w:lang w:val="uk-UA" w:eastAsia="ru-RU"/>
        </w:rPr>
        <w:t xml:space="preserve">Також </w:t>
      </w:r>
      <w:r w:rsidR="00314E46">
        <w:rPr>
          <w:rFonts w:eastAsia="Times New Roman" w:cs="Times New Roman"/>
          <w:bCs/>
          <w:szCs w:val="28"/>
          <w:lang w:val="uk-UA" w:eastAsia="ru-RU"/>
        </w:rPr>
        <w:t xml:space="preserve">відповідно до положень </w:t>
      </w:r>
      <w:r w:rsidR="00314E46" w:rsidRPr="00314E46">
        <w:rPr>
          <w:rFonts w:eastAsia="Times New Roman" w:cs="Times New Roman"/>
          <w:bCs/>
          <w:szCs w:val="28"/>
          <w:lang w:val="uk-UA" w:eastAsia="ru-RU"/>
        </w:rPr>
        <w:t>І</w:t>
      </w:r>
      <w:r w:rsidR="00314E46">
        <w:rPr>
          <w:rFonts w:eastAsia="Times New Roman" w:cs="Times New Roman"/>
          <w:bCs/>
          <w:szCs w:val="28"/>
          <w:lang w:val="uk-UA" w:eastAsia="ru-RU"/>
        </w:rPr>
        <w:t xml:space="preserve">нструкції </w:t>
      </w:r>
      <w:r w:rsidR="00314E46" w:rsidRPr="00314E46">
        <w:rPr>
          <w:rFonts w:eastAsia="Times New Roman" w:cs="Times New Roman"/>
          <w:bCs/>
          <w:szCs w:val="28"/>
          <w:lang w:val="uk-UA" w:eastAsia="ru-RU"/>
        </w:rPr>
        <w:t>про призначення та проведення судових експертиз та експертних досліджень</w:t>
      </w:r>
      <w:r w:rsidR="00314E46">
        <w:rPr>
          <w:rFonts w:eastAsia="Times New Roman" w:cs="Times New Roman"/>
          <w:bCs/>
          <w:szCs w:val="28"/>
          <w:lang w:val="uk-UA" w:eastAsia="ru-RU"/>
        </w:rPr>
        <w:t>, затвердженої н</w:t>
      </w:r>
      <w:r w:rsidR="00314E46" w:rsidRPr="00314E46">
        <w:rPr>
          <w:rFonts w:eastAsia="Times New Roman" w:cs="Times New Roman"/>
          <w:bCs/>
          <w:szCs w:val="28"/>
          <w:lang w:val="uk-UA" w:eastAsia="ru-RU"/>
        </w:rPr>
        <w:t xml:space="preserve">аказ Міністерства юстиції України </w:t>
      </w:r>
      <w:r w:rsidR="00314E46">
        <w:rPr>
          <w:rFonts w:eastAsia="Times New Roman" w:cs="Times New Roman"/>
          <w:bCs/>
          <w:szCs w:val="28"/>
          <w:lang w:val="uk-UA" w:eastAsia="ru-RU"/>
        </w:rPr>
        <w:t xml:space="preserve">від 08.10.1998 </w:t>
      </w:r>
      <w:r w:rsidR="00314E46" w:rsidRPr="00314E46">
        <w:rPr>
          <w:rFonts w:eastAsia="Times New Roman" w:cs="Times New Roman"/>
          <w:bCs/>
          <w:szCs w:val="28"/>
          <w:lang w:val="uk-UA" w:eastAsia="ru-RU"/>
        </w:rPr>
        <w:t>№ 53/5 (у редакції наказу Міністерства юстиції України від 26.12.2012 № 1950/5)</w:t>
      </w:r>
      <w:r w:rsidR="00314E46">
        <w:rPr>
          <w:rFonts w:eastAsia="Times New Roman" w:cs="Times New Roman"/>
          <w:bCs/>
          <w:szCs w:val="28"/>
          <w:lang w:val="uk-UA" w:eastAsia="ru-RU"/>
        </w:rPr>
        <w:t xml:space="preserve"> одним з основних завдань товарознавчої експертизи є </w:t>
      </w:r>
      <w:bookmarkStart w:id="0" w:name="n1458"/>
      <w:bookmarkEnd w:id="0"/>
      <w:r w:rsidR="00314E46" w:rsidRPr="00314E46">
        <w:rPr>
          <w:rFonts w:eastAsia="Times New Roman" w:cs="Times New Roman"/>
          <w:bCs/>
          <w:szCs w:val="28"/>
          <w:lang w:val="uk-UA" w:eastAsia="ru-RU"/>
        </w:rPr>
        <w:t>визначення вартості товарної продукції</w:t>
      </w:r>
      <w:r>
        <w:rPr>
          <w:rFonts w:eastAsia="Times New Roman" w:cs="Times New Roman"/>
          <w:bCs/>
          <w:szCs w:val="28"/>
          <w:lang w:val="uk-UA" w:eastAsia="ru-RU"/>
        </w:rPr>
        <w:t>. Отже, не зовсім зрозуміло для чого проводити товарознавчу експертизу, якщо для її призначення слідчий повинен самостійно визначити вартість її об’єкта.</w:t>
      </w:r>
    </w:p>
    <w:p w:rsidR="002B210F" w:rsidRDefault="00B20933" w:rsidP="00766528">
      <w:pPr>
        <w:spacing w:after="0" w:line="240" w:lineRule="auto"/>
        <w:ind w:firstLine="567"/>
        <w:jc w:val="both"/>
        <w:rPr>
          <w:rFonts w:eastAsia="Times New Roman" w:cs="Times New Roman"/>
          <w:bCs/>
          <w:szCs w:val="28"/>
          <w:lang w:val="uk-UA" w:eastAsia="ru-RU"/>
        </w:rPr>
      </w:pPr>
      <w:r>
        <w:rPr>
          <w:rFonts w:eastAsia="Times New Roman" w:cs="Times New Roman"/>
          <w:bCs/>
          <w:szCs w:val="28"/>
          <w:lang w:val="uk-UA" w:eastAsia="ru-RU"/>
        </w:rPr>
        <w:t>Тим більше, що і</w:t>
      </w:r>
      <w:r w:rsidR="00577110">
        <w:rPr>
          <w:rFonts w:eastAsia="Times New Roman" w:cs="Times New Roman"/>
          <w:bCs/>
          <w:szCs w:val="28"/>
          <w:lang w:val="uk-UA" w:eastAsia="ru-RU"/>
        </w:rPr>
        <w:t>з</w:t>
      </w:r>
      <w:r w:rsidR="00314E46">
        <w:rPr>
          <w:rFonts w:eastAsia="Times New Roman" w:cs="Times New Roman"/>
          <w:bCs/>
          <w:szCs w:val="28"/>
          <w:lang w:val="uk-UA" w:eastAsia="ru-RU"/>
        </w:rPr>
        <w:t xml:space="preserve"> положень проекту Закону не вбачається</w:t>
      </w:r>
      <w:r w:rsidR="006345FD">
        <w:rPr>
          <w:rFonts w:eastAsia="Times New Roman" w:cs="Times New Roman"/>
          <w:bCs/>
          <w:szCs w:val="28"/>
          <w:lang w:val="uk-UA" w:eastAsia="ru-RU"/>
        </w:rPr>
        <w:t>,</w:t>
      </w:r>
      <w:r w:rsidR="00314E46">
        <w:rPr>
          <w:rFonts w:eastAsia="Times New Roman" w:cs="Times New Roman"/>
          <w:bCs/>
          <w:szCs w:val="28"/>
          <w:lang w:val="uk-UA" w:eastAsia="ru-RU"/>
        </w:rPr>
        <w:t xml:space="preserve"> станом на який момент повинна визначатися вартість об’єкта товарознавчої експертизи: на момент вчинення кримінального правопорушення чи звернення до слідчого судді з відповідним клопотанням. Також звертаємо увагу, що </w:t>
      </w:r>
      <w:r w:rsidR="00577110">
        <w:rPr>
          <w:rFonts w:eastAsia="Times New Roman" w:cs="Times New Roman"/>
          <w:bCs/>
          <w:szCs w:val="28"/>
          <w:lang w:val="uk-UA" w:eastAsia="ru-RU"/>
        </w:rPr>
        <w:t xml:space="preserve">розмір прожиткового мінімуму для працездатних осіб </w:t>
      </w:r>
      <w:r w:rsidR="006345FD">
        <w:rPr>
          <w:rFonts w:eastAsia="Times New Roman" w:cs="Times New Roman"/>
          <w:bCs/>
          <w:szCs w:val="28"/>
          <w:lang w:val="uk-UA" w:eastAsia="ru-RU"/>
        </w:rPr>
        <w:t>періодично</w:t>
      </w:r>
      <w:r w:rsidR="00577110">
        <w:rPr>
          <w:rFonts w:eastAsia="Times New Roman" w:cs="Times New Roman"/>
          <w:bCs/>
          <w:szCs w:val="28"/>
          <w:lang w:val="uk-UA" w:eastAsia="ru-RU"/>
        </w:rPr>
        <w:t xml:space="preserve"> змінюється, отже </w:t>
      </w:r>
      <w:r w:rsidR="002B210F">
        <w:rPr>
          <w:rFonts w:eastAsia="Times New Roman" w:cs="Times New Roman"/>
          <w:bCs/>
          <w:szCs w:val="28"/>
          <w:lang w:val="uk-UA" w:eastAsia="ru-RU"/>
        </w:rPr>
        <w:t>змінюватимуться і підстави звернення до слідчого судді з клопотанням про проведення товарознавчої експертизи.</w:t>
      </w:r>
    </w:p>
    <w:p w:rsidR="002B210F" w:rsidRDefault="002B210F" w:rsidP="00766528">
      <w:pPr>
        <w:spacing w:after="0" w:line="240" w:lineRule="auto"/>
        <w:ind w:firstLine="567"/>
        <w:jc w:val="both"/>
        <w:rPr>
          <w:rFonts w:eastAsia="Times New Roman" w:cs="Times New Roman"/>
          <w:bCs/>
          <w:szCs w:val="28"/>
          <w:lang w:val="uk-UA" w:eastAsia="ru-RU"/>
        </w:rPr>
      </w:pPr>
      <w:r>
        <w:rPr>
          <w:rFonts w:eastAsia="Times New Roman" w:cs="Times New Roman"/>
          <w:bCs/>
          <w:szCs w:val="28"/>
          <w:lang w:val="uk-UA" w:eastAsia="ru-RU"/>
        </w:rPr>
        <w:t xml:space="preserve">Таким чином, в частині призначення товарознавчої експертизи проект Закону не відповідає </w:t>
      </w:r>
      <w:r w:rsidRPr="002B210F">
        <w:rPr>
          <w:rFonts w:eastAsia="Times New Roman" w:cs="Times New Roman"/>
          <w:bCs/>
          <w:szCs w:val="28"/>
          <w:lang w:val="uk-UA" w:eastAsia="ru-RU"/>
        </w:rPr>
        <w:t>вимогам щодо якості законів у контексті верховенства права (стаття 8 Конституції України), зокрема його елементу «юридична визначеність», яка вимагає, щоб норми були чіткими і точними та спрямованими на забезпечення того, щоб ситуації та правовідносини залишалися передбачуваними. На необхідність дотримання принципу верховенства права, як уже зазначалося, неодноразово звертав увагу і Конституційний Суд України (рішення від 22.09.2005 №5-рп, від 29.06.2010 №17-рп, від 11.10.2011 №10-рп).</w:t>
      </w:r>
    </w:p>
    <w:p w:rsidR="002B210F" w:rsidRDefault="002B210F" w:rsidP="00766528">
      <w:pPr>
        <w:spacing w:after="0" w:line="240" w:lineRule="auto"/>
        <w:ind w:firstLine="567"/>
        <w:jc w:val="both"/>
        <w:rPr>
          <w:rFonts w:eastAsia="Times New Roman" w:cs="Times New Roman"/>
          <w:bCs/>
          <w:szCs w:val="28"/>
          <w:lang w:val="uk-UA" w:eastAsia="ru-RU"/>
        </w:rPr>
      </w:pPr>
    </w:p>
    <w:p w:rsidR="002B210F" w:rsidRDefault="001A3D2B" w:rsidP="00280B76">
      <w:pPr>
        <w:spacing w:after="0"/>
        <w:ind w:firstLine="567"/>
        <w:jc w:val="both"/>
        <w:rPr>
          <w:rFonts w:eastAsia="Times New Roman" w:cs="Times New Roman"/>
          <w:bCs/>
          <w:szCs w:val="28"/>
          <w:lang w:val="uk-UA" w:eastAsia="ru-RU"/>
        </w:rPr>
      </w:pPr>
      <w:r>
        <w:rPr>
          <w:rFonts w:eastAsia="Times New Roman" w:cs="Times New Roman"/>
          <w:bCs/>
          <w:szCs w:val="28"/>
          <w:lang w:val="uk-UA" w:eastAsia="ru-RU"/>
        </w:rPr>
        <w:t>5. </w:t>
      </w:r>
      <w:r w:rsidR="00DD4BC9">
        <w:rPr>
          <w:rFonts w:eastAsia="Times New Roman" w:cs="Times New Roman"/>
          <w:bCs/>
          <w:szCs w:val="28"/>
          <w:lang w:val="uk-UA" w:eastAsia="ru-RU"/>
        </w:rPr>
        <w:t>Положеннями проекту Закону передбачене внесення змін до частини другої статті 15 «</w:t>
      </w:r>
      <w:r w:rsidR="00DD4BC9" w:rsidRPr="00DD4BC9">
        <w:rPr>
          <w:rFonts w:eastAsia="Times New Roman" w:cs="Times New Roman"/>
          <w:bCs/>
          <w:szCs w:val="28"/>
          <w:lang w:val="uk-UA" w:eastAsia="ru-RU"/>
        </w:rPr>
        <w:t>Фінансування судово-експертної діяльності</w:t>
      </w:r>
      <w:r w:rsidR="00DD4BC9">
        <w:rPr>
          <w:rFonts w:eastAsia="Times New Roman" w:cs="Times New Roman"/>
          <w:bCs/>
          <w:szCs w:val="28"/>
          <w:lang w:val="uk-UA" w:eastAsia="ru-RU"/>
        </w:rPr>
        <w:t xml:space="preserve">» Закону України «Про судову експертизу» </w:t>
      </w:r>
      <w:r w:rsidR="00775140">
        <w:rPr>
          <w:rFonts w:eastAsia="Times New Roman" w:cs="Times New Roman"/>
          <w:bCs/>
          <w:szCs w:val="28"/>
          <w:lang w:val="uk-UA" w:eastAsia="ru-RU"/>
        </w:rPr>
        <w:t>щодо виділення коштів для проведення судових експертиз з Державного бюджету України за цільовим призначенням. Водночас до другого речення частини другої статті 122 «Витрати, пов’язані із залученням потерпілих, свідків, спеціалістів</w:t>
      </w:r>
      <w:r w:rsidR="0006519D">
        <w:rPr>
          <w:rFonts w:eastAsia="Times New Roman" w:cs="Times New Roman"/>
          <w:bCs/>
          <w:szCs w:val="28"/>
          <w:lang w:val="uk-UA" w:eastAsia="ru-RU"/>
        </w:rPr>
        <w:t>, перекладачів та експертів</w:t>
      </w:r>
      <w:r w:rsidR="00775140">
        <w:rPr>
          <w:rFonts w:eastAsia="Times New Roman" w:cs="Times New Roman"/>
          <w:bCs/>
          <w:szCs w:val="28"/>
          <w:lang w:val="uk-UA" w:eastAsia="ru-RU"/>
        </w:rPr>
        <w:t>»</w:t>
      </w:r>
      <w:r w:rsidR="0006519D">
        <w:rPr>
          <w:rFonts w:eastAsia="Times New Roman" w:cs="Times New Roman"/>
          <w:bCs/>
          <w:szCs w:val="28"/>
          <w:lang w:val="uk-UA" w:eastAsia="ru-RU"/>
        </w:rPr>
        <w:t xml:space="preserve"> КПК України з аналогічним змістом проектом Закон</w:t>
      </w:r>
      <w:r w:rsidR="00280B76">
        <w:rPr>
          <w:rFonts w:eastAsia="Times New Roman" w:cs="Times New Roman"/>
          <w:bCs/>
          <w:szCs w:val="28"/>
          <w:lang w:val="uk-UA" w:eastAsia="ru-RU"/>
        </w:rPr>
        <w:t>у</w:t>
      </w:r>
      <w:r w:rsidR="0006519D">
        <w:rPr>
          <w:rFonts w:eastAsia="Times New Roman" w:cs="Times New Roman"/>
          <w:bCs/>
          <w:szCs w:val="28"/>
          <w:lang w:val="uk-UA" w:eastAsia="ru-RU"/>
        </w:rPr>
        <w:t xml:space="preserve"> внесення змін не передбачено, що свідчить про відсутність системного </w:t>
      </w:r>
      <w:r w:rsidR="00280B76">
        <w:rPr>
          <w:rFonts w:eastAsia="Times New Roman" w:cs="Times New Roman"/>
          <w:bCs/>
          <w:szCs w:val="28"/>
          <w:lang w:val="uk-UA" w:eastAsia="ru-RU"/>
        </w:rPr>
        <w:t>унормування зазначених питань</w:t>
      </w:r>
      <w:r w:rsidR="0006519D">
        <w:rPr>
          <w:rFonts w:eastAsia="Times New Roman" w:cs="Times New Roman"/>
          <w:bCs/>
          <w:szCs w:val="28"/>
          <w:lang w:val="uk-UA" w:eastAsia="ru-RU"/>
        </w:rPr>
        <w:t xml:space="preserve">. </w:t>
      </w:r>
    </w:p>
    <w:p w:rsidR="00280B76" w:rsidRDefault="00280B76" w:rsidP="00280B76">
      <w:pPr>
        <w:spacing w:after="0"/>
        <w:ind w:firstLine="567"/>
        <w:jc w:val="both"/>
        <w:rPr>
          <w:rFonts w:eastAsia="Times New Roman" w:cs="Times New Roman"/>
          <w:bCs/>
          <w:szCs w:val="28"/>
          <w:lang w:val="uk-UA" w:eastAsia="ru-RU"/>
        </w:rPr>
      </w:pPr>
    </w:p>
    <w:p w:rsidR="00280B76" w:rsidRDefault="00280B76" w:rsidP="00752F90">
      <w:pPr>
        <w:spacing w:after="0"/>
        <w:ind w:firstLine="567"/>
        <w:jc w:val="both"/>
        <w:rPr>
          <w:rFonts w:eastAsia="Times New Roman" w:cs="Times New Roman"/>
          <w:bCs/>
          <w:szCs w:val="28"/>
          <w:lang w:val="uk-UA" w:eastAsia="ru-RU"/>
        </w:rPr>
      </w:pPr>
      <w:r>
        <w:rPr>
          <w:rFonts w:eastAsia="Times New Roman" w:cs="Times New Roman"/>
          <w:bCs/>
          <w:szCs w:val="28"/>
          <w:lang w:val="uk-UA" w:eastAsia="ru-RU"/>
        </w:rPr>
        <w:lastRenderedPageBreak/>
        <w:t>6. Законопроект</w:t>
      </w:r>
      <w:r>
        <w:rPr>
          <w:rFonts w:eastAsia="Times New Roman" w:cs="Times New Roman"/>
          <w:bCs/>
          <w:szCs w:val="28"/>
          <w:lang w:val="uk-UA" w:eastAsia="ru-RU"/>
        </w:rPr>
        <w:t>о</w:t>
      </w:r>
      <w:r>
        <w:rPr>
          <w:rFonts w:eastAsia="Times New Roman" w:cs="Times New Roman"/>
          <w:bCs/>
          <w:szCs w:val="28"/>
          <w:lang w:val="uk-UA" w:eastAsia="ru-RU"/>
        </w:rPr>
        <w:t>м змінами до частини другої статті 17 «</w:t>
      </w:r>
      <w:r w:rsidRPr="00280B76">
        <w:rPr>
          <w:rFonts w:eastAsia="Times New Roman" w:cs="Times New Roman"/>
          <w:bCs/>
          <w:szCs w:val="28"/>
          <w:lang w:val="uk-UA" w:eastAsia="ru-RU"/>
        </w:rPr>
        <w:t>Е</w:t>
      </w:r>
      <w:r>
        <w:rPr>
          <w:rFonts w:eastAsia="Times New Roman" w:cs="Times New Roman"/>
          <w:bCs/>
          <w:szCs w:val="28"/>
          <w:lang w:val="uk-UA" w:eastAsia="ru-RU"/>
        </w:rPr>
        <w:t xml:space="preserve">кспертно-кваліфікаційні комісії» </w:t>
      </w:r>
      <w:r w:rsidRPr="00280B76">
        <w:rPr>
          <w:rFonts w:eastAsia="Times New Roman" w:cs="Times New Roman"/>
          <w:bCs/>
          <w:szCs w:val="28"/>
          <w:lang w:val="uk-UA" w:eastAsia="ru-RU"/>
        </w:rPr>
        <w:t>Закону України «Про судову експертизу»</w:t>
      </w:r>
      <w:r>
        <w:rPr>
          <w:rFonts w:eastAsia="Times New Roman" w:cs="Times New Roman"/>
          <w:bCs/>
          <w:szCs w:val="28"/>
          <w:lang w:val="uk-UA" w:eastAsia="ru-RU"/>
        </w:rPr>
        <w:t xml:space="preserve"> пропонується вирішити питання присвоєння кваліфікації судового експерта </w:t>
      </w:r>
      <w:r w:rsidR="00752F90">
        <w:rPr>
          <w:rFonts w:eastAsia="Times New Roman" w:cs="Times New Roman"/>
          <w:bCs/>
          <w:szCs w:val="28"/>
          <w:lang w:val="uk-UA" w:eastAsia="ru-RU"/>
        </w:rPr>
        <w:t xml:space="preserve">та кваліфікаційних класів у разі виникнення нових видів судової експертизи. </w:t>
      </w:r>
    </w:p>
    <w:p w:rsidR="00752F90" w:rsidRDefault="004A751F" w:rsidP="00752F90">
      <w:pPr>
        <w:spacing w:after="0"/>
        <w:ind w:firstLine="567"/>
        <w:jc w:val="both"/>
        <w:rPr>
          <w:rFonts w:eastAsia="Times New Roman" w:cs="Times New Roman"/>
          <w:bCs/>
          <w:szCs w:val="28"/>
          <w:lang w:val="uk-UA" w:eastAsia="ru-RU"/>
        </w:rPr>
      </w:pPr>
      <w:r>
        <w:rPr>
          <w:rFonts w:eastAsia="Times New Roman" w:cs="Times New Roman"/>
          <w:bCs/>
          <w:szCs w:val="28"/>
          <w:lang w:val="uk-UA" w:eastAsia="ru-RU"/>
        </w:rPr>
        <w:t xml:space="preserve">При цьому, оскільки мова йде саме про нові види судової експертизи, вимога, що у складі </w:t>
      </w:r>
      <w:r w:rsidR="000B20F6">
        <w:rPr>
          <w:rFonts w:eastAsia="Times New Roman" w:cs="Times New Roman"/>
          <w:bCs/>
          <w:szCs w:val="28"/>
          <w:lang w:val="uk-UA" w:eastAsia="ru-RU"/>
        </w:rPr>
        <w:t xml:space="preserve">відповідних експертно-кваліфікаційних комісій має бути «не менше двох фахівців, діяльність яких стосується </w:t>
      </w:r>
      <w:r w:rsidR="000B20F6" w:rsidRPr="000B20F6">
        <w:rPr>
          <w:rFonts w:eastAsia="Times New Roman" w:cs="Times New Roman"/>
          <w:bCs/>
          <w:szCs w:val="28"/>
          <w:u w:val="single"/>
          <w:lang w:val="uk-UA" w:eastAsia="ru-RU"/>
        </w:rPr>
        <w:t>тієї експертної спеціальності</w:t>
      </w:r>
      <w:r w:rsidR="000B20F6">
        <w:rPr>
          <w:rFonts w:eastAsia="Times New Roman" w:cs="Times New Roman"/>
          <w:bCs/>
          <w:szCs w:val="28"/>
          <w:lang w:val="uk-UA" w:eastAsia="ru-RU"/>
        </w:rPr>
        <w:t>, з якої комісія проводить атестацію, присвоює кваліфікацію судового експерта або кваліфікаційний клас», носить ознаки правової невизначеності, а отже вимагає редакційного уточнення.</w:t>
      </w:r>
    </w:p>
    <w:p w:rsidR="002B210F" w:rsidRDefault="002B210F" w:rsidP="00752F90">
      <w:pPr>
        <w:spacing w:after="0" w:line="240" w:lineRule="auto"/>
        <w:ind w:firstLine="567"/>
        <w:jc w:val="both"/>
        <w:rPr>
          <w:rFonts w:eastAsia="Times New Roman" w:cs="Times New Roman"/>
          <w:bCs/>
          <w:szCs w:val="28"/>
          <w:lang w:val="uk-UA" w:eastAsia="ru-RU"/>
        </w:rPr>
      </w:pPr>
    </w:p>
    <w:p w:rsidR="00400113" w:rsidRDefault="00C128F8" w:rsidP="00752F90">
      <w:pPr>
        <w:spacing w:after="0" w:line="240" w:lineRule="auto"/>
        <w:ind w:firstLine="567"/>
        <w:jc w:val="both"/>
        <w:rPr>
          <w:rFonts w:eastAsia="Times New Roman" w:cs="Times New Roman"/>
          <w:bCs/>
          <w:szCs w:val="28"/>
          <w:lang w:val="uk-UA" w:eastAsia="ru-RU"/>
        </w:rPr>
      </w:pPr>
      <w:r>
        <w:rPr>
          <w:rFonts w:eastAsia="Times New Roman" w:cs="Times New Roman"/>
          <w:bCs/>
          <w:szCs w:val="28"/>
          <w:lang w:val="uk-UA" w:eastAsia="ru-RU"/>
        </w:rPr>
        <w:t>7. </w:t>
      </w:r>
      <w:r w:rsidR="00BE0DD4" w:rsidRPr="00BE0DD4">
        <w:rPr>
          <w:rFonts w:eastAsia="Times New Roman" w:cs="Times New Roman"/>
          <w:bCs/>
          <w:szCs w:val="28"/>
          <w:lang w:val="uk-UA" w:eastAsia="ru-RU"/>
        </w:rPr>
        <w:t>Відповідно до запропонованих змін до статті 347 Кримінального кодексу України потерпілим від злочину, передбаченого статтею 347 «Умисне знищення або пошкодження майна працівника правоохоронного органу, працівника органу державної виконавчої служби чи приватного виконавця», визнається судовий експерт. Проте слід зазначити, що ще при внесенні змін до цієї статті Законом України «Про органи та осіб, які здійснюють примусове виконання судових рішень і рішень інших органів», якими потерпілим від злочину було визначено приватного виконавця, Головним юридичним управлінням наголошувалося, що  з урахуванням засадничих принципів та усталених правил побудови норм Кодексу, словосполучення «в тому числі після їх звільнення з посади» та «в тому числі у минулому» не можуть бути складовою диспозиції статті і використовуватися як ознака юридичного складу злочину.</w:t>
      </w:r>
    </w:p>
    <w:p w:rsidR="00BE0DD4" w:rsidRDefault="00BE0DD4" w:rsidP="00752F90">
      <w:pPr>
        <w:spacing w:after="0" w:line="240" w:lineRule="auto"/>
        <w:ind w:firstLine="567"/>
        <w:jc w:val="both"/>
        <w:rPr>
          <w:rFonts w:eastAsia="Times New Roman" w:cs="Times New Roman"/>
          <w:bCs/>
          <w:szCs w:val="28"/>
          <w:lang w:val="uk-UA" w:eastAsia="ru-RU"/>
        </w:rPr>
      </w:pPr>
    </w:p>
    <w:p w:rsidR="00BE0DD4" w:rsidRDefault="00BE0DD4" w:rsidP="00BE0DD4">
      <w:pPr>
        <w:spacing w:after="0" w:line="240" w:lineRule="auto"/>
        <w:ind w:firstLine="567"/>
        <w:jc w:val="both"/>
        <w:rPr>
          <w:rFonts w:eastAsia="Times New Roman" w:cs="Times New Roman"/>
          <w:bCs/>
          <w:szCs w:val="28"/>
          <w:lang w:val="uk-UA" w:eastAsia="ru-RU"/>
        </w:rPr>
      </w:pPr>
      <w:r>
        <w:rPr>
          <w:rFonts w:eastAsia="Times New Roman" w:cs="Times New Roman"/>
          <w:bCs/>
          <w:szCs w:val="28"/>
          <w:lang w:val="uk-UA" w:eastAsia="ru-RU"/>
        </w:rPr>
        <w:t>8. </w:t>
      </w:r>
      <w:r>
        <w:rPr>
          <w:rFonts w:eastAsia="Times New Roman" w:cs="Times New Roman"/>
          <w:bCs/>
          <w:szCs w:val="28"/>
          <w:lang w:val="uk-UA" w:eastAsia="ru-RU"/>
        </w:rPr>
        <w:t>Також в контексті проекту Закону, що розглядається, необхідно звернути</w:t>
      </w:r>
      <w:r w:rsidRPr="00C128F8">
        <w:rPr>
          <w:rFonts w:eastAsia="Times New Roman" w:cs="Times New Roman"/>
          <w:bCs/>
          <w:szCs w:val="28"/>
          <w:lang w:val="uk-UA" w:eastAsia="ru-RU"/>
        </w:rPr>
        <w:t xml:space="preserve"> увагу, що 16 травня 2018 року у першому читанні було прийнято проект Закону України </w:t>
      </w:r>
      <w:r>
        <w:rPr>
          <w:rFonts w:eastAsia="Times New Roman" w:cs="Times New Roman"/>
          <w:bCs/>
          <w:szCs w:val="28"/>
          <w:lang w:val="uk-UA" w:eastAsia="ru-RU"/>
        </w:rPr>
        <w:t>п</w:t>
      </w:r>
      <w:r w:rsidRPr="00C128F8">
        <w:rPr>
          <w:rFonts w:eastAsia="Times New Roman" w:cs="Times New Roman"/>
          <w:bCs/>
          <w:szCs w:val="28"/>
          <w:lang w:val="uk-UA" w:eastAsia="ru-RU"/>
        </w:rPr>
        <w:t>ро внесення змін до деяких законів України щод</w:t>
      </w:r>
      <w:r>
        <w:rPr>
          <w:rFonts w:eastAsia="Times New Roman" w:cs="Times New Roman"/>
          <w:bCs/>
          <w:szCs w:val="28"/>
          <w:lang w:val="uk-UA" w:eastAsia="ru-RU"/>
        </w:rPr>
        <w:t>о підстав проведення експертизи</w:t>
      </w:r>
      <w:r w:rsidRPr="00C128F8">
        <w:rPr>
          <w:rFonts w:eastAsia="Times New Roman" w:cs="Times New Roman"/>
          <w:bCs/>
          <w:szCs w:val="28"/>
          <w:lang w:val="uk-UA" w:eastAsia="ru-RU"/>
        </w:rPr>
        <w:t xml:space="preserve"> (реєстр. № 8116 від 14.03.2018), положення якого також пер</w:t>
      </w:r>
      <w:r>
        <w:rPr>
          <w:rFonts w:eastAsia="Times New Roman" w:cs="Times New Roman"/>
          <w:bCs/>
          <w:szCs w:val="28"/>
          <w:lang w:val="uk-UA" w:eastAsia="ru-RU"/>
        </w:rPr>
        <w:t>едбачають внесення змін до стат</w:t>
      </w:r>
      <w:r w:rsidRPr="00C128F8">
        <w:rPr>
          <w:rFonts w:eastAsia="Times New Roman" w:cs="Times New Roman"/>
          <w:bCs/>
          <w:szCs w:val="28"/>
          <w:lang w:val="uk-UA" w:eastAsia="ru-RU"/>
        </w:rPr>
        <w:t xml:space="preserve">ей </w:t>
      </w:r>
      <w:r>
        <w:rPr>
          <w:rFonts w:eastAsia="Times New Roman" w:cs="Times New Roman"/>
          <w:bCs/>
          <w:szCs w:val="28"/>
          <w:lang w:val="uk-UA" w:eastAsia="ru-RU"/>
        </w:rPr>
        <w:t xml:space="preserve">242, 243, 244 КПК України. </w:t>
      </w:r>
      <w:r w:rsidR="001F5B48">
        <w:rPr>
          <w:rFonts w:eastAsia="Times New Roman" w:cs="Times New Roman"/>
          <w:bCs/>
          <w:szCs w:val="28"/>
          <w:lang w:val="uk-UA" w:eastAsia="ru-RU"/>
        </w:rPr>
        <w:t>Цю обставину має бути враховано під час розгляду законопроекту № 8336 та ухвалення остаточного рішення</w:t>
      </w:r>
    </w:p>
    <w:p w:rsidR="00BE0DD4" w:rsidRDefault="00BE0DD4" w:rsidP="00BE0DD4">
      <w:pPr>
        <w:spacing w:after="0" w:line="240" w:lineRule="auto"/>
        <w:ind w:firstLine="567"/>
        <w:jc w:val="both"/>
        <w:rPr>
          <w:rFonts w:eastAsia="Times New Roman" w:cs="Times New Roman"/>
          <w:bCs/>
          <w:szCs w:val="28"/>
          <w:lang w:val="uk-UA" w:eastAsia="ru-RU"/>
        </w:rPr>
      </w:pPr>
    </w:p>
    <w:p w:rsidR="003B1DA6" w:rsidRDefault="003B1DA6" w:rsidP="00752F90">
      <w:pPr>
        <w:spacing w:after="0" w:line="240" w:lineRule="auto"/>
        <w:ind w:firstLine="567"/>
        <w:jc w:val="both"/>
        <w:rPr>
          <w:rFonts w:eastAsia="Times New Roman" w:cs="Times New Roman"/>
          <w:bCs/>
          <w:szCs w:val="28"/>
          <w:lang w:val="uk-UA" w:eastAsia="ru-RU"/>
        </w:rPr>
      </w:pPr>
      <w:r w:rsidRPr="003B1DA6">
        <w:rPr>
          <w:rFonts w:eastAsia="Times New Roman" w:cs="Times New Roman"/>
          <w:bCs/>
          <w:szCs w:val="28"/>
          <w:lang w:val="uk-UA" w:eastAsia="ru-RU"/>
        </w:rPr>
        <w:t>Висновок: законопроект потребує суттєвого доопрацювання та внесення на повторне друге читання.</w:t>
      </w:r>
    </w:p>
    <w:p w:rsidR="003B1DA6" w:rsidRDefault="003B1DA6" w:rsidP="00752F90">
      <w:pPr>
        <w:spacing w:after="0" w:line="240" w:lineRule="auto"/>
        <w:ind w:firstLine="567"/>
        <w:jc w:val="both"/>
        <w:rPr>
          <w:rFonts w:eastAsia="Times New Roman" w:cs="Times New Roman"/>
          <w:bCs/>
          <w:szCs w:val="28"/>
          <w:lang w:val="uk-UA" w:eastAsia="ru-RU"/>
        </w:rPr>
      </w:pPr>
    </w:p>
    <w:p w:rsidR="003B1DA6" w:rsidRDefault="003B1DA6" w:rsidP="00752F90">
      <w:pPr>
        <w:spacing w:after="0" w:line="240" w:lineRule="auto"/>
        <w:ind w:firstLine="567"/>
        <w:jc w:val="both"/>
        <w:rPr>
          <w:rFonts w:eastAsia="Times New Roman" w:cs="Times New Roman"/>
          <w:bCs/>
          <w:szCs w:val="28"/>
          <w:lang w:val="uk-UA" w:eastAsia="ru-RU"/>
        </w:rPr>
      </w:pPr>
    </w:p>
    <w:p w:rsidR="001F5B48" w:rsidRDefault="001F5B48" w:rsidP="00752F90">
      <w:pPr>
        <w:spacing w:after="0" w:line="240" w:lineRule="auto"/>
        <w:ind w:firstLine="567"/>
        <w:jc w:val="both"/>
        <w:rPr>
          <w:rFonts w:eastAsia="Times New Roman" w:cs="Times New Roman"/>
          <w:bCs/>
          <w:szCs w:val="28"/>
          <w:lang w:val="uk-UA" w:eastAsia="ru-RU"/>
        </w:rPr>
      </w:pPr>
      <w:bookmarkStart w:id="1" w:name="_GoBack"/>
      <w:bookmarkEnd w:id="1"/>
    </w:p>
    <w:p w:rsidR="003B1DA6" w:rsidRPr="003B1DA6" w:rsidRDefault="003B1DA6" w:rsidP="003B1DA6">
      <w:pPr>
        <w:spacing w:after="0" w:line="240" w:lineRule="auto"/>
        <w:ind w:firstLine="567"/>
        <w:jc w:val="both"/>
        <w:rPr>
          <w:rFonts w:eastAsia="Times New Roman" w:cs="Times New Roman"/>
          <w:b/>
          <w:bCs/>
          <w:szCs w:val="28"/>
          <w:lang w:val="uk-UA" w:eastAsia="ru-RU"/>
        </w:rPr>
      </w:pPr>
      <w:r w:rsidRPr="003B1DA6">
        <w:rPr>
          <w:rFonts w:eastAsia="Times New Roman" w:cs="Times New Roman"/>
          <w:b/>
          <w:bCs/>
          <w:szCs w:val="28"/>
          <w:lang w:val="uk-UA" w:eastAsia="ru-RU"/>
        </w:rPr>
        <w:t>Перший заступник</w:t>
      </w:r>
      <w:r w:rsidRPr="003B1DA6">
        <w:rPr>
          <w:rFonts w:eastAsia="Times New Roman" w:cs="Times New Roman"/>
          <w:b/>
          <w:bCs/>
          <w:szCs w:val="28"/>
          <w:lang w:val="uk-UA" w:eastAsia="ru-RU"/>
        </w:rPr>
        <w:tab/>
      </w:r>
      <w:r w:rsidRPr="003B1DA6">
        <w:rPr>
          <w:rFonts w:eastAsia="Times New Roman" w:cs="Times New Roman"/>
          <w:b/>
          <w:bCs/>
          <w:szCs w:val="28"/>
          <w:lang w:val="uk-UA" w:eastAsia="ru-RU"/>
        </w:rPr>
        <w:tab/>
      </w:r>
      <w:r w:rsidRPr="003B1DA6">
        <w:rPr>
          <w:rFonts w:eastAsia="Times New Roman" w:cs="Times New Roman"/>
          <w:b/>
          <w:bCs/>
          <w:szCs w:val="28"/>
          <w:lang w:val="uk-UA" w:eastAsia="ru-RU"/>
        </w:rPr>
        <w:tab/>
      </w:r>
      <w:r w:rsidRPr="003B1DA6">
        <w:rPr>
          <w:rFonts w:eastAsia="Times New Roman" w:cs="Times New Roman"/>
          <w:b/>
          <w:bCs/>
          <w:szCs w:val="28"/>
          <w:lang w:val="uk-UA" w:eastAsia="ru-RU"/>
        </w:rPr>
        <w:tab/>
      </w:r>
    </w:p>
    <w:p w:rsidR="003B1DA6" w:rsidRPr="003B1DA6" w:rsidRDefault="003B1DA6" w:rsidP="003B1DA6">
      <w:pPr>
        <w:spacing w:after="0" w:line="240" w:lineRule="auto"/>
        <w:ind w:firstLine="567"/>
        <w:jc w:val="both"/>
        <w:rPr>
          <w:rFonts w:eastAsia="Times New Roman" w:cs="Times New Roman"/>
          <w:b/>
          <w:bCs/>
          <w:szCs w:val="28"/>
          <w:lang w:val="uk-UA" w:eastAsia="ru-RU"/>
        </w:rPr>
      </w:pPr>
      <w:r w:rsidRPr="003B1DA6">
        <w:rPr>
          <w:rFonts w:eastAsia="Times New Roman" w:cs="Times New Roman"/>
          <w:b/>
          <w:bCs/>
          <w:szCs w:val="28"/>
          <w:lang w:val="uk-UA" w:eastAsia="ru-RU"/>
        </w:rPr>
        <w:t>Керівника Головного управління</w:t>
      </w:r>
      <w:r w:rsidRPr="003B1DA6">
        <w:rPr>
          <w:rFonts w:eastAsia="Times New Roman" w:cs="Times New Roman"/>
          <w:b/>
          <w:bCs/>
          <w:szCs w:val="28"/>
          <w:lang w:val="uk-UA" w:eastAsia="ru-RU"/>
        </w:rPr>
        <w:tab/>
      </w:r>
      <w:r w:rsidRPr="003B1DA6">
        <w:rPr>
          <w:rFonts w:eastAsia="Times New Roman" w:cs="Times New Roman"/>
          <w:b/>
          <w:bCs/>
          <w:szCs w:val="28"/>
          <w:lang w:val="uk-UA" w:eastAsia="ru-RU"/>
        </w:rPr>
        <w:tab/>
      </w:r>
      <w:r w:rsidRPr="003B1DA6">
        <w:rPr>
          <w:rFonts w:eastAsia="Times New Roman" w:cs="Times New Roman"/>
          <w:b/>
          <w:bCs/>
          <w:szCs w:val="28"/>
          <w:lang w:val="uk-UA" w:eastAsia="ru-RU"/>
        </w:rPr>
        <w:tab/>
      </w:r>
      <w:r w:rsidRPr="003B1DA6">
        <w:rPr>
          <w:rFonts w:eastAsia="Times New Roman" w:cs="Times New Roman"/>
          <w:b/>
          <w:bCs/>
          <w:szCs w:val="28"/>
          <w:lang w:val="uk-UA" w:eastAsia="ru-RU"/>
        </w:rPr>
        <w:tab/>
      </w:r>
      <w:r w:rsidRPr="003B1DA6">
        <w:rPr>
          <w:rFonts w:eastAsia="Times New Roman" w:cs="Times New Roman"/>
          <w:b/>
          <w:bCs/>
          <w:szCs w:val="28"/>
          <w:lang w:val="uk-UA" w:eastAsia="ru-RU"/>
        </w:rPr>
        <w:tab/>
        <w:t>А. НИЖНИК</w:t>
      </w:r>
    </w:p>
    <w:p w:rsidR="003B1DA6" w:rsidRDefault="003B1DA6" w:rsidP="00752F90">
      <w:pPr>
        <w:spacing w:after="0" w:line="240" w:lineRule="auto"/>
        <w:ind w:firstLine="567"/>
        <w:jc w:val="both"/>
        <w:rPr>
          <w:rFonts w:eastAsia="Times New Roman" w:cs="Times New Roman"/>
          <w:bCs/>
          <w:szCs w:val="28"/>
          <w:lang w:val="uk-UA" w:eastAsia="ru-RU"/>
        </w:rPr>
      </w:pPr>
    </w:p>
    <w:sectPr w:rsidR="003B1DA6" w:rsidSect="006345FD">
      <w:footerReference w:type="default" r:id="rId7"/>
      <w:pgSz w:w="11906" w:h="16838"/>
      <w:pgMar w:top="850" w:right="850" w:bottom="850" w:left="1417"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5FD" w:rsidRDefault="006345FD" w:rsidP="006345FD">
      <w:pPr>
        <w:spacing w:after="0" w:line="240" w:lineRule="auto"/>
      </w:pPr>
      <w:r>
        <w:separator/>
      </w:r>
    </w:p>
  </w:endnote>
  <w:endnote w:type="continuationSeparator" w:id="0">
    <w:p w:rsidR="006345FD" w:rsidRDefault="006345FD" w:rsidP="00634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00002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2268284"/>
      <w:docPartObj>
        <w:docPartGallery w:val="Page Numbers (Bottom of Page)"/>
        <w:docPartUnique/>
      </w:docPartObj>
    </w:sdtPr>
    <w:sdtContent>
      <w:p w:rsidR="006345FD" w:rsidRDefault="006345FD">
        <w:pPr>
          <w:pStyle w:val="a8"/>
          <w:jc w:val="right"/>
        </w:pPr>
        <w:r>
          <w:fldChar w:fldCharType="begin"/>
        </w:r>
        <w:r>
          <w:instrText>PAGE   \* MERGEFORMAT</w:instrText>
        </w:r>
        <w:r>
          <w:fldChar w:fldCharType="separate"/>
        </w:r>
        <w:r w:rsidR="001F5B48" w:rsidRPr="001F5B48">
          <w:rPr>
            <w:noProof/>
            <w:lang w:val="uk-UA"/>
          </w:rPr>
          <w:t>2</w:t>
        </w:r>
        <w:r>
          <w:fldChar w:fldCharType="end"/>
        </w:r>
      </w:p>
    </w:sdtContent>
  </w:sdt>
  <w:p w:rsidR="006345FD" w:rsidRDefault="006345F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5FD" w:rsidRDefault="006345FD" w:rsidP="006345FD">
      <w:pPr>
        <w:spacing w:after="0" w:line="240" w:lineRule="auto"/>
      </w:pPr>
      <w:r>
        <w:separator/>
      </w:r>
    </w:p>
  </w:footnote>
  <w:footnote w:type="continuationSeparator" w:id="0">
    <w:p w:rsidR="006345FD" w:rsidRDefault="006345FD" w:rsidP="006345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773"/>
    <w:rsid w:val="0006519D"/>
    <w:rsid w:val="00086B6F"/>
    <w:rsid w:val="000B20F6"/>
    <w:rsid w:val="000D0019"/>
    <w:rsid w:val="00117B52"/>
    <w:rsid w:val="001A3D2B"/>
    <w:rsid w:val="001A4C9D"/>
    <w:rsid w:val="001F5B48"/>
    <w:rsid w:val="00280B76"/>
    <w:rsid w:val="002B210F"/>
    <w:rsid w:val="002C6773"/>
    <w:rsid w:val="00314E46"/>
    <w:rsid w:val="003940B8"/>
    <w:rsid w:val="003B1DA6"/>
    <w:rsid w:val="00400113"/>
    <w:rsid w:val="004A751F"/>
    <w:rsid w:val="004B4C2D"/>
    <w:rsid w:val="005204CF"/>
    <w:rsid w:val="00577110"/>
    <w:rsid w:val="0058727F"/>
    <w:rsid w:val="005D0FD5"/>
    <w:rsid w:val="00631242"/>
    <w:rsid w:val="006345FD"/>
    <w:rsid w:val="006A5FB2"/>
    <w:rsid w:val="00706126"/>
    <w:rsid w:val="00741AD8"/>
    <w:rsid w:val="00752F90"/>
    <w:rsid w:val="00766528"/>
    <w:rsid w:val="00775140"/>
    <w:rsid w:val="007C7105"/>
    <w:rsid w:val="007D2875"/>
    <w:rsid w:val="008252EB"/>
    <w:rsid w:val="00827064"/>
    <w:rsid w:val="0097641F"/>
    <w:rsid w:val="00997EE5"/>
    <w:rsid w:val="00A3433D"/>
    <w:rsid w:val="00A560B9"/>
    <w:rsid w:val="00A64607"/>
    <w:rsid w:val="00AC4C5B"/>
    <w:rsid w:val="00AC5463"/>
    <w:rsid w:val="00AC71C3"/>
    <w:rsid w:val="00B20933"/>
    <w:rsid w:val="00B26A7B"/>
    <w:rsid w:val="00B54FC8"/>
    <w:rsid w:val="00BE0DD4"/>
    <w:rsid w:val="00C128F8"/>
    <w:rsid w:val="00C56129"/>
    <w:rsid w:val="00CA2331"/>
    <w:rsid w:val="00DD4BC9"/>
    <w:rsid w:val="00E17AA9"/>
    <w:rsid w:val="00E373BA"/>
    <w:rsid w:val="00F05032"/>
    <w:rsid w:val="00F937E4"/>
    <w:rsid w:val="00FA62F1"/>
    <w:rsid w:val="00FE45D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A2E8B"/>
  <w15:chartTrackingRefBased/>
  <w15:docId w15:val="{C64C2A1A-7065-4900-9058-BDDEF4D33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6528"/>
    <w:rPr>
      <w:lang w:val="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5463"/>
    <w:pPr>
      <w:ind w:left="720"/>
      <w:contextualSpacing/>
    </w:pPr>
  </w:style>
  <w:style w:type="paragraph" w:styleId="HTML">
    <w:name w:val="HTML Preformatted"/>
    <w:basedOn w:val="a"/>
    <w:link w:val="HTML0"/>
    <w:uiPriority w:val="99"/>
    <w:semiHidden/>
    <w:unhideWhenUsed/>
    <w:rsid w:val="00AC71C3"/>
    <w:pPr>
      <w:spacing w:after="0" w:line="240" w:lineRule="auto"/>
    </w:pPr>
    <w:rPr>
      <w:rFonts w:ascii="Consolas" w:hAnsi="Consolas"/>
      <w:sz w:val="20"/>
      <w:szCs w:val="20"/>
    </w:rPr>
  </w:style>
  <w:style w:type="character" w:customStyle="1" w:styleId="HTML0">
    <w:name w:val="Стандартний HTML Знак"/>
    <w:basedOn w:val="a0"/>
    <w:link w:val="HTML"/>
    <w:uiPriority w:val="99"/>
    <w:semiHidden/>
    <w:rsid w:val="00AC71C3"/>
    <w:rPr>
      <w:rFonts w:ascii="Consolas" w:hAnsi="Consolas"/>
      <w:sz w:val="20"/>
      <w:szCs w:val="20"/>
      <w:lang w:val="ru-RU"/>
    </w:rPr>
  </w:style>
  <w:style w:type="paragraph" w:styleId="a4">
    <w:name w:val="Balloon Text"/>
    <w:basedOn w:val="a"/>
    <w:link w:val="a5"/>
    <w:uiPriority w:val="99"/>
    <w:semiHidden/>
    <w:unhideWhenUsed/>
    <w:rsid w:val="00C128F8"/>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C128F8"/>
    <w:rPr>
      <w:rFonts w:ascii="Segoe UI" w:hAnsi="Segoe UI" w:cs="Segoe UI"/>
      <w:sz w:val="18"/>
      <w:szCs w:val="18"/>
      <w:lang w:val="ru-RU"/>
    </w:rPr>
  </w:style>
  <w:style w:type="paragraph" w:styleId="a6">
    <w:name w:val="header"/>
    <w:basedOn w:val="a"/>
    <w:link w:val="a7"/>
    <w:uiPriority w:val="99"/>
    <w:unhideWhenUsed/>
    <w:rsid w:val="006345FD"/>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6345FD"/>
    <w:rPr>
      <w:lang w:val="ru-RU"/>
    </w:rPr>
  </w:style>
  <w:style w:type="paragraph" w:styleId="a8">
    <w:name w:val="footer"/>
    <w:basedOn w:val="a"/>
    <w:link w:val="a9"/>
    <w:uiPriority w:val="99"/>
    <w:unhideWhenUsed/>
    <w:rsid w:val="006345FD"/>
    <w:pPr>
      <w:tabs>
        <w:tab w:val="center" w:pos="4819"/>
        <w:tab w:val="right" w:pos="9639"/>
      </w:tabs>
      <w:spacing w:after="0" w:line="240" w:lineRule="auto"/>
    </w:pPr>
  </w:style>
  <w:style w:type="character" w:customStyle="1" w:styleId="a9">
    <w:name w:val="Нижній колонтитул Знак"/>
    <w:basedOn w:val="a0"/>
    <w:link w:val="a8"/>
    <w:uiPriority w:val="99"/>
    <w:rsid w:val="006345FD"/>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453148">
      <w:bodyDiv w:val="1"/>
      <w:marLeft w:val="0"/>
      <w:marRight w:val="0"/>
      <w:marTop w:val="0"/>
      <w:marBottom w:val="0"/>
      <w:divBdr>
        <w:top w:val="none" w:sz="0" w:space="0" w:color="auto"/>
        <w:left w:val="none" w:sz="0" w:space="0" w:color="auto"/>
        <w:bottom w:val="none" w:sz="0" w:space="0" w:color="auto"/>
        <w:right w:val="none" w:sz="0" w:space="0" w:color="auto"/>
      </w:divBdr>
    </w:div>
    <w:div w:id="384644328">
      <w:bodyDiv w:val="1"/>
      <w:marLeft w:val="0"/>
      <w:marRight w:val="0"/>
      <w:marTop w:val="0"/>
      <w:marBottom w:val="0"/>
      <w:divBdr>
        <w:top w:val="none" w:sz="0" w:space="0" w:color="auto"/>
        <w:left w:val="none" w:sz="0" w:space="0" w:color="auto"/>
        <w:bottom w:val="none" w:sz="0" w:space="0" w:color="auto"/>
        <w:right w:val="none" w:sz="0" w:space="0" w:color="auto"/>
      </w:divBdr>
    </w:div>
    <w:div w:id="431897005">
      <w:bodyDiv w:val="1"/>
      <w:marLeft w:val="0"/>
      <w:marRight w:val="0"/>
      <w:marTop w:val="0"/>
      <w:marBottom w:val="0"/>
      <w:divBdr>
        <w:top w:val="none" w:sz="0" w:space="0" w:color="auto"/>
        <w:left w:val="none" w:sz="0" w:space="0" w:color="auto"/>
        <w:bottom w:val="none" w:sz="0" w:space="0" w:color="auto"/>
        <w:right w:val="none" w:sz="0" w:space="0" w:color="auto"/>
      </w:divBdr>
    </w:div>
    <w:div w:id="948123950">
      <w:bodyDiv w:val="1"/>
      <w:marLeft w:val="0"/>
      <w:marRight w:val="0"/>
      <w:marTop w:val="0"/>
      <w:marBottom w:val="0"/>
      <w:divBdr>
        <w:top w:val="none" w:sz="0" w:space="0" w:color="auto"/>
        <w:left w:val="none" w:sz="0" w:space="0" w:color="auto"/>
        <w:bottom w:val="none" w:sz="0" w:space="0" w:color="auto"/>
        <w:right w:val="none" w:sz="0" w:space="0" w:color="auto"/>
      </w:divBdr>
    </w:div>
    <w:div w:id="1873031382">
      <w:bodyDiv w:val="1"/>
      <w:marLeft w:val="0"/>
      <w:marRight w:val="0"/>
      <w:marTop w:val="0"/>
      <w:marBottom w:val="0"/>
      <w:divBdr>
        <w:top w:val="none" w:sz="0" w:space="0" w:color="auto"/>
        <w:left w:val="none" w:sz="0" w:space="0" w:color="auto"/>
        <w:bottom w:val="none" w:sz="0" w:space="0" w:color="auto"/>
        <w:right w:val="none" w:sz="0" w:space="0" w:color="auto"/>
      </w:divBdr>
    </w:div>
    <w:div w:id="1940600130">
      <w:bodyDiv w:val="1"/>
      <w:marLeft w:val="0"/>
      <w:marRight w:val="0"/>
      <w:marTop w:val="0"/>
      <w:marBottom w:val="0"/>
      <w:divBdr>
        <w:top w:val="none" w:sz="0" w:space="0" w:color="auto"/>
        <w:left w:val="none" w:sz="0" w:space="0" w:color="auto"/>
        <w:bottom w:val="none" w:sz="0" w:space="0" w:color="auto"/>
        <w:right w:val="none" w:sz="0" w:space="0" w:color="auto"/>
      </w:divBdr>
    </w:div>
    <w:div w:id="198557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DDE4D-A6B8-4B2F-BFB3-C2F371141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819</TotalTime>
  <Pages>5</Pages>
  <Words>8100</Words>
  <Characters>4618</Characters>
  <Application>Microsoft Office Word</Application>
  <DocSecurity>0</DocSecurity>
  <Lines>38</Lines>
  <Paragraphs>25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Тубелець Олеся Степанівна</dc:creator>
  <cp:keywords/>
  <dc:description/>
  <cp:lastModifiedBy>Тубелець Олеся Степанівна</cp:lastModifiedBy>
  <cp:revision>15</cp:revision>
  <cp:lastPrinted>2018-10-29T09:25:00Z</cp:lastPrinted>
  <dcterms:created xsi:type="dcterms:W3CDTF">2018-10-24T13:27:00Z</dcterms:created>
  <dcterms:modified xsi:type="dcterms:W3CDTF">2018-10-29T12:41:00Z</dcterms:modified>
</cp:coreProperties>
</file>