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D3" w:rsidRPr="00905F87" w:rsidRDefault="001E18D3" w:rsidP="001E18D3">
      <w:pPr>
        <w:ind w:left="4956" w:firstLine="708"/>
        <w:outlineLvl w:val="2"/>
        <w:rPr>
          <w:rFonts w:ascii="Times New Roman" w:hAnsi="Times New Roman"/>
          <w:b/>
          <w:bCs/>
          <w:sz w:val="28"/>
          <w:szCs w:val="28"/>
          <w:lang w:eastAsia="uk-UA"/>
        </w:rPr>
      </w:pPr>
      <w:r w:rsidRPr="00905F87">
        <w:rPr>
          <w:rFonts w:ascii="Times New Roman" w:hAnsi="Times New Roman"/>
          <w:b/>
          <w:bCs/>
          <w:sz w:val="28"/>
          <w:szCs w:val="28"/>
          <w:lang w:eastAsia="uk-UA"/>
        </w:rPr>
        <w:t>ПОРІВНЯЛЬНА ТАБЛИЦЯ</w:t>
      </w:r>
    </w:p>
    <w:p w:rsidR="001E18D3" w:rsidRDefault="001E18D3" w:rsidP="001E18D3">
      <w:pPr>
        <w:spacing w:after="200" w:line="276" w:lineRule="auto"/>
        <w:ind w:firstLine="709"/>
        <w:jc w:val="center"/>
        <w:outlineLvl w:val="0"/>
        <w:rPr>
          <w:rFonts w:ascii="Times New Roman" w:hAnsi="Times New Roman"/>
          <w:b/>
          <w:sz w:val="28"/>
          <w:szCs w:val="28"/>
          <w:lang w:eastAsia="uk-UA"/>
        </w:rPr>
      </w:pPr>
      <w:r w:rsidRPr="00905F87">
        <w:rPr>
          <w:rFonts w:ascii="Times New Roman" w:hAnsi="Times New Roman"/>
          <w:b/>
          <w:sz w:val="28"/>
          <w:szCs w:val="28"/>
          <w:lang w:eastAsia="uk-UA"/>
        </w:rPr>
        <w:t xml:space="preserve">до проекту Закону України </w:t>
      </w:r>
      <w:r w:rsidRPr="00905F87">
        <w:rPr>
          <w:rFonts w:ascii="Times New Roman" w:hAnsi="Times New Roman"/>
          <w:b/>
          <w:sz w:val="28"/>
          <w:szCs w:val="28"/>
          <w:lang w:val="ru-RU" w:eastAsia="uk-UA"/>
        </w:rPr>
        <w:t>“</w:t>
      </w:r>
      <w:r w:rsidRPr="00905F87">
        <w:rPr>
          <w:rFonts w:ascii="Times New Roman" w:hAnsi="Times New Roman"/>
          <w:b/>
          <w:sz w:val="28"/>
          <w:szCs w:val="28"/>
          <w:lang w:eastAsia="uk-UA"/>
        </w:rPr>
        <w:t xml:space="preserve"> Про внесення змін до </w:t>
      </w:r>
      <w:r w:rsidRPr="00905F87">
        <w:rPr>
          <w:rFonts w:ascii="Times New Roman" w:hAnsi="Times New Roman"/>
          <w:b/>
          <w:sz w:val="28"/>
          <w:szCs w:val="28"/>
        </w:rPr>
        <w:t>Кримінального та Кримінального процесуального кодексів України щодо встановлення відповідальності за наклеп</w:t>
      </w:r>
      <w:r w:rsidRPr="00905F87">
        <w:rPr>
          <w:rFonts w:ascii="Times New Roman" w:hAnsi="Times New Roman"/>
          <w:b/>
          <w:sz w:val="28"/>
          <w:szCs w:val="28"/>
          <w:lang w:val="ru-RU" w:eastAsia="uk-UA"/>
        </w:rPr>
        <w:t xml:space="preserve"> ”</w:t>
      </w:r>
      <w:r w:rsidRPr="00905F87">
        <w:rPr>
          <w:rFonts w:ascii="Times New Roman" w:hAnsi="Times New Roman"/>
          <w:b/>
          <w:sz w:val="28"/>
          <w:szCs w:val="28"/>
          <w:lang w:eastAsia="uk-UA"/>
        </w:rPr>
        <w:t xml:space="preserve">  </w:t>
      </w:r>
    </w:p>
    <w:p w:rsidR="001E18D3" w:rsidRPr="00905F87" w:rsidRDefault="001E18D3" w:rsidP="001E18D3">
      <w:pPr>
        <w:spacing w:after="200" w:line="276" w:lineRule="auto"/>
        <w:ind w:firstLine="709"/>
        <w:jc w:val="center"/>
        <w:outlineLvl w:val="0"/>
        <w:rPr>
          <w:rFonts w:ascii="Times New Roman" w:hAnsi="Times New Roman"/>
          <w:b/>
          <w:sz w:val="28"/>
          <w:szCs w:val="28"/>
          <w:lang w:eastAsia="uk-UA"/>
        </w:rPr>
      </w:pPr>
    </w:p>
    <w:tbl>
      <w:tblPr>
        <w:tblStyle w:val="a3"/>
        <w:tblW w:w="15120" w:type="dxa"/>
        <w:tblInd w:w="108" w:type="dxa"/>
        <w:tblLook w:val="04A0" w:firstRow="1" w:lastRow="0" w:firstColumn="1" w:lastColumn="0" w:noHBand="0" w:noVBand="1"/>
      </w:tblPr>
      <w:tblGrid>
        <w:gridCol w:w="7560"/>
        <w:gridCol w:w="7560"/>
      </w:tblGrid>
      <w:tr w:rsidR="001E18D3" w:rsidRPr="00905F87" w:rsidTr="00133359">
        <w:tc>
          <w:tcPr>
            <w:tcW w:w="7560" w:type="dxa"/>
          </w:tcPr>
          <w:p w:rsidR="001E18D3" w:rsidRPr="00905F87" w:rsidRDefault="001E18D3" w:rsidP="00133359">
            <w:pPr>
              <w:ind w:firstLine="425"/>
              <w:jc w:val="center"/>
              <w:rPr>
                <w:rFonts w:ascii="Times New Roman" w:hAnsi="Times New Roman"/>
                <w:b/>
                <w:bCs/>
                <w:sz w:val="28"/>
                <w:szCs w:val="28"/>
                <w:lang w:eastAsia="uk-UA"/>
              </w:rPr>
            </w:pPr>
            <w:r w:rsidRPr="00905F87">
              <w:rPr>
                <w:rFonts w:ascii="Times New Roman" w:hAnsi="Times New Roman"/>
                <w:b/>
                <w:bCs/>
                <w:sz w:val="28"/>
                <w:szCs w:val="28"/>
                <w:lang w:eastAsia="uk-UA"/>
              </w:rPr>
              <w:t>Чинна редакція</w:t>
            </w:r>
          </w:p>
        </w:tc>
        <w:tc>
          <w:tcPr>
            <w:tcW w:w="7560" w:type="dxa"/>
          </w:tcPr>
          <w:p w:rsidR="001E18D3" w:rsidRPr="00905F87" w:rsidRDefault="001E18D3" w:rsidP="00133359">
            <w:pPr>
              <w:ind w:firstLine="425"/>
              <w:jc w:val="center"/>
              <w:rPr>
                <w:rFonts w:ascii="Times New Roman" w:hAnsi="Times New Roman"/>
                <w:b/>
                <w:bCs/>
                <w:sz w:val="28"/>
                <w:szCs w:val="28"/>
                <w:lang w:eastAsia="uk-UA"/>
              </w:rPr>
            </w:pPr>
            <w:r w:rsidRPr="00905F87">
              <w:rPr>
                <w:rFonts w:ascii="Times New Roman" w:hAnsi="Times New Roman"/>
                <w:b/>
                <w:sz w:val="28"/>
                <w:szCs w:val="28"/>
                <w:lang w:eastAsia="uk-UA"/>
              </w:rPr>
              <w:t>Редакція проекту, що пропонується</w:t>
            </w:r>
          </w:p>
        </w:tc>
      </w:tr>
      <w:tr w:rsidR="001E18D3" w:rsidRPr="00905F87" w:rsidTr="00133359">
        <w:tc>
          <w:tcPr>
            <w:tcW w:w="15120" w:type="dxa"/>
            <w:gridSpan w:val="2"/>
          </w:tcPr>
          <w:p w:rsidR="001E18D3" w:rsidRPr="00905F87" w:rsidRDefault="001E18D3" w:rsidP="00133359">
            <w:pPr>
              <w:ind w:firstLine="425"/>
              <w:jc w:val="center"/>
              <w:rPr>
                <w:rFonts w:ascii="Times New Roman" w:hAnsi="Times New Roman"/>
                <w:b/>
                <w:bCs/>
                <w:sz w:val="28"/>
                <w:szCs w:val="28"/>
                <w:lang w:eastAsia="uk-UA"/>
              </w:rPr>
            </w:pPr>
          </w:p>
          <w:p w:rsidR="001E18D3" w:rsidRDefault="001E18D3" w:rsidP="00133359">
            <w:pPr>
              <w:ind w:firstLine="425"/>
              <w:jc w:val="center"/>
              <w:rPr>
                <w:rFonts w:ascii="Times New Roman" w:hAnsi="Times New Roman"/>
                <w:b/>
                <w:bCs/>
                <w:sz w:val="28"/>
                <w:szCs w:val="28"/>
                <w:lang w:eastAsia="uk-UA"/>
              </w:rPr>
            </w:pPr>
            <w:r>
              <w:rPr>
                <w:rFonts w:ascii="Times New Roman" w:hAnsi="Times New Roman"/>
                <w:b/>
                <w:bCs/>
                <w:sz w:val="28"/>
                <w:szCs w:val="28"/>
                <w:lang w:eastAsia="uk-UA"/>
              </w:rPr>
              <w:t>Кримінальний к</w:t>
            </w:r>
            <w:r w:rsidRPr="00905F87">
              <w:rPr>
                <w:rFonts w:ascii="Times New Roman" w:hAnsi="Times New Roman"/>
                <w:b/>
                <w:bCs/>
                <w:sz w:val="28"/>
                <w:szCs w:val="28"/>
                <w:lang w:eastAsia="uk-UA"/>
              </w:rPr>
              <w:t xml:space="preserve">одекс України </w:t>
            </w:r>
          </w:p>
          <w:p w:rsidR="001E18D3" w:rsidRPr="00905F87" w:rsidRDefault="001E18D3" w:rsidP="00133359">
            <w:pPr>
              <w:ind w:firstLine="425"/>
              <w:jc w:val="center"/>
              <w:rPr>
                <w:rFonts w:ascii="Times New Roman" w:hAnsi="Times New Roman"/>
                <w:b/>
                <w:bCs/>
                <w:sz w:val="28"/>
                <w:szCs w:val="28"/>
                <w:lang w:eastAsia="uk-UA"/>
              </w:rPr>
            </w:pPr>
          </w:p>
        </w:tc>
      </w:tr>
      <w:tr w:rsidR="001E18D3" w:rsidRPr="00905F87" w:rsidTr="00133359">
        <w:tc>
          <w:tcPr>
            <w:tcW w:w="7560" w:type="dxa"/>
          </w:tcPr>
          <w:p w:rsidR="001E18D3" w:rsidRPr="00905F87" w:rsidRDefault="001E18D3" w:rsidP="00133359">
            <w:pPr>
              <w:spacing w:before="100" w:beforeAutospacing="1" w:after="100" w:afterAutospacing="1"/>
              <w:rPr>
                <w:rFonts w:ascii="Times New Roman" w:hAnsi="Times New Roman"/>
                <w:b/>
                <w:sz w:val="28"/>
                <w:szCs w:val="28"/>
                <w:lang w:eastAsia="uk-UA"/>
              </w:rPr>
            </w:pPr>
            <w:r w:rsidRPr="00905F87">
              <w:rPr>
                <w:rFonts w:ascii="Times New Roman" w:hAnsi="Times New Roman"/>
                <w:b/>
                <w:sz w:val="28"/>
                <w:szCs w:val="28"/>
                <w:lang w:eastAsia="uk-UA"/>
              </w:rPr>
              <w:t>Відсутня</w:t>
            </w:r>
          </w:p>
        </w:tc>
        <w:tc>
          <w:tcPr>
            <w:tcW w:w="7560" w:type="dxa"/>
          </w:tcPr>
          <w:p w:rsidR="001E18D3" w:rsidRPr="006124E2" w:rsidRDefault="001E18D3" w:rsidP="00133359">
            <w:pPr>
              <w:spacing w:before="100" w:beforeAutospacing="1" w:after="100" w:afterAutospacing="1"/>
              <w:ind w:firstLine="709"/>
              <w:jc w:val="both"/>
              <w:rPr>
                <w:rFonts w:ascii="Times New Roman" w:hAnsi="Times New Roman"/>
                <w:sz w:val="28"/>
                <w:szCs w:val="28"/>
              </w:rPr>
            </w:pPr>
            <w:r w:rsidRPr="00882392">
              <w:rPr>
                <w:rFonts w:ascii="Times New Roman" w:hAnsi="Times New Roman"/>
                <w:sz w:val="28"/>
                <w:szCs w:val="28"/>
              </w:rPr>
              <w:t>Стаття 151</w:t>
            </w:r>
            <w:r w:rsidRPr="00882392">
              <w:rPr>
                <w:rFonts w:ascii="Times New Roman" w:hAnsi="Times New Roman"/>
                <w:sz w:val="28"/>
                <w:szCs w:val="28"/>
                <w:vertAlign w:val="superscript"/>
              </w:rPr>
              <w:t>2.</w:t>
            </w:r>
            <w:r w:rsidRPr="00882392">
              <w:rPr>
                <w:rFonts w:ascii="Times New Roman" w:hAnsi="Times New Roman"/>
                <w:sz w:val="28"/>
                <w:szCs w:val="28"/>
              </w:rPr>
              <w:t>. Наклеп</w:t>
            </w:r>
            <w:r w:rsidR="006124E2" w:rsidRPr="006124E2">
              <w:rPr>
                <w:rFonts w:ascii="Times New Roman" w:hAnsi="Times New Roman"/>
                <w:sz w:val="28"/>
                <w:szCs w:val="28"/>
              </w:rPr>
              <w:t xml:space="preserve"> </w:t>
            </w:r>
            <w:bookmarkStart w:id="0" w:name="_GoBack"/>
            <w:bookmarkEnd w:id="0"/>
          </w:p>
          <w:p w:rsidR="001E18D3" w:rsidRPr="00882392" w:rsidRDefault="001E18D3" w:rsidP="00133359">
            <w:pPr>
              <w:ind w:firstLine="708"/>
              <w:jc w:val="both"/>
              <w:rPr>
                <w:rFonts w:ascii="Times New Roman" w:hAnsi="Times New Roman"/>
                <w:sz w:val="28"/>
                <w:szCs w:val="28"/>
              </w:rPr>
            </w:pPr>
            <w:r w:rsidRPr="00882392">
              <w:rPr>
                <w:rFonts w:ascii="Times New Roman" w:hAnsi="Times New Roman"/>
                <w:sz w:val="28"/>
                <w:szCs w:val="28"/>
              </w:rPr>
              <w:t xml:space="preserve">1. Наклеп, тобто умисне поширення завідомо неправдивих відомостей, що ганьблять честь і гідність іншої особи або підривають її ділову репутацію, -  </w:t>
            </w:r>
          </w:p>
          <w:p w:rsidR="001E18D3" w:rsidRPr="00882392" w:rsidRDefault="001E18D3" w:rsidP="00133359">
            <w:pPr>
              <w:ind w:firstLine="708"/>
              <w:jc w:val="both"/>
              <w:rPr>
                <w:rFonts w:ascii="Times New Roman" w:hAnsi="Times New Roman"/>
                <w:sz w:val="28"/>
                <w:szCs w:val="28"/>
              </w:rPr>
            </w:pPr>
            <w:r w:rsidRPr="00882392">
              <w:rPr>
                <w:rFonts w:ascii="Times New Roman" w:hAnsi="Times New Roman"/>
                <w:sz w:val="28"/>
                <w:szCs w:val="28"/>
              </w:rPr>
              <w:t>карається штрафом в розмірі від двохсот до п'ятисот неоподатковуваних мінімумів доходів громадян або виправними роботами на строк до одного року, або обмеженням волі до двох років.</w:t>
            </w:r>
          </w:p>
          <w:p w:rsidR="001E18D3" w:rsidRPr="00882392" w:rsidRDefault="001E18D3" w:rsidP="00133359">
            <w:pPr>
              <w:ind w:firstLine="708"/>
              <w:jc w:val="both"/>
              <w:rPr>
                <w:rFonts w:ascii="Times New Roman" w:hAnsi="Times New Roman"/>
                <w:sz w:val="28"/>
                <w:szCs w:val="28"/>
              </w:rPr>
            </w:pPr>
          </w:p>
          <w:p w:rsidR="001E18D3" w:rsidRPr="00882392" w:rsidRDefault="001E18D3" w:rsidP="00133359">
            <w:pPr>
              <w:ind w:firstLine="708"/>
              <w:jc w:val="both"/>
              <w:rPr>
                <w:rFonts w:ascii="Times New Roman" w:hAnsi="Times New Roman"/>
                <w:sz w:val="28"/>
                <w:szCs w:val="28"/>
              </w:rPr>
            </w:pPr>
            <w:r w:rsidRPr="00882392">
              <w:rPr>
                <w:rFonts w:ascii="Times New Roman" w:hAnsi="Times New Roman"/>
                <w:sz w:val="28"/>
                <w:szCs w:val="28"/>
              </w:rPr>
              <w:t xml:space="preserve">2. </w:t>
            </w:r>
            <w:r w:rsidRPr="00B3594B">
              <w:rPr>
                <w:rFonts w:ascii="Times New Roman" w:hAnsi="Times New Roman"/>
                <w:sz w:val="28"/>
                <w:szCs w:val="28"/>
              </w:rPr>
              <w:t>Ті самі дії, вчинені шляхом публічно</w:t>
            </w:r>
            <w:r>
              <w:rPr>
                <w:rFonts w:ascii="Times New Roman" w:hAnsi="Times New Roman"/>
                <w:sz w:val="28"/>
                <w:szCs w:val="28"/>
              </w:rPr>
              <w:t xml:space="preserve">го демонстрування у творах, </w:t>
            </w:r>
            <w:r w:rsidRPr="00B3594B">
              <w:rPr>
                <w:rFonts w:ascii="Times New Roman" w:hAnsi="Times New Roman"/>
                <w:sz w:val="28"/>
                <w:szCs w:val="28"/>
              </w:rPr>
              <w:t>в засобах масової інформації або в мережі Інтернет, -</w:t>
            </w:r>
          </w:p>
          <w:p w:rsidR="001E18D3" w:rsidRPr="00882392" w:rsidRDefault="001E18D3" w:rsidP="00133359">
            <w:pPr>
              <w:ind w:firstLine="708"/>
              <w:jc w:val="both"/>
              <w:rPr>
                <w:rFonts w:ascii="Times New Roman" w:hAnsi="Times New Roman"/>
                <w:sz w:val="28"/>
                <w:szCs w:val="28"/>
              </w:rPr>
            </w:pPr>
            <w:r>
              <w:rPr>
                <w:rFonts w:ascii="Times New Roman" w:hAnsi="Times New Roman"/>
                <w:sz w:val="28"/>
                <w:szCs w:val="28"/>
              </w:rPr>
              <w:t>караю</w:t>
            </w:r>
            <w:r w:rsidRPr="00882392">
              <w:rPr>
                <w:rFonts w:ascii="Times New Roman" w:hAnsi="Times New Roman"/>
                <w:sz w:val="28"/>
                <w:szCs w:val="28"/>
              </w:rPr>
              <w:t>ться штрафом в розмірі від п'ятисот до тисячі п'ятисот неоподатковуваних мінімумів доходів громадян або виправними роботами на строк від одного до двох років, або обмеженням волі на строк від двох до п'яти років,-</w:t>
            </w:r>
          </w:p>
          <w:p w:rsidR="001E18D3" w:rsidRPr="00882392" w:rsidRDefault="001E18D3" w:rsidP="00133359">
            <w:pPr>
              <w:ind w:firstLine="708"/>
              <w:jc w:val="both"/>
              <w:rPr>
                <w:rFonts w:ascii="Times New Roman" w:hAnsi="Times New Roman"/>
                <w:sz w:val="28"/>
                <w:szCs w:val="28"/>
              </w:rPr>
            </w:pPr>
          </w:p>
          <w:p w:rsidR="001E18D3" w:rsidRPr="00882392" w:rsidRDefault="001E18D3" w:rsidP="00133359">
            <w:pPr>
              <w:jc w:val="both"/>
              <w:rPr>
                <w:rFonts w:ascii="Times New Roman" w:hAnsi="Times New Roman"/>
                <w:sz w:val="28"/>
                <w:szCs w:val="28"/>
              </w:rPr>
            </w:pPr>
            <w:r w:rsidRPr="00882392">
              <w:rPr>
                <w:rFonts w:ascii="Times New Roman" w:hAnsi="Times New Roman"/>
                <w:sz w:val="28"/>
                <w:szCs w:val="28"/>
              </w:rPr>
              <w:lastRenderedPageBreak/>
              <w:t xml:space="preserve">         3. </w:t>
            </w:r>
            <w:r w:rsidRPr="00882392">
              <w:rPr>
                <w:rStyle w:val="rvts0"/>
                <w:rFonts w:ascii="Times New Roman" w:hAnsi="Times New Roman"/>
                <w:sz w:val="28"/>
                <w:szCs w:val="28"/>
              </w:rPr>
              <w:t>Дії, передбачені частинами першою або другою цієї статті,</w:t>
            </w:r>
            <w:r w:rsidRPr="00882392">
              <w:rPr>
                <w:rFonts w:ascii="Times New Roman" w:hAnsi="Times New Roman"/>
                <w:sz w:val="28"/>
                <w:szCs w:val="28"/>
              </w:rPr>
              <w:t xml:space="preserve"> поєднані з обвинуваченням у вчиненні тяжкого чи особливо тяжкого злочину, -</w:t>
            </w:r>
          </w:p>
          <w:p w:rsidR="001E18D3" w:rsidRPr="00905F87" w:rsidRDefault="001E18D3" w:rsidP="00133359">
            <w:pPr>
              <w:ind w:firstLine="708"/>
              <w:jc w:val="both"/>
              <w:rPr>
                <w:rFonts w:ascii="Times New Roman" w:hAnsi="Times New Roman"/>
                <w:sz w:val="28"/>
                <w:szCs w:val="28"/>
              </w:rPr>
            </w:pPr>
            <w:r>
              <w:rPr>
                <w:rFonts w:ascii="Times New Roman" w:hAnsi="Times New Roman"/>
                <w:sz w:val="28"/>
                <w:szCs w:val="28"/>
              </w:rPr>
              <w:t>караю</w:t>
            </w:r>
            <w:r w:rsidRPr="00882392">
              <w:rPr>
                <w:rFonts w:ascii="Times New Roman" w:hAnsi="Times New Roman"/>
                <w:sz w:val="28"/>
                <w:szCs w:val="28"/>
              </w:rPr>
              <w:t xml:space="preserve">ться обмеженням волі на строк від двох до п'яти років або позбавленням волі на строк до трьох років, з позбавленням права обіймати певні посади </w:t>
            </w:r>
            <w:r>
              <w:rPr>
                <w:rFonts w:ascii="Times New Roman" w:hAnsi="Times New Roman"/>
                <w:sz w:val="28"/>
                <w:szCs w:val="28"/>
              </w:rPr>
              <w:t>чи</w:t>
            </w:r>
            <w:r w:rsidRPr="00882392">
              <w:rPr>
                <w:rFonts w:ascii="Times New Roman" w:hAnsi="Times New Roman"/>
                <w:sz w:val="28"/>
                <w:szCs w:val="28"/>
              </w:rPr>
              <w:t xml:space="preserve"> займатися певною діяльністю на строк до трьох років</w:t>
            </w:r>
            <w:r>
              <w:rPr>
                <w:rFonts w:ascii="Times New Roman" w:hAnsi="Times New Roman"/>
                <w:sz w:val="28"/>
                <w:szCs w:val="28"/>
              </w:rPr>
              <w:t xml:space="preserve"> або без такого</w:t>
            </w:r>
            <w:r w:rsidRPr="00882392">
              <w:rPr>
                <w:rFonts w:ascii="Times New Roman" w:hAnsi="Times New Roman"/>
                <w:sz w:val="28"/>
                <w:szCs w:val="28"/>
              </w:rPr>
              <w:t>.</w:t>
            </w:r>
          </w:p>
        </w:tc>
      </w:tr>
      <w:tr w:rsidR="001E18D3" w:rsidRPr="00905F87" w:rsidTr="00133359">
        <w:tc>
          <w:tcPr>
            <w:tcW w:w="7560" w:type="dxa"/>
          </w:tcPr>
          <w:p w:rsidR="001E18D3" w:rsidRPr="00905F87" w:rsidRDefault="001E18D3" w:rsidP="00133359">
            <w:pPr>
              <w:spacing w:before="100" w:beforeAutospacing="1" w:after="100" w:afterAutospacing="1"/>
              <w:rPr>
                <w:rFonts w:ascii="Times New Roman" w:hAnsi="Times New Roman"/>
                <w:b/>
                <w:sz w:val="28"/>
                <w:szCs w:val="28"/>
                <w:lang w:eastAsia="uk-UA"/>
              </w:rPr>
            </w:pPr>
          </w:p>
        </w:tc>
        <w:tc>
          <w:tcPr>
            <w:tcW w:w="7560" w:type="dxa"/>
          </w:tcPr>
          <w:p w:rsidR="001E18D3" w:rsidRPr="00905F87" w:rsidRDefault="001E18D3" w:rsidP="00133359">
            <w:pPr>
              <w:spacing w:before="100" w:beforeAutospacing="1" w:after="100" w:afterAutospacing="1"/>
              <w:ind w:firstLine="709"/>
              <w:jc w:val="both"/>
              <w:rPr>
                <w:rFonts w:ascii="Times New Roman" w:hAnsi="Times New Roman"/>
                <w:b/>
                <w:sz w:val="28"/>
              </w:rPr>
            </w:pPr>
          </w:p>
        </w:tc>
      </w:tr>
    </w:tbl>
    <w:p w:rsidR="001E18D3" w:rsidRDefault="001E18D3" w:rsidP="001E18D3">
      <w:pPr>
        <w:rPr>
          <w:rFonts w:ascii="Times New Roman" w:hAnsi="Times New Roman"/>
        </w:rPr>
      </w:pPr>
    </w:p>
    <w:p w:rsidR="001E18D3" w:rsidRDefault="001E18D3" w:rsidP="001E18D3">
      <w:pPr>
        <w:rPr>
          <w:rFonts w:ascii="Times New Roman" w:hAnsi="Times New Roman"/>
          <w:b/>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05F87">
        <w:rPr>
          <w:rFonts w:ascii="Times New Roman" w:hAnsi="Times New Roman"/>
          <w:b/>
          <w:sz w:val="28"/>
          <w:szCs w:val="28"/>
        </w:rPr>
        <w:t>Кримінальний процесуальний кодекс України</w:t>
      </w:r>
    </w:p>
    <w:p w:rsidR="001E18D3" w:rsidRDefault="001E18D3" w:rsidP="001E18D3">
      <w:pPr>
        <w:rPr>
          <w:rFonts w:ascii="Times New Roman" w:hAnsi="Times New Roman"/>
          <w:b/>
          <w:sz w:val="28"/>
          <w:szCs w:val="28"/>
        </w:rPr>
      </w:pPr>
    </w:p>
    <w:tbl>
      <w:tblPr>
        <w:tblStyle w:val="a3"/>
        <w:tblW w:w="0" w:type="auto"/>
        <w:tblLook w:val="04A0" w:firstRow="1" w:lastRow="0" w:firstColumn="1" w:lastColumn="0" w:noHBand="0" w:noVBand="1"/>
      </w:tblPr>
      <w:tblGrid>
        <w:gridCol w:w="7564"/>
        <w:gridCol w:w="7564"/>
      </w:tblGrid>
      <w:tr w:rsidR="001E18D3" w:rsidTr="00133359">
        <w:tc>
          <w:tcPr>
            <w:tcW w:w="7564" w:type="dxa"/>
          </w:tcPr>
          <w:p w:rsidR="001E18D3" w:rsidRPr="00905F87" w:rsidRDefault="001E18D3" w:rsidP="00133359">
            <w:pPr>
              <w:pStyle w:val="rvps2"/>
              <w:jc w:val="both"/>
              <w:rPr>
                <w:sz w:val="28"/>
                <w:szCs w:val="28"/>
              </w:rPr>
            </w:pPr>
            <w:r w:rsidRPr="00905F87">
              <w:rPr>
                <w:rStyle w:val="rvts9"/>
                <w:sz w:val="28"/>
                <w:szCs w:val="28"/>
              </w:rPr>
              <w:t>Стаття 477.</w:t>
            </w:r>
            <w:r w:rsidRPr="00905F87">
              <w:rPr>
                <w:sz w:val="28"/>
                <w:szCs w:val="28"/>
              </w:rPr>
              <w:t xml:space="preserve"> Поняття кримінального провадження у формі приватного обвинувачення</w:t>
            </w:r>
          </w:p>
          <w:p w:rsidR="001E18D3" w:rsidRPr="00905F87" w:rsidRDefault="001E18D3" w:rsidP="00133359">
            <w:pPr>
              <w:pStyle w:val="rvps2"/>
              <w:jc w:val="both"/>
              <w:rPr>
                <w:sz w:val="28"/>
                <w:szCs w:val="28"/>
              </w:rPr>
            </w:pPr>
            <w:bookmarkStart w:id="1" w:name="n3846"/>
            <w:bookmarkEnd w:id="1"/>
            <w:r>
              <w:rPr>
                <w:sz w:val="28"/>
                <w:szCs w:val="28"/>
              </w:rPr>
              <w:t xml:space="preserve">     </w:t>
            </w:r>
            <w:r w:rsidRPr="00905F87">
              <w:rPr>
                <w:sz w:val="28"/>
                <w:szCs w:val="28"/>
              </w:rPr>
              <w:t>1. Кримінальним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кримінальних правопорушень, передбачених:</w:t>
            </w:r>
          </w:p>
          <w:p w:rsidR="001E18D3" w:rsidRPr="00905F87" w:rsidRDefault="001E18D3" w:rsidP="00133359">
            <w:pPr>
              <w:pStyle w:val="rvps2"/>
              <w:jc w:val="both"/>
              <w:rPr>
                <w:sz w:val="28"/>
                <w:szCs w:val="28"/>
              </w:rPr>
            </w:pPr>
            <w:bookmarkStart w:id="2" w:name="n3847"/>
            <w:bookmarkEnd w:id="2"/>
            <w:r>
              <w:rPr>
                <w:sz w:val="28"/>
                <w:szCs w:val="28"/>
              </w:rPr>
              <w:t xml:space="preserve">     </w:t>
            </w:r>
            <w:r w:rsidRPr="00905F87">
              <w:rPr>
                <w:sz w:val="28"/>
                <w:szCs w:val="28"/>
              </w:rPr>
              <w:t xml:space="preserve">1) частиною першою статті 122 (умисне середньої тяжкості тілесне ушкодження без обтяжуючих обставин), статтею 125 (умисне легке тілесне ушкодження), частиною першою статті 126 (умисне завдання удару, побоїв або вчинення інших насильницьких дій, без обтяжуючих обставин), частиною першою статті 129 (погроза вбивством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частиною першою статті </w:t>
            </w:r>
            <w:r w:rsidRPr="00905F87">
              <w:rPr>
                <w:sz w:val="28"/>
                <w:szCs w:val="28"/>
              </w:rPr>
              <w:lastRenderedPageBreak/>
              <w:t xml:space="preserve">133 (зараження венеричною хворобою без обтяжуючих обставин), частиною першою статті 135 (залишення в небезпеці без обтяжуючих обставин), частиною першою статті 136 (ненадання допомоги особі, яка перебуває в небезпечному для життя стані, без обтяжуючих обставин), частиною першою статті 139 (ненадання допомоги хворому медичним працівником без обтяжуючих обставин), частиною першою статті 142 (незаконне проведення дослідів над людиною без обтяжуючих обставин), статтею 145 (незаконне розголошення лікарської таємниці), частиною першою статті 152 (зґвалтування без обтяжуючих обставин), статтею 154 (примушування до вступу в статевий зв’язок), частиною першою статті 161 (порушення рівноправності громадян залежно від їх расової, національної належності або релігійних переконань без обтяжуючих обставин), частиною першою статті 162 (порушення недоторканності житла без обтяжуючих обставин), частиною першою статті 163 (порушення таємниці листування, телефонних розмов, телеграфної чи іншої кореспонденції, що передаються засобами зв’язку або через комп’ютер, без обтяжуючих обставин), частиною першою статті 164 (ухилення від сплати аліментів на утримання дітей без обтяжуючих обставин), частиною першою статті 165 (ухилення від сплати коштів на утримання непрацездатних батьків без обтяжуючих обставин), частиною першою статті 168 (розголошення таємниці усиновлення (удочеріння) без обтяжуючих обставин), частиною першою статті 176 (порушення авторського права і суміжних прав без обтяжуючих </w:t>
            </w:r>
            <w:r w:rsidRPr="00905F87">
              <w:rPr>
                <w:sz w:val="28"/>
                <w:szCs w:val="28"/>
              </w:rPr>
              <w:lastRenderedPageBreak/>
              <w:t>обставин), частиною першою статті 177 (порушення прав на винахід, корисну модель, промисловий зразок, топографію інтегральної мікросхеми, сорт рослин, раціоналізаторську пропозицію), статтею 180 (перешкоджання здійсненню релігійного обряду), статтею 182 (порушення недоторканності приватного життя), частиною першою статті 194 (умисне знищення або пошкодження майна без обтяжуючих обставин), статтею 195 (погроза знищення майна), статтею 197 (порушення обов’язків щодо охорони майна), статтею 203</w:t>
            </w:r>
            <w:r w:rsidRPr="00905F87">
              <w:rPr>
                <w:rStyle w:val="rvts37"/>
                <w:sz w:val="28"/>
                <w:szCs w:val="28"/>
              </w:rPr>
              <w:t>-1</w:t>
            </w:r>
            <w:r w:rsidRPr="00905F87">
              <w:rPr>
                <w:sz w:val="28"/>
                <w:szCs w:val="28"/>
              </w:rPr>
              <w:t xml:space="preserve"> (незаконний обіг дисків для лазерних систем зчитування, матриць, обладнання та сировини для їх виробництва), частиною першою статті 206 (протидія законній господарській діяльності без обтяжуючих обставин), статтею 219 (доведення до банкрутства - щодо дій, якими завдано шкоду кредиторам), статтею 229 (незаконне використання </w:t>
            </w:r>
            <w:proofErr w:type="spellStart"/>
            <w:r w:rsidRPr="00905F87">
              <w:rPr>
                <w:sz w:val="28"/>
                <w:szCs w:val="28"/>
              </w:rPr>
              <w:t>знака</w:t>
            </w:r>
            <w:proofErr w:type="spellEnd"/>
            <w:r w:rsidRPr="00905F87">
              <w:rPr>
                <w:sz w:val="28"/>
                <w:szCs w:val="28"/>
              </w:rPr>
              <w:t xml:space="preserve"> для товарів і послуг, фірмового найменування, кваліфікованого зазначення походження товару), статтею 231 (незаконне збирання з метою використання або використання відомостей, що становлять комерційну або банківську таємницю), статтею 232 (розголошення комерційної або банківської таємниці), статтею 232</w:t>
            </w:r>
            <w:r w:rsidRPr="00905F87">
              <w:rPr>
                <w:rStyle w:val="rvts37"/>
                <w:sz w:val="28"/>
                <w:szCs w:val="28"/>
              </w:rPr>
              <w:t>-1</w:t>
            </w:r>
            <w:r w:rsidRPr="00905F87">
              <w:rPr>
                <w:sz w:val="28"/>
                <w:szCs w:val="28"/>
              </w:rPr>
              <w:t xml:space="preserve"> (незаконне використання </w:t>
            </w:r>
            <w:proofErr w:type="spellStart"/>
            <w:r w:rsidRPr="00905F87">
              <w:rPr>
                <w:sz w:val="28"/>
                <w:szCs w:val="28"/>
              </w:rPr>
              <w:t>інсайдерської</w:t>
            </w:r>
            <w:proofErr w:type="spellEnd"/>
            <w:r w:rsidRPr="00905F87">
              <w:rPr>
                <w:sz w:val="28"/>
                <w:szCs w:val="28"/>
              </w:rPr>
              <w:t xml:space="preserve"> інформації - щодо дій, якими заподіяно шкоду правам, свободам та інтересам окремих громадян або інтересам юридичних осіб), статтею 232</w:t>
            </w:r>
            <w:r w:rsidRPr="00905F87">
              <w:rPr>
                <w:rStyle w:val="rvts37"/>
                <w:sz w:val="28"/>
                <w:szCs w:val="28"/>
              </w:rPr>
              <w:t>-2</w:t>
            </w:r>
            <w:r w:rsidRPr="00905F87">
              <w:rPr>
                <w:sz w:val="28"/>
                <w:szCs w:val="28"/>
              </w:rPr>
              <w:t xml:space="preserve"> (приховування інформації про діяльність емітента), частиною першою статті 355 (примушування до виконання чи невиконання цивільно-правових зобов’язань без обтяжуючих обставин), статтею 356 </w:t>
            </w:r>
            <w:r w:rsidRPr="00905F87">
              <w:rPr>
                <w:sz w:val="28"/>
                <w:szCs w:val="28"/>
              </w:rPr>
              <w:lastRenderedPageBreak/>
              <w:t>(самоправство - щодо дій, якими заподіяно шкоду правам та інтересам окремих громадян або інтересам власника), частиною першою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без обтяжуючих обставин), частиною першою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без обтяжуючих обставин), статтею 364</w:t>
            </w:r>
            <w:r w:rsidRPr="00905F87">
              <w:rPr>
                <w:rStyle w:val="rvts37"/>
                <w:sz w:val="28"/>
                <w:szCs w:val="28"/>
              </w:rPr>
              <w:t>-1</w:t>
            </w:r>
            <w:r w:rsidRPr="00905F87">
              <w:rPr>
                <w:sz w:val="28"/>
                <w:szCs w:val="28"/>
              </w:rPr>
              <w:t xml:space="preserve"> (зловживання повноваженнями службовою особою юридичної особи приватного права незалежно від організаційно-правової форми), статтею 365</w:t>
            </w:r>
            <w:r w:rsidRPr="00905F87">
              <w:rPr>
                <w:rStyle w:val="rvts37"/>
                <w:sz w:val="28"/>
                <w:szCs w:val="28"/>
              </w:rPr>
              <w:t>-1</w:t>
            </w:r>
            <w:r w:rsidRPr="00905F87">
              <w:rPr>
                <w:sz w:val="28"/>
                <w:szCs w:val="28"/>
              </w:rPr>
              <w:t xml:space="preserve"> (перевищення повноважень службовою особою юридичної особи приватного права незалежно від організаційно-правової форми), статтею 365</w:t>
            </w:r>
            <w:r w:rsidRPr="00905F87">
              <w:rPr>
                <w:rStyle w:val="rvts37"/>
                <w:sz w:val="28"/>
                <w:szCs w:val="28"/>
              </w:rPr>
              <w:t>-2</w:t>
            </w:r>
            <w:r w:rsidRPr="00905F87">
              <w:rPr>
                <w:sz w:val="28"/>
                <w:szCs w:val="28"/>
              </w:rPr>
              <w:t xml:space="preserve"> (зловживання повноваженнями особами, які надають публічні послуги) </w:t>
            </w:r>
            <w:hyperlink r:id="rId6" w:tgtFrame="_blank" w:history="1">
              <w:r w:rsidRPr="00905F87">
                <w:rPr>
                  <w:rStyle w:val="a4"/>
                  <w:color w:val="auto"/>
                  <w:sz w:val="28"/>
                  <w:szCs w:val="28"/>
                  <w:u w:val="none"/>
                </w:rPr>
                <w:t>Кримінального кодексу України</w:t>
              </w:r>
            </w:hyperlink>
            <w:r w:rsidRPr="00905F87">
              <w:rPr>
                <w:sz w:val="28"/>
                <w:szCs w:val="28"/>
              </w:rPr>
              <w:t>;</w:t>
            </w:r>
          </w:p>
        </w:tc>
        <w:tc>
          <w:tcPr>
            <w:tcW w:w="7564" w:type="dxa"/>
          </w:tcPr>
          <w:p w:rsidR="001E18D3" w:rsidRPr="00905F87" w:rsidRDefault="001E18D3" w:rsidP="00133359">
            <w:pPr>
              <w:pStyle w:val="rvps2"/>
              <w:jc w:val="both"/>
              <w:rPr>
                <w:sz w:val="28"/>
                <w:szCs w:val="28"/>
              </w:rPr>
            </w:pPr>
            <w:r w:rsidRPr="00905F87">
              <w:rPr>
                <w:rStyle w:val="rvts9"/>
                <w:sz w:val="28"/>
                <w:szCs w:val="28"/>
              </w:rPr>
              <w:lastRenderedPageBreak/>
              <w:t>Стаття 477.</w:t>
            </w:r>
            <w:r w:rsidRPr="00905F87">
              <w:rPr>
                <w:sz w:val="28"/>
                <w:szCs w:val="28"/>
              </w:rPr>
              <w:t xml:space="preserve"> Поняття кримінального провадження у формі приватного обвинувачення</w:t>
            </w:r>
          </w:p>
          <w:p w:rsidR="001E18D3" w:rsidRPr="00905F87" w:rsidRDefault="001E18D3" w:rsidP="00133359">
            <w:pPr>
              <w:pStyle w:val="rvps2"/>
              <w:jc w:val="both"/>
              <w:rPr>
                <w:sz w:val="28"/>
                <w:szCs w:val="28"/>
              </w:rPr>
            </w:pPr>
            <w:r>
              <w:rPr>
                <w:sz w:val="28"/>
                <w:szCs w:val="28"/>
              </w:rPr>
              <w:t xml:space="preserve">      </w:t>
            </w:r>
            <w:r w:rsidRPr="00905F87">
              <w:rPr>
                <w:sz w:val="28"/>
                <w:szCs w:val="28"/>
              </w:rPr>
              <w:t>1. Кримінальним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кримінальних правопорушень, передбачених:</w:t>
            </w:r>
          </w:p>
          <w:p w:rsidR="001E18D3" w:rsidRPr="00A94905" w:rsidRDefault="001E18D3" w:rsidP="00133359">
            <w:pPr>
              <w:pStyle w:val="rvps2"/>
              <w:jc w:val="both"/>
              <w:rPr>
                <w:sz w:val="28"/>
                <w:szCs w:val="28"/>
              </w:rPr>
            </w:pPr>
            <w:r>
              <w:rPr>
                <w:sz w:val="28"/>
                <w:szCs w:val="28"/>
              </w:rPr>
              <w:t xml:space="preserve">     </w:t>
            </w:r>
            <w:r w:rsidRPr="00905F87">
              <w:rPr>
                <w:sz w:val="28"/>
                <w:szCs w:val="28"/>
              </w:rPr>
              <w:t xml:space="preserve">1) частиною першою статті 122 (умисне середньої тяжкості тілесне ушкодження без обтяжуючих обставин), статтею 125 (умисне легке тілесне ушкодження), частиною першою статті 126 (умисне завдання удару, побоїв або вчинення інших насильницьких дій, без обтяжуючих обставин), частиною першою статті 129 (погроза вбивством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частиною першою статті </w:t>
            </w:r>
            <w:r w:rsidRPr="00905F87">
              <w:rPr>
                <w:sz w:val="28"/>
                <w:szCs w:val="28"/>
              </w:rPr>
              <w:lastRenderedPageBreak/>
              <w:t xml:space="preserve">133 (зараження венеричною хворобою без обтяжуючих обставин), частиною першою статті 135 (залишення в небезпеці без обтяжуючих обставин), частиною першою статті 136 (ненадання допомоги особі, яка перебуває в небезпечному для життя стані, без обтяжуючих обставин), частиною першою статті 139 (ненадання допомоги хворому медичним працівником без обтяжуючих обставин), частиною першою статті 142 (незаконне проведення дослідів над людиною без обтяжуючих обставин), статтею 145 (незаконне розголошення лікарської таємниці), </w:t>
            </w:r>
            <w:r w:rsidRPr="00905F87">
              <w:rPr>
                <w:rStyle w:val="rvts0"/>
                <w:b/>
                <w:sz w:val="28"/>
                <w:szCs w:val="28"/>
              </w:rPr>
              <w:t>статтею 151</w:t>
            </w:r>
            <w:r w:rsidRPr="00905F87">
              <w:rPr>
                <w:rStyle w:val="rvts0"/>
                <w:b/>
                <w:sz w:val="28"/>
                <w:szCs w:val="28"/>
                <w:vertAlign w:val="superscript"/>
              </w:rPr>
              <w:t xml:space="preserve">2 </w:t>
            </w:r>
            <w:r w:rsidRPr="00905F87">
              <w:rPr>
                <w:rStyle w:val="rvts0"/>
                <w:b/>
                <w:sz w:val="28"/>
                <w:szCs w:val="28"/>
              </w:rPr>
              <w:t>(наклеп)</w:t>
            </w:r>
            <w:r>
              <w:rPr>
                <w:rStyle w:val="rvts0"/>
                <w:sz w:val="28"/>
                <w:szCs w:val="28"/>
              </w:rPr>
              <w:t xml:space="preserve">, </w:t>
            </w:r>
            <w:r w:rsidRPr="00905F87">
              <w:rPr>
                <w:sz w:val="28"/>
                <w:szCs w:val="28"/>
              </w:rPr>
              <w:t xml:space="preserve">частиною першою статті 152 (зґвалтування без обтяжуючих обставин), статтею 154 (примушування до вступу в статевий зв’язок), частиною першою статті 161 (порушення рівноправності громадян залежно від їх расової, національної належності або релігійних переконань без обтяжуючих обставин), частиною першою статті 162 (порушення недоторканності житла без обтяжуючих обставин), частиною першою статті 163 (порушення таємниці листування, телефонних розмов, телеграфної чи іншої кореспонденції, що передаються засобами зв’язку або через комп’ютер, без обтяжуючих обставин), частиною першою статті 164 (ухилення від сплати аліментів на утримання дітей без обтяжуючих обставин), частиною першою статті 165 (ухилення від сплати коштів на утримання непрацездатних батьків без обтяжуючих обставин), частиною першою статті 168 (розголошення таємниці усиновлення (удочеріння) без обтяжуючих обставин), частиною першою статті 176 (порушення авторського права і суміжних прав без </w:t>
            </w:r>
            <w:r w:rsidRPr="00905F87">
              <w:rPr>
                <w:sz w:val="28"/>
                <w:szCs w:val="28"/>
              </w:rPr>
              <w:lastRenderedPageBreak/>
              <w:t>обтяжуючих обставин), частиною першою статті 177 (порушення прав на винахід, корисну модель, промисловий зразок, топографію інтегральної мікросхеми, сорт рослин, раціоналізаторську пропозицію), статтею 180 (перешкоджання здійсненню релігійного обряду), статтею 182 (порушення недоторканності приватного життя), частиною першою статті 194 (умисне знищення або пошкодження майна без обтяжуючих обставин), статтею 195 (погроза знищення майна), статтею 197 (порушення обов’язків щодо охорони майна), статтею 203</w:t>
            </w:r>
            <w:r w:rsidRPr="00905F87">
              <w:rPr>
                <w:rStyle w:val="rvts37"/>
                <w:sz w:val="28"/>
                <w:szCs w:val="28"/>
              </w:rPr>
              <w:t>-1</w:t>
            </w:r>
            <w:r w:rsidRPr="00905F87">
              <w:rPr>
                <w:sz w:val="28"/>
                <w:szCs w:val="28"/>
              </w:rPr>
              <w:t xml:space="preserve"> (незаконний обіг дисків для лазерних систем зчитування, матриць, обладнання та сировини для їх виробництва), частиною першою статті 206 (протидія законній господарській діяльності без обтяжуючих обставин), статтею 219 (доведення до банкрутства - щодо дій, якими завдано шкоду кредиторам), статтею 229 (незаконне використання </w:t>
            </w:r>
            <w:proofErr w:type="spellStart"/>
            <w:r w:rsidRPr="00905F87">
              <w:rPr>
                <w:sz w:val="28"/>
                <w:szCs w:val="28"/>
              </w:rPr>
              <w:t>знака</w:t>
            </w:r>
            <w:proofErr w:type="spellEnd"/>
            <w:r w:rsidRPr="00905F87">
              <w:rPr>
                <w:sz w:val="28"/>
                <w:szCs w:val="28"/>
              </w:rPr>
              <w:t xml:space="preserve"> для товарів і послуг, фірмового найменування, кваліфікованого зазначення походження товару), статтею 231 (незаконне збирання з метою використання або використання відомостей, що становлять комерційну або банківську таємницю), статтею 232 (розголошення комерційної або банківської таємниці), статтею 232</w:t>
            </w:r>
            <w:r w:rsidRPr="00905F87">
              <w:rPr>
                <w:rStyle w:val="rvts37"/>
                <w:sz w:val="28"/>
                <w:szCs w:val="28"/>
              </w:rPr>
              <w:t>-1</w:t>
            </w:r>
            <w:r w:rsidRPr="00905F87">
              <w:rPr>
                <w:sz w:val="28"/>
                <w:szCs w:val="28"/>
              </w:rPr>
              <w:t xml:space="preserve"> (незаконне використання </w:t>
            </w:r>
            <w:proofErr w:type="spellStart"/>
            <w:r w:rsidRPr="00905F87">
              <w:rPr>
                <w:sz w:val="28"/>
                <w:szCs w:val="28"/>
              </w:rPr>
              <w:t>інсайдерської</w:t>
            </w:r>
            <w:proofErr w:type="spellEnd"/>
            <w:r w:rsidRPr="00905F87">
              <w:rPr>
                <w:sz w:val="28"/>
                <w:szCs w:val="28"/>
              </w:rPr>
              <w:t xml:space="preserve"> інформації - щодо дій, якими заподіяно шкоду правам, свободам та інтересам окремих громадян або інтересам юридичних осіб), статтею 232</w:t>
            </w:r>
            <w:r w:rsidRPr="00905F87">
              <w:rPr>
                <w:rStyle w:val="rvts37"/>
                <w:sz w:val="28"/>
                <w:szCs w:val="28"/>
              </w:rPr>
              <w:t>-2</w:t>
            </w:r>
            <w:r w:rsidRPr="00905F87">
              <w:rPr>
                <w:sz w:val="28"/>
                <w:szCs w:val="28"/>
              </w:rPr>
              <w:t xml:space="preserve"> (приховування інформації про діяльність емітента), частиною першою статті 355 (примушування до виконання чи невиконання цивільно-правових зобов’язань без обтяжуючих </w:t>
            </w:r>
            <w:r w:rsidRPr="00905F87">
              <w:rPr>
                <w:sz w:val="28"/>
                <w:szCs w:val="28"/>
              </w:rPr>
              <w:lastRenderedPageBreak/>
              <w:t>обставин), статтею 356 (самоправство - щодо дій, якими заподіяно шкоду правам та інтересам окремих громадян або інтересам власника), частиною першою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без обтяжуючих обставин), частиною першою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без обтяжуючих обставин), статтею 364</w:t>
            </w:r>
            <w:r w:rsidRPr="00905F87">
              <w:rPr>
                <w:rStyle w:val="rvts37"/>
                <w:sz w:val="28"/>
                <w:szCs w:val="28"/>
              </w:rPr>
              <w:t>-1</w:t>
            </w:r>
            <w:r w:rsidRPr="00905F87">
              <w:rPr>
                <w:sz w:val="28"/>
                <w:szCs w:val="28"/>
              </w:rPr>
              <w:t xml:space="preserve"> (зловживання повноваженнями службовою особою юридичної особи приватного права незалежно від організаційно-правової форми), статтею 365</w:t>
            </w:r>
            <w:r w:rsidRPr="00905F87">
              <w:rPr>
                <w:rStyle w:val="rvts37"/>
                <w:sz w:val="28"/>
                <w:szCs w:val="28"/>
              </w:rPr>
              <w:t>-1</w:t>
            </w:r>
            <w:r w:rsidRPr="00905F87">
              <w:rPr>
                <w:sz w:val="28"/>
                <w:szCs w:val="28"/>
              </w:rPr>
              <w:t xml:space="preserve"> (перевищення повноважень службовою особою юридичної особи приватного права незалежно від організаційно-правової форми), статтею 365</w:t>
            </w:r>
            <w:r w:rsidRPr="00905F87">
              <w:rPr>
                <w:rStyle w:val="rvts37"/>
                <w:sz w:val="28"/>
                <w:szCs w:val="28"/>
              </w:rPr>
              <w:t>-2</w:t>
            </w:r>
            <w:r w:rsidRPr="00905F87">
              <w:rPr>
                <w:sz w:val="28"/>
                <w:szCs w:val="28"/>
              </w:rPr>
              <w:t xml:space="preserve"> (зловживання повноваженнями особами, які надають публічні послуги) </w:t>
            </w:r>
            <w:hyperlink r:id="rId7" w:tgtFrame="_blank" w:history="1">
              <w:r w:rsidRPr="00905F87">
                <w:rPr>
                  <w:rStyle w:val="a4"/>
                  <w:color w:val="auto"/>
                  <w:sz w:val="28"/>
                  <w:szCs w:val="28"/>
                  <w:u w:val="none"/>
                </w:rPr>
                <w:t>Кримінального кодексу України</w:t>
              </w:r>
            </w:hyperlink>
            <w:r w:rsidRPr="00905F87">
              <w:rPr>
                <w:sz w:val="28"/>
                <w:szCs w:val="28"/>
              </w:rPr>
              <w:t>;</w:t>
            </w:r>
          </w:p>
        </w:tc>
      </w:tr>
    </w:tbl>
    <w:p w:rsidR="001E18D3" w:rsidRDefault="001E18D3" w:rsidP="001E18D3">
      <w:pPr>
        <w:rPr>
          <w:rFonts w:ascii="Times New Roman" w:hAnsi="Times New Roman"/>
          <w:b/>
          <w:sz w:val="28"/>
          <w:szCs w:val="28"/>
        </w:rPr>
      </w:pPr>
    </w:p>
    <w:p w:rsidR="001E18D3" w:rsidRDefault="001E18D3" w:rsidP="001E18D3">
      <w:pPr>
        <w:rPr>
          <w:rFonts w:ascii="Times New Roman" w:hAnsi="Times New Roman"/>
          <w:b/>
          <w:sz w:val="28"/>
          <w:szCs w:val="28"/>
        </w:rPr>
      </w:pPr>
      <w:r>
        <w:rPr>
          <w:rFonts w:ascii="Times New Roman" w:hAnsi="Times New Roman"/>
          <w:b/>
          <w:sz w:val="28"/>
          <w:szCs w:val="28"/>
        </w:rPr>
        <w:t>Народний депутат України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М.П. Паламарчук</w:t>
      </w:r>
    </w:p>
    <w:p w:rsidR="00263A39" w:rsidRPr="00263A39" w:rsidRDefault="00263A39" w:rsidP="00263A39">
      <w:pPr>
        <w:ind w:left="11340"/>
        <w:rPr>
          <w:rFonts w:ascii="Times New Roman" w:hAnsi="Times New Roman"/>
          <w:b/>
          <w:sz w:val="28"/>
          <w:szCs w:val="28"/>
        </w:rPr>
      </w:pPr>
      <w:r w:rsidRPr="00263A39">
        <w:rPr>
          <w:rFonts w:ascii="Times New Roman" w:hAnsi="Times New Roman"/>
          <w:b/>
          <w:sz w:val="28"/>
          <w:szCs w:val="28"/>
        </w:rPr>
        <w:t>А.Л. Палатний</w:t>
      </w:r>
    </w:p>
    <w:p w:rsidR="00263A39" w:rsidRPr="00905F87" w:rsidRDefault="00263A39" w:rsidP="00263A39">
      <w:pPr>
        <w:ind w:left="11340"/>
        <w:rPr>
          <w:rFonts w:ascii="Times New Roman" w:hAnsi="Times New Roman"/>
          <w:b/>
          <w:sz w:val="28"/>
          <w:szCs w:val="28"/>
        </w:rPr>
      </w:pPr>
      <w:r w:rsidRPr="00263A39">
        <w:rPr>
          <w:rFonts w:ascii="Times New Roman" w:hAnsi="Times New Roman"/>
          <w:b/>
          <w:sz w:val="28"/>
          <w:szCs w:val="28"/>
        </w:rPr>
        <w:t xml:space="preserve">О.М. </w:t>
      </w:r>
      <w:proofErr w:type="spellStart"/>
      <w:r w:rsidRPr="00263A39">
        <w:rPr>
          <w:rFonts w:ascii="Times New Roman" w:hAnsi="Times New Roman"/>
          <w:b/>
          <w:sz w:val="28"/>
          <w:szCs w:val="28"/>
        </w:rPr>
        <w:t>Велікін</w:t>
      </w:r>
      <w:proofErr w:type="spellEnd"/>
    </w:p>
    <w:p w:rsidR="004A29CD" w:rsidRDefault="004A29CD"/>
    <w:sectPr w:rsidR="004A29CD" w:rsidSect="00905F87">
      <w:foot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FD" w:rsidRDefault="00DA77FD">
      <w:r>
        <w:separator/>
      </w:r>
    </w:p>
  </w:endnote>
  <w:endnote w:type="continuationSeparator" w:id="0">
    <w:p w:rsidR="00DA77FD" w:rsidRDefault="00DA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F7" w:rsidRDefault="001E18D3">
    <w:pPr>
      <w:pStyle w:val="a5"/>
      <w:jc w:val="right"/>
    </w:pPr>
    <w:r>
      <w:fldChar w:fldCharType="begin"/>
    </w:r>
    <w:r>
      <w:instrText>PAGE   \* MERGEFORMAT</w:instrText>
    </w:r>
    <w:r>
      <w:fldChar w:fldCharType="separate"/>
    </w:r>
    <w:r w:rsidR="006124E2">
      <w:rPr>
        <w:noProof/>
      </w:rPr>
      <w:t>2</w:t>
    </w:r>
    <w:r>
      <w:fldChar w:fldCharType="end"/>
    </w:r>
  </w:p>
  <w:p w:rsidR="00A94905" w:rsidRDefault="006124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FD" w:rsidRDefault="00DA77FD">
      <w:r>
        <w:separator/>
      </w:r>
    </w:p>
  </w:footnote>
  <w:footnote w:type="continuationSeparator" w:id="0">
    <w:p w:rsidR="00DA77FD" w:rsidRDefault="00DA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99"/>
    <w:rsid w:val="001E18D3"/>
    <w:rsid w:val="00263A39"/>
    <w:rsid w:val="004A29CD"/>
    <w:rsid w:val="006124E2"/>
    <w:rsid w:val="00841304"/>
    <w:rsid w:val="00C60E99"/>
    <w:rsid w:val="00CC599B"/>
    <w:rsid w:val="00DA7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26C16-2ADE-4450-BDC8-A5E34B92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8D3"/>
    <w:pPr>
      <w:spacing w:after="0" w:line="240" w:lineRule="auto"/>
    </w:pPr>
    <w:rPr>
      <w:rFonts w:asciiTheme="minorHAnsi" w:eastAsia="Times New Roman" w:hAnsiTheme="minorHAns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8D3"/>
    <w:pPr>
      <w:spacing w:after="0" w:line="240" w:lineRule="auto"/>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E18D3"/>
    <w:pPr>
      <w:spacing w:before="100" w:beforeAutospacing="1" w:after="100" w:afterAutospacing="1"/>
    </w:pPr>
    <w:rPr>
      <w:rFonts w:ascii="Times New Roman" w:hAnsi="Times New Roman"/>
      <w:sz w:val="24"/>
      <w:szCs w:val="24"/>
      <w:lang w:eastAsia="uk-UA"/>
    </w:rPr>
  </w:style>
  <w:style w:type="character" w:customStyle="1" w:styleId="rvts9">
    <w:name w:val="rvts9"/>
    <w:basedOn w:val="a0"/>
    <w:rsid w:val="001E18D3"/>
    <w:rPr>
      <w:rFonts w:cs="Times New Roman"/>
    </w:rPr>
  </w:style>
  <w:style w:type="character" w:customStyle="1" w:styleId="rvts37">
    <w:name w:val="rvts37"/>
    <w:basedOn w:val="a0"/>
    <w:rsid w:val="001E18D3"/>
    <w:rPr>
      <w:rFonts w:cs="Times New Roman"/>
    </w:rPr>
  </w:style>
  <w:style w:type="character" w:styleId="a4">
    <w:name w:val="Hyperlink"/>
    <w:basedOn w:val="a0"/>
    <w:uiPriority w:val="99"/>
    <w:semiHidden/>
    <w:unhideWhenUsed/>
    <w:rsid w:val="001E18D3"/>
    <w:rPr>
      <w:rFonts w:cs="Times New Roman"/>
      <w:color w:val="0000FF"/>
      <w:u w:val="single"/>
    </w:rPr>
  </w:style>
  <w:style w:type="character" w:customStyle="1" w:styleId="rvts0">
    <w:name w:val="rvts0"/>
    <w:basedOn w:val="a0"/>
    <w:rsid w:val="001E18D3"/>
    <w:rPr>
      <w:rFonts w:cs="Times New Roman"/>
    </w:rPr>
  </w:style>
  <w:style w:type="paragraph" w:styleId="a5">
    <w:name w:val="footer"/>
    <w:basedOn w:val="a"/>
    <w:link w:val="a6"/>
    <w:uiPriority w:val="99"/>
    <w:unhideWhenUsed/>
    <w:rsid w:val="001E18D3"/>
    <w:pPr>
      <w:tabs>
        <w:tab w:val="center" w:pos="4819"/>
        <w:tab w:val="right" w:pos="9639"/>
      </w:tabs>
    </w:pPr>
  </w:style>
  <w:style w:type="character" w:customStyle="1" w:styleId="a6">
    <w:name w:val="Нижній колонтитул Знак"/>
    <w:basedOn w:val="a0"/>
    <w:link w:val="a5"/>
    <w:uiPriority w:val="99"/>
    <w:rsid w:val="001E18D3"/>
    <w:rPr>
      <w:rFonts w:asciiTheme="minorHAnsi" w:eastAsia="Times New Roman"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rada.gov.ua/rada/show/234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rada/show/2341-1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7163</Words>
  <Characters>4084</Characters>
  <Application>Microsoft Office Word</Application>
  <DocSecurity>0</DocSecurity>
  <Lines>34</Lines>
  <Paragraphs>22</Paragraphs>
  <ScaleCrop>false</ScaleCrop>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User_VRU</dc:creator>
  <cp:keywords/>
  <dc:description/>
  <cp:lastModifiedBy>User_VRU</cp:lastModifiedBy>
  <cp:revision>5</cp:revision>
  <dcterms:created xsi:type="dcterms:W3CDTF">2018-11-20T12:27:00Z</dcterms:created>
  <dcterms:modified xsi:type="dcterms:W3CDTF">2018-11-20T15:14:00Z</dcterms:modified>
</cp:coreProperties>
</file>