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E6" w:rsidRDefault="003E77E6" w:rsidP="003E77E6">
      <w:pPr>
        <w:ind w:left="6120"/>
        <w:jc w:val="center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>Д</w:t>
      </w:r>
      <w:r>
        <w:rPr>
          <w:bCs/>
          <w:sz w:val="22"/>
          <w:szCs w:val="22"/>
        </w:rPr>
        <w:t xml:space="preserve">о реєстр. № </w:t>
      </w:r>
      <w:r w:rsidRPr="00F176FC">
        <w:rPr>
          <w:bCs/>
          <w:sz w:val="22"/>
          <w:szCs w:val="22"/>
          <w:lang w:val="ru-RU"/>
        </w:rPr>
        <w:t>2216</w:t>
      </w:r>
      <w:r w:rsidR="00CE0676">
        <w:rPr>
          <w:bCs/>
          <w:sz w:val="22"/>
          <w:szCs w:val="22"/>
        </w:rPr>
        <w:t xml:space="preserve">а </w:t>
      </w:r>
      <w:r>
        <w:rPr>
          <w:bCs/>
          <w:sz w:val="22"/>
          <w:szCs w:val="22"/>
          <w:lang w:val="ru-RU"/>
        </w:rPr>
        <w:t xml:space="preserve"> </w:t>
      </w:r>
    </w:p>
    <w:p w:rsidR="003E77E6" w:rsidRDefault="003E77E6" w:rsidP="003E77E6">
      <w:pPr>
        <w:ind w:left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(друге читання)</w:t>
      </w:r>
    </w:p>
    <w:p w:rsidR="003E77E6" w:rsidRDefault="003E77E6" w:rsidP="003E77E6">
      <w:pPr>
        <w:jc w:val="both"/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</w:rPr>
      </w:pPr>
    </w:p>
    <w:p w:rsidR="003E77E6" w:rsidRDefault="003E77E6" w:rsidP="003E77E6">
      <w:pPr>
        <w:pStyle w:val="a3"/>
        <w:rPr>
          <w:b/>
          <w:bCs/>
          <w:sz w:val="28"/>
          <w:szCs w:val="28"/>
        </w:rPr>
      </w:pPr>
    </w:p>
    <w:p w:rsidR="003E77E6" w:rsidRDefault="003E77E6" w:rsidP="003E77E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А У В А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3E77E6" w:rsidRDefault="003E77E6" w:rsidP="003E77E6">
      <w:pPr>
        <w:pStyle w:val="a3"/>
      </w:pPr>
    </w:p>
    <w:p w:rsidR="003E77E6" w:rsidRDefault="003E77E6" w:rsidP="003E77E6">
      <w:pPr>
        <w:pStyle w:val="a3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до проекту Закону України </w:t>
      </w:r>
    </w:p>
    <w:p w:rsidR="003E77E6" w:rsidRDefault="003E77E6" w:rsidP="003E77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«Про</w:t>
      </w:r>
      <w:r w:rsidR="00CE0676">
        <w:rPr>
          <w:b/>
          <w:sz w:val="28"/>
          <w:szCs w:val="28"/>
        </w:rPr>
        <w:t xml:space="preserve"> внесення змін до деяких законодавчих актів України щодо діяльності технологічних парків</w:t>
      </w:r>
      <w:r>
        <w:rPr>
          <w:b/>
          <w:sz w:val="28"/>
          <w:szCs w:val="28"/>
        </w:rPr>
        <w:t>»</w:t>
      </w:r>
    </w:p>
    <w:p w:rsidR="00F17FC2" w:rsidRPr="00F17FC2" w:rsidRDefault="00F17FC2" w:rsidP="003E77E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Реєстраційний №2216а)</w:t>
      </w:r>
    </w:p>
    <w:p w:rsidR="003E77E6" w:rsidRDefault="003E77E6" w:rsidP="003E77E6">
      <w:pPr>
        <w:jc w:val="center"/>
        <w:rPr>
          <w:sz w:val="28"/>
        </w:rPr>
      </w:pPr>
    </w:p>
    <w:p w:rsidR="003E77E6" w:rsidRDefault="003E77E6" w:rsidP="003E77E6">
      <w:pPr>
        <w:pStyle w:val="a5"/>
      </w:pPr>
    </w:p>
    <w:p w:rsidR="003E77E6" w:rsidRDefault="003E77E6" w:rsidP="003E77E6">
      <w:pPr>
        <w:pStyle w:val="a5"/>
      </w:pPr>
      <w:r>
        <w:t>У Головному юридичному управлінні проаналізовано текст проекту Закону України «Про</w:t>
      </w:r>
      <w:r w:rsidR="00CE0676">
        <w:t xml:space="preserve"> внесення змін до деяких законодавчих актів України щодо діяльності технологічних парків</w:t>
      </w:r>
      <w:r>
        <w:t>», підготовлений до розгляду у другому читанні, та висловлю</w:t>
      </w:r>
      <w:r w:rsidR="00CE0676">
        <w:t>ю</w:t>
      </w:r>
      <w:r>
        <w:t>ться так</w:t>
      </w:r>
      <w:r w:rsidR="00CE0676">
        <w:t>і</w:t>
      </w:r>
      <w:r>
        <w:t xml:space="preserve"> зауваження.</w:t>
      </w:r>
    </w:p>
    <w:p w:rsidR="003E77E6" w:rsidRDefault="003E77E6" w:rsidP="003E77E6">
      <w:pPr>
        <w:ind w:firstLine="540"/>
        <w:jc w:val="both"/>
        <w:rPr>
          <w:sz w:val="28"/>
          <w:szCs w:val="28"/>
        </w:rPr>
      </w:pPr>
    </w:p>
    <w:p w:rsidR="00CE0676" w:rsidRDefault="003E77E6" w:rsidP="003E77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1.Проектом передбачається, що</w:t>
      </w:r>
      <w:r w:rsidR="00CE0676">
        <w:rPr>
          <w:sz w:val="28"/>
          <w:szCs w:val="28"/>
        </w:rPr>
        <w:t xml:space="preserve"> Кабінет Міністрів України </w:t>
      </w:r>
      <w:r w:rsidR="00E922C4">
        <w:rPr>
          <w:sz w:val="28"/>
          <w:szCs w:val="28"/>
        </w:rPr>
        <w:t>встановлює</w:t>
      </w:r>
      <w:r w:rsidR="003E6DC8">
        <w:rPr>
          <w:sz w:val="28"/>
          <w:szCs w:val="28"/>
        </w:rPr>
        <w:t xml:space="preserve"> «порядок проведення експертизи проекту технологічного парку» (статті 1 та 5), «порядок державної реєстрації технологічного парку та скасування державної реєстрації технологічного парку» (стаття 4), «порядок розгляду та затвердження пріоритетних напрямків діяльності для кожного з технологічних парків» (стаття 5), «порядок внесення змін до діючих проектів теологічних парків та продовження дії свідоцтва про державну реєстрацію проекту технологічного парку» (стаття 5 Закону України «Про спеціальний режим інноваційної діяльності технологічних парків» в редакції проекту).   </w:t>
      </w:r>
    </w:p>
    <w:p w:rsidR="003E77E6" w:rsidRDefault="00E922C4" w:rsidP="003E77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нашу думку, ці положення проекту </w:t>
      </w:r>
      <w:r w:rsidR="003E77E6">
        <w:rPr>
          <w:sz w:val="28"/>
          <w:szCs w:val="28"/>
        </w:rPr>
        <w:t>не узгоджу</w:t>
      </w:r>
      <w:r>
        <w:rPr>
          <w:sz w:val="28"/>
          <w:szCs w:val="28"/>
        </w:rPr>
        <w:t>ю</w:t>
      </w:r>
      <w:r w:rsidR="003E77E6">
        <w:rPr>
          <w:sz w:val="28"/>
          <w:szCs w:val="28"/>
        </w:rPr>
        <w:t>ться із вимогами статті 19 Конституції України, за якою органи державної влади,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3E77E6" w:rsidRDefault="003E77E6" w:rsidP="003E77E6">
      <w:pPr>
        <w:ind w:firstLine="540"/>
        <w:jc w:val="both"/>
        <w:rPr>
          <w:sz w:val="28"/>
          <w:szCs w:val="28"/>
        </w:rPr>
      </w:pPr>
    </w:p>
    <w:p w:rsidR="003E77E6" w:rsidRDefault="00E922C4" w:rsidP="003E77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Проектом закону передбачається, що «системне здійснення діяльності, яка не відповідає статусу технологічного парку</w:t>
      </w:r>
      <w:r w:rsidR="00F55E7E">
        <w:rPr>
          <w:sz w:val="28"/>
          <w:szCs w:val="28"/>
        </w:rPr>
        <w:t>» є підставою для скасування державної реєстрації технологічного парку (стаття 4</w:t>
      </w:r>
      <w:r w:rsidR="00F55E7E" w:rsidRPr="00F55E7E">
        <w:rPr>
          <w:sz w:val="28"/>
          <w:szCs w:val="28"/>
        </w:rPr>
        <w:t xml:space="preserve"> </w:t>
      </w:r>
      <w:r w:rsidR="00F55E7E">
        <w:rPr>
          <w:sz w:val="28"/>
          <w:szCs w:val="28"/>
        </w:rPr>
        <w:t xml:space="preserve">Закону України «Про спеціальний режим інноваційної діяльності технологічних парків» в редакції проекту). Натомість, проектом, як і чинним Законом, не розкрито значення правової категорії «системність здійснення діяльності, яка не відповідає статусу технологічного парку», відтак, на нашу думку, </w:t>
      </w:r>
      <w:r w:rsidR="003E77E6">
        <w:rPr>
          <w:sz w:val="28"/>
          <w:szCs w:val="28"/>
        </w:rPr>
        <w:t xml:space="preserve">це може призвести до необмеженості трактування цієї норми у правозастосовній практиці. Отже, </w:t>
      </w:r>
      <w:r w:rsidR="003E77E6">
        <w:rPr>
          <w:sz w:val="28"/>
          <w:szCs w:val="28"/>
        </w:rPr>
        <w:lastRenderedPageBreak/>
        <w:t>проектом не враховано правові позиції Конституційного Суду України, висловлені у Рішеннях від 29 червня 2010 року № 17-рп та від 2 листопада 2004 року № 15-рп щодо дотримання конституційних принципів рівності і справедливості, з яких випливає вимога визначеності,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практиці.</w:t>
      </w:r>
    </w:p>
    <w:p w:rsidR="003E77E6" w:rsidRDefault="003E77E6" w:rsidP="003E77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55E7E" w:rsidRDefault="00F55E7E" w:rsidP="00F55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Розділ ІІ </w:t>
      </w:r>
      <w:r w:rsidRPr="00F55E7E">
        <w:rPr>
          <w:sz w:val="28"/>
          <w:szCs w:val="28"/>
        </w:rPr>
        <w:t xml:space="preserve">«Прикінцеві положення» проекту щодо визначення строку набрання чинності цим Законом («цей Закон набирає чинності з дня, наступного за днем його опублікування») та надання доручення Кабінету Міністрів України «протягом </w:t>
      </w:r>
      <w:r>
        <w:rPr>
          <w:sz w:val="28"/>
          <w:szCs w:val="28"/>
        </w:rPr>
        <w:t xml:space="preserve">шести місяців </w:t>
      </w:r>
      <w:r w:rsidRPr="00F55E7E">
        <w:rPr>
          <w:sz w:val="28"/>
          <w:szCs w:val="28"/>
        </w:rPr>
        <w:t xml:space="preserve">з дня набрання чинності цим Законом» привести свої нормативно-правові акти у відповідність із цим Законом і забезпечити </w:t>
      </w:r>
      <w:r>
        <w:rPr>
          <w:sz w:val="28"/>
          <w:szCs w:val="28"/>
        </w:rPr>
        <w:t>прийняття нормативно-правових актів, що випливають із цього Закону,</w:t>
      </w:r>
      <w:r w:rsidRPr="00F55E7E">
        <w:rPr>
          <w:sz w:val="28"/>
          <w:szCs w:val="28"/>
        </w:rPr>
        <w:t xml:space="preserve"> не враховують вимог частини восьмої статті 90 Регламенту Верховної Ради України та є юридично некоректними, оскільки реалізація норм проекту ставиться в залежність від прийняття у майбутньому підзаконних нормативно-правових актів.</w:t>
      </w:r>
    </w:p>
    <w:p w:rsidR="00312DDB" w:rsidRDefault="00312DDB" w:rsidP="00F55E7E">
      <w:pPr>
        <w:ind w:firstLine="540"/>
        <w:jc w:val="both"/>
        <w:rPr>
          <w:sz w:val="28"/>
          <w:szCs w:val="28"/>
        </w:rPr>
      </w:pPr>
    </w:p>
    <w:p w:rsidR="00F93A33" w:rsidRDefault="00312DDB" w:rsidP="00312D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25EA">
        <w:rPr>
          <w:sz w:val="28"/>
          <w:szCs w:val="28"/>
        </w:rPr>
        <w:t xml:space="preserve">Пунктом 2 </w:t>
      </w:r>
      <w:r w:rsidR="000D25EA" w:rsidRPr="000D25EA">
        <w:rPr>
          <w:sz w:val="28"/>
          <w:szCs w:val="28"/>
        </w:rPr>
        <w:t>Розділ</w:t>
      </w:r>
      <w:r w:rsidR="000D25EA">
        <w:rPr>
          <w:sz w:val="28"/>
          <w:szCs w:val="28"/>
        </w:rPr>
        <w:t>у</w:t>
      </w:r>
      <w:r w:rsidR="000D25EA" w:rsidRPr="000D25EA">
        <w:rPr>
          <w:sz w:val="28"/>
          <w:szCs w:val="28"/>
        </w:rPr>
        <w:t xml:space="preserve"> ІІ «Прикінцеві положення»</w:t>
      </w:r>
      <w:r w:rsidR="000D25EA" w:rsidRPr="00F93A33">
        <w:rPr>
          <w:sz w:val="28"/>
          <w:szCs w:val="28"/>
        </w:rPr>
        <w:t xml:space="preserve">  передбачено, що технологічні парки, які «отримали  до 1 січня 2014 року свідоцтво про державну реєстрацію технологічного парку</w:t>
      </w:r>
      <w:r w:rsidR="008513F2" w:rsidRPr="00F93A33">
        <w:rPr>
          <w:sz w:val="28"/>
          <w:szCs w:val="28"/>
        </w:rPr>
        <w:t xml:space="preserve">, продовжують свою діяльність </w:t>
      </w:r>
      <w:r w:rsidR="00F93A33" w:rsidRPr="00F93A33">
        <w:rPr>
          <w:sz w:val="28"/>
          <w:szCs w:val="28"/>
        </w:rPr>
        <w:t>з набранням чинності цим Законом</w:t>
      </w:r>
      <w:r w:rsidR="00F93A33">
        <w:rPr>
          <w:sz w:val="28"/>
          <w:szCs w:val="28"/>
        </w:rPr>
        <w:t>»</w:t>
      </w:r>
      <w:r w:rsidR="005734CF">
        <w:rPr>
          <w:sz w:val="28"/>
          <w:szCs w:val="28"/>
        </w:rPr>
        <w:t>.</w:t>
      </w:r>
      <w:bookmarkStart w:id="0" w:name="_GoBack"/>
      <w:bookmarkEnd w:id="0"/>
      <w:r w:rsidR="00F93A33">
        <w:rPr>
          <w:sz w:val="28"/>
          <w:szCs w:val="28"/>
        </w:rPr>
        <w:t xml:space="preserve"> Однак, таке формулювання робить неможливим застосування  стосовно зазначених технологічних парків, положень статті 4 Закону України «Про спеціальний режим інноваційної діяльності технологічних парків» (в редакції проекту) в частині скасування державної реєстрації технопарку.</w:t>
      </w:r>
    </w:p>
    <w:p w:rsidR="00312DDB" w:rsidRPr="000D25EA" w:rsidRDefault="00F93A33" w:rsidP="00312DD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8513F2" w:rsidRPr="00F93A33">
        <w:rPr>
          <w:sz w:val="28"/>
          <w:szCs w:val="28"/>
        </w:rPr>
        <w:t xml:space="preserve"> </w:t>
      </w:r>
      <w:r w:rsidR="000D25EA" w:rsidRPr="00F93A33">
        <w:rPr>
          <w:sz w:val="28"/>
          <w:szCs w:val="28"/>
        </w:rPr>
        <w:t xml:space="preserve"> </w:t>
      </w:r>
      <w:r w:rsidR="00312DDB">
        <w:rPr>
          <w:sz w:val="28"/>
          <w:szCs w:val="28"/>
        </w:rPr>
        <w:t xml:space="preserve">Крім того, законопроектом не передбачені особливості контролю за  реалізацією проектів, зокрема, </w:t>
      </w:r>
      <w:r>
        <w:rPr>
          <w:sz w:val="28"/>
          <w:szCs w:val="28"/>
        </w:rPr>
        <w:t>щодо</w:t>
      </w:r>
      <w:r w:rsidR="00312DDB">
        <w:rPr>
          <w:sz w:val="28"/>
          <w:szCs w:val="28"/>
        </w:rPr>
        <w:t xml:space="preserve"> контролю за цільовим використанням </w:t>
      </w:r>
      <w:r w:rsidR="00312DDB" w:rsidRPr="00312DDB">
        <w:rPr>
          <w:sz w:val="28"/>
          <w:szCs w:val="28"/>
        </w:rPr>
        <w:t>ввезених на територію України</w:t>
      </w:r>
      <w:r w:rsidR="00312DDB">
        <w:rPr>
          <w:sz w:val="28"/>
          <w:szCs w:val="28"/>
        </w:rPr>
        <w:t xml:space="preserve"> </w:t>
      </w:r>
      <w:r w:rsidR="00312DDB" w:rsidRPr="00312DDB">
        <w:rPr>
          <w:sz w:val="28"/>
          <w:szCs w:val="28"/>
        </w:rPr>
        <w:t>матеріалів,   устаткування,  обладнання,  комплектуючих  та  інших</w:t>
      </w:r>
      <w:r w:rsidR="00312DDB">
        <w:rPr>
          <w:sz w:val="28"/>
          <w:szCs w:val="28"/>
        </w:rPr>
        <w:t xml:space="preserve"> </w:t>
      </w:r>
      <w:r w:rsidR="00312DDB" w:rsidRPr="00312DDB">
        <w:rPr>
          <w:sz w:val="28"/>
          <w:szCs w:val="28"/>
        </w:rPr>
        <w:t>товарів,   для потреб реалізації проектів технологічних парків,</w:t>
      </w:r>
      <w:r w:rsidR="00312DDB">
        <w:rPr>
          <w:sz w:val="28"/>
          <w:szCs w:val="28"/>
        </w:rPr>
        <w:t xml:space="preserve"> на територіях, тимчасово непідконтрольних Україні</w:t>
      </w:r>
      <w:r w:rsidR="00B2449F">
        <w:rPr>
          <w:sz w:val="28"/>
          <w:szCs w:val="28"/>
        </w:rPr>
        <w:t>.</w:t>
      </w:r>
    </w:p>
    <w:p w:rsidR="00F55E7E" w:rsidRDefault="00F55E7E" w:rsidP="00F55E7E">
      <w:pPr>
        <w:ind w:firstLine="540"/>
        <w:jc w:val="both"/>
        <w:rPr>
          <w:sz w:val="28"/>
          <w:szCs w:val="28"/>
        </w:rPr>
      </w:pPr>
    </w:p>
    <w:p w:rsidR="00F55E7E" w:rsidRDefault="00F55E7E" w:rsidP="00F55E7E">
      <w:pPr>
        <w:jc w:val="both"/>
        <w:rPr>
          <w:sz w:val="28"/>
          <w:szCs w:val="28"/>
        </w:rPr>
      </w:pPr>
    </w:p>
    <w:p w:rsidR="00F55E7E" w:rsidRDefault="00F55E7E" w:rsidP="003E77E6">
      <w:pPr>
        <w:rPr>
          <w:sz w:val="28"/>
          <w:szCs w:val="28"/>
        </w:rPr>
      </w:pPr>
    </w:p>
    <w:p w:rsidR="003E77E6" w:rsidRDefault="003E77E6" w:rsidP="003E77E6">
      <w:pPr>
        <w:tabs>
          <w:tab w:val="left" w:pos="0"/>
        </w:tabs>
        <w:jc w:val="both"/>
        <w:rPr>
          <w:sz w:val="28"/>
          <w:szCs w:val="28"/>
          <w:lang w:eastAsia="en-GB"/>
        </w:rPr>
      </w:pPr>
      <w:r>
        <w:rPr>
          <w:b/>
          <w:sz w:val="28"/>
          <w:szCs w:val="28"/>
        </w:rPr>
        <w:tab/>
        <w:t>Узагальнюючий висновок:</w:t>
      </w:r>
      <w:r>
        <w:rPr>
          <w:sz w:val="28"/>
          <w:szCs w:val="28"/>
        </w:rPr>
        <w:t xml:space="preserve"> законопроект може бути прийнятий у другому читанні за умови врахування висловлених зауважень. </w:t>
      </w:r>
    </w:p>
    <w:p w:rsidR="003E77E6" w:rsidRDefault="003E77E6" w:rsidP="003E77E6">
      <w:pPr>
        <w:jc w:val="both"/>
      </w:pPr>
    </w:p>
    <w:p w:rsidR="003E77E6" w:rsidRDefault="003E77E6" w:rsidP="003E77E6">
      <w:pPr>
        <w:jc w:val="both"/>
      </w:pPr>
    </w:p>
    <w:p w:rsidR="003E77E6" w:rsidRDefault="003E77E6" w:rsidP="003E7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Керівника</w:t>
      </w:r>
    </w:p>
    <w:p w:rsidR="003E77E6" w:rsidRDefault="003E77E6" w:rsidP="003E77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Головного управління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В.МІЛОВАНОВ</w:t>
      </w:r>
    </w:p>
    <w:p w:rsidR="003E77E6" w:rsidRDefault="003E77E6" w:rsidP="003E77E6">
      <w:pPr>
        <w:jc w:val="both"/>
      </w:pPr>
    </w:p>
    <w:p w:rsidR="00B60FCA" w:rsidRDefault="00B60FCA"/>
    <w:sectPr w:rsidR="00B60FCA" w:rsidSect="009269D3">
      <w:footerReference w:type="default" r:id="rId7"/>
      <w:pgSz w:w="11906" w:h="16838"/>
      <w:pgMar w:top="850" w:right="850" w:bottom="850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93" w:rsidRDefault="00535693" w:rsidP="00535693">
      <w:r>
        <w:separator/>
      </w:r>
    </w:p>
  </w:endnote>
  <w:endnote w:type="continuationSeparator" w:id="0">
    <w:p w:rsidR="00535693" w:rsidRDefault="00535693" w:rsidP="005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2681"/>
      <w:docPartObj>
        <w:docPartGallery w:val="Page Numbers (Bottom of Page)"/>
        <w:docPartUnique/>
      </w:docPartObj>
    </w:sdtPr>
    <w:sdtContent>
      <w:p w:rsidR="00535693" w:rsidRDefault="00535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5693" w:rsidRDefault="0053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93" w:rsidRDefault="00535693" w:rsidP="00535693">
      <w:r>
        <w:separator/>
      </w:r>
    </w:p>
  </w:footnote>
  <w:footnote w:type="continuationSeparator" w:id="0">
    <w:p w:rsidR="00535693" w:rsidRDefault="00535693" w:rsidP="0053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6"/>
    <w:rsid w:val="000D25EA"/>
    <w:rsid w:val="00312DDB"/>
    <w:rsid w:val="003E6DC8"/>
    <w:rsid w:val="003E77E6"/>
    <w:rsid w:val="00535693"/>
    <w:rsid w:val="005734CF"/>
    <w:rsid w:val="006E508A"/>
    <w:rsid w:val="008513F2"/>
    <w:rsid w:val="009269D3"/>
    <w:rsid w:val="00951C9C"/>
    <w:rsid w:val="00B2449F"/>
    <w:rsid w:val="00B60FCA"/>
    <w:rsid w:val="00CE0676"/>
    <w:rsid w:val="00E922C4"/>
    <w:rsid w:val="00F176FC"/>
    <w:rsid w:val="00F17FC2"/>
    <w:rsid w:val="00F55E7E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8916"/>
  <w15:chartTrackingRefBased/>
  <w15:docId w15:val="{11E73022-7006-47C7-A52B-5A3C6589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E6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7E6"/>
    <w:pPr>
      <w:jc w:val="center"/>
    </w:pPr>
    <w:rPr>
      <w:sz w:val="32"/>
    </w:rPr>
  </w:style>
  <w:style w:type="character" w:customStyle="1" w:styleId="a4">
    <w:name w:val="Назва Знак"/>
    <w:basedOn w:val="a0"/>
    <w:link w:val="a3"/>
    <w:rsid w:val="003E77E6"/>
    <w:rPr>
      <w:rFonts w:eastAsia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E77E6"/>
    <w:pPr>
      <w:ind w:firstLine="709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semiHidden/>
    <w:rsid w:val="003E77E6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569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3569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69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569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EA7C-9BEF-4255-9D60-10B2F31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Кармаза Олександра Олександрівна</dc:creator>
  <cp:keywords/>
  <dc:description/>
  <cp:lastModifiedBy>Безугла Вікторія Віталіївна</cp:lastModifiedBy>
  <cp:revision>4</cp:revision>
  <cp:lastPrinted>2016-06-06T14:16:00Z</cp:lastPrinted>
  <dcterms:created xsi:type="dcterms:W3CDTF">2016-06-06T13:40:00Z</dcterms:created>
  <dcterms:modified xsi:type="dcterms:W3CDTF">2016-06-06T14:51:00Z</dcterms:modified>
</cp:coreProperties>
</file>