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C5" w:rsidRDefault="006D36C5" w:rsidP="006D36C5">
      <w:pPr>
        <w:pStyle w:val="StyleProp2"/>
        <w:spacing w:after="0" w:line="240" w:lineRule="auto"/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Проект</w:t>
      </w:r>
    </w:p>
    <w:p w:rsidR="006D36C5" w:rsidRDefault="006D36C5" w:rsidP="006D36C5">
      <w:pPr>
        <w:pStyle w:val="StyleProp2"/>
        <w:spacing w:after="0" w:line="240" w:lineRule="auto"/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(тираж 07.05.2020)</w:t>
      </w:r>
    </w:p>
    <w:p w:rsidR="006D36C5" w:rsidRPr="006D36C5" w:rsidRDefault="006D36C5" w:rsidP="006D36C5">
      <w:pPr>
        <w:pStyle w:val="StyleProp2"/>
        <w:spacing w:after="0" w:line="240" w:lineRule="auto"/>
        <w:ind w:firstLine="720"/>
        <w:jc w:val="right"/>
        <w:rPr>
          <w:sz w:val="28"/>
          <w:lang w:val="en-US"/>
        </w:rPr>
      </w:pPr>
    </w:p>
    <w:p w:rsidR="007A7C1E" w:rsidRPr="007A7C1E" w:rsidRDefault="007A7C1E" w:rsidP="006D36C5">
      <w:pPr>
        <w:pStyle w:val="StyleProp2"/>
        <w:spacing w:after="0" w:line="240" w:lineRule="auto"/>
        <w:ind w:firstLine="720"/>
        <w:jc w:val="center"/>
        <w:rPr>
          <w:sz w:val="28"/>
        </w:rPr>
      </w:pPr>
      <w:r w:rsidRPr="007A7C1E">
        <w:rPr>
          <w:sz w:val="28"/>
        </w:rPr>
        <w:t>ЗАКОН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</w:p>
    <w:p w:rsidR="007A7C1E" w:rsidRDefault="007A7C1E" w:rsidP="006D36C5">
      <w:pPr>
        <w:pStyle w:val="StyleProp"/>
        <w:spacing w:line="240" w:lineRule="auto"/>
        <w:ind w:firstLine="720"/>
        <w:jc w:val="center"/>
        <w:rPr>
          <w:sz w:val="28"/>
        </w:rPr>
      </w:pPr>
      <w:r w:rsidRPr="007A7C1E">
        <w:rPr>
          <w:sz w:val="28"/>
        </w:rPr>
        <w:t>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деяких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будівництва,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транспорту,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електроенергетики</w:t>
      </w:r>
    </w:p>
    <w:p w:rsidR="00061752" w:rsidRPr="007A7C1E" w:rsidRDefault="00061752" w:rsidP="006D36C5">
      <w:pPr>
        <w:pStyle w:val="StyleProp"/>
        <w:spacing w:line="240" w:lineRule="auto"/>
        <w:ind w:firstLine="720"/>
        <w:jc w:val="center"/>
        <w:rPr>
          <w:sz w:val="28"/>
        </w:rPr>
      </w:pPr>
      <w:bookmarkStart w:id="0" w:name="_GoBack"/>
      <w:bookmarkEnd w:id="0"/>
    </w:p>
    <w:p w:rsid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Верховна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Рада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л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є:</w:t>
      </w:r>
    </w:p>
    <w:p w:rsidR="006D36C5" w:rsidRPr="007A7C1E" w:rsidRDefault="006D36C5" w:rsidP="007A7C1E">
      <w:pPr>
        <w:pStyle w:val="StyleProp2"/>
        <w:spacing w:after="0" w:line="240" w:lineRule="auto"/>
        <w:ind w:firstLine="720"/>
        <w:rPr>
          <w:sz w:val="28"/>
        </w:rPr>
      </w:pP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І.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6D36C5">
        <w:rPr>
          <w:sz w:val="28"/>
          <w:lang w:val="ru-RU"/>
        </w:rPr>
        <w:t>2</w:t>
      </w:r>
      <w:r w:rsidRPr="007A7C1E">
        <w:rPr>
          <w:sz w:val="28"/>
        </w:rPr>
        <w:t>.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будівництва,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транспорту,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електроенергетики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метою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розвитку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телекомунікаційних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мереж»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(Відомості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Верховної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2017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р.,</w:t>
      </w:r>
      <w:r w:rsidRPr="007A7C1E">
        <w:rPr>
          <w:sz w:val="28"/>
        </w:rPr>
        <w:t xml:space="preserve"> </w:t>
      </w:r>
      <w:r w:rsidRPr="007A7C1E">
        <w:rPr>
          <w:sz w:val="28"/>
        </w:rPr>
        <w:t>№</w:t>
      </w:r>
      <w:r w:rsidRPr="007A7C1E">
        <w:rPr>
          <w:sz w:val="28"/>
        </w:rPr>
        <w:t xml:space="preserve"> </w:t>
      </w:r>
      <w:r w:rsidRPr="007A7C1E">
        <w:rPr>
          <w:sz w:val="28"/>
        </w:rPr>
        <w:t>11,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ст.</w:t>
      </w:r>
      <w:r w:rsidRPr="007A7C1E">
        <w:rPr>
          <w:sz w:val="28"/>
        </w:rPr>
        <w:t xml:space="preserve"> </w:t>
      </w:r>
      <w:r w:rsidRPr="007A7C1E">
        <w:rPr>
          <w:sz w:val="28"/>
        </w:rPr>
        <w:t>101):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1)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четвертий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першої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1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викласти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редакції: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«власник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(володілець)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(далі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–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доступу)</w:t>
      </w:r>
      <w:r w:rsidRPr="007A7C1E">
        <w:rPr>
          <w:sz w:val="28"/>
        </w:rPr>
        <w:t xml:space="preserve"> </w:t>
      </w:r>
      <w:r w:rsidRPr="007A7C1E">
        <w:rPr>
          <w:sz w:val="28"/>
        </w:rPr>
        <w:t>–</w:t>
      </w:r>
      <w:r w:rsidRPr="007A7C1E">
        <w:rPr>
          <w:sz w:val="28"/>
        </w:rPr>
        <w:t xml:space="preserve"> </w:t>
      </w:r>
      <w:r w:rsidRPr="007A7C1E">
        <w:rPr>
          <w:sz w:val="28"/>
        </w:rPr>
        <w:t>фізична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юридична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особа,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власності,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спільній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якої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перебуває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окремі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її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яка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має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право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користування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розпорядження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окремими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її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підставах»;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2)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першу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3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словами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також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відносини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управління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будинком,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тому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числі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об’єднання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3)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14: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пункт</w:t>
      </w:r>
      <w:r w:rsidRPr="007A7C1E">
        <w:rPr>
          <w:sz w:val="28"/>
        </w:rPr>
        <w:t xml:space="preserve"> </w:t>
      </w:r>
      <w:r w:rsidRPr="007A7C1E">
        <w:rPr>
          <w:sz w:val="28"/>
        </w:rPr>
        <w:t>1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другої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другим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разі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якщо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технічні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засоби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телекомунікацій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розміщені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елементах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згодою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попереднього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новий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має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забезпечувати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безперешкодний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технічних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засобів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оператору,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провайдеру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телекомунікацій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уповноваженій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укладення/переукладення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спливу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місячного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строку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прийняття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замовником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пропозиції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залишеної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без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відповіді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замовника»;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частину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третю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після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словами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виконання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робіт,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слово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«нього»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замінити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словами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доступу»»;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четвертою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«4.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забезпечення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замовнику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розташування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технічних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засобів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телекомунікацій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метою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надання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телекомунікаційних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послуг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урахуванням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умов,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визначених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Законом,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забороняється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вимагати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замовника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будь-якого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іншого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(оренди,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сервітуту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тощо),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крім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замість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lastRenderedPageBreak/>
        <w:t>4)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17: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частину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четверту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другим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«Розмір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періодичної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враховує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пропорційний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розподіл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витрат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утримання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пов’язаних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наданим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доступом,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між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усіма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замовниками,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які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використовують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одні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самі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сьомій: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абзац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перший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після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«згідно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Законом»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словами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«включає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всі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податки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збори,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передбачені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законодавством»;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пункт</w:t>
      </w:r>
      <w:r w:rsidRPr="007A7C1E">
        <w:rPr>
          <w:sz w:val="28"/>
        </w:rPr>
        <w:t xml:space="preserve"> </w:t>
      </w:r>
      <w:r w:rsidRPr="007A7C1E">
        <w:rPr>
          <w:sz w:val="28"/>
        </w:rPr>
        <w:t>3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викласти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редакції: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«3)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будівництва,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користування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будинковою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розподільною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мережею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місяць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будинок)</w:t>
      </w:r>
      <w:r w:rsidRPr="007A7C1E">
        <w:rPr>
          <w:sz w:val="28"/>
        </w:rPr>
        <w:t xml:space="preserve"> </w:t>
      </w:r>
      <w:r w:rsidRPr="007A7C1E">
        <w:rPr>
          <w:sz w:val="28"/>
        </w:rPr>
        <w:t>-</w:t>
      </w:r>
      <w:r w:rsidRPr="007A7C1E">
        <w:rPr>
          <w:sz w:val="28"/>
        </w:rPr>
        <w:t xml:space="preserve"> </w:t>
      </w:r>
      <w:r w:rsidRPr="007A7C1E">
        <w:rPr>
          <w:sz w:val="28"/>
        </w:rPr>
        <w:t>1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відсоток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мінімальної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заробітної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60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квартир;</w:t>
      </w:r>
      <w:r w:rsidRPr="007A7C1E">
        <w:rPr>
          <w:sz w:val="28"/>
        </w:rPr>
        <w:t xml:space="preserve"> </w:t>
      </w:r>
      <w:r w:rsidRPr="007A7C1E">
        <w:rPr>
          <w:sz w:val="28"/>
        </w:rPr>
        <w:t>2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відсотки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мінімальної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заробітної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</w:t>
      </w:r>
      <w:r w:rsidRPr="007A7C1E">
        <w:rPr>
          <w:sz w:val="28"/>
        </w:rPr>
        <w:t xml:space="preserve"> </w:t>
      </w:r>
      <w:r w:rsidRPr="007A7C1E">
        <w:rPr>
          <w:sz w:val="28"/>
        </w:rPr>
        <w:t>61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100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квартир;</w:t>
      </w:r>
      <w:r w:rsidRPr="007A7C1E">
        <w:rPr>
          <w:sz w:val="28"/>
        </w:rPr>
        <w:t xml:space="preserve"> </w:t>
      </w:r>
      <w:r w:rsidRPr="007A7C1E">
        <w:rPr>
          <w:sz w:val="28"/>
        </w:rPr>
        <w:t>3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відсотки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мінімальної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заробітної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</w:t>
      </w:r>
      <w:r w:rsidRPr="007A7C1E">
        <w:rPr>
          <w:sz w:val="28"/>
        </w:rPr>
        <w:t xml:space="preserve"> </w:t>
      </w:r>
      <w:r w:rsidRPr="007A7C1E">
        <w:rPr>
          <w:sz w:val="28"/>
        </w:rPr>
        <w:t>101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160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квартир;</w:t>
      </w:r>
      <w:r w:rsidRPr="007A7C1E">
        <w:rPr>
          <w:sz w:val="28"/>
        </w:rPr>
        <w:t xml:space="preserve"> </w:t>
      </w:r>
      <w:r w:rsidRPr="007A7C1E">
        <w:rPr>
          <w:sz w:val="28"/>
        </w:rPr>
        <w:t>5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відсотків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мінімальної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заробітної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</w:t>
      </w:r>
      <w:r w:rsidRPr="007A7C1E">
        <w:rPr>
          <w:sz w:val="28"/>
        </w:rPr>
        <w:t xml:space="preserve"> </w:t>
      </w:r>
      <w:r w:rsidRPr="007A7C1E">
        <w:rPr>
          <w:sz w:val="28"/>
        </w:rPr>
        <w:t>161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квартири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більше;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опор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зовнішнього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освітлення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-</w:t>
      </w:r>
      <w:r w:rsidRPr="007A7C1E">
        <w:rPr>
          <w:sz w:val="28"/>
        </w:rPr>
        <w:t xml:space="preserve"> </w:t>
      </w:r>
      <w:r w:rsidRPr="007A7C1E">
        <w:rPr>
          <w:sz w:val="28"/>
        </w:rPr>
        <w:t>0,3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відсотка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мінімальної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заробітної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одну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опору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місяць;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будівель,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споруд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нежитлового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призначення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-</w:t>
      </w:r>
      <w:r w:rsidRPr="007A7C1E">
        <w:rPr>
          <w:sz w:val="28"/>
        </w:rPr>
        <w:t xml:space="preserve"> </w:t>
      </w:r>
      <w:r w:rsidRPr="007A7C1E">
        <w:rPr>
          <w:sz w:val="28"/>
        </w:rPr>
        <w:t>2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відсотки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мінімальної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заробітної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будівлю/споруду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нежитлового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призначення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місяць»;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десятою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«10.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разі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недосягнення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згоди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між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замовником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визначення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разі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незатвердження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перевищення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затверджених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власником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відповідних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встановлених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Законом,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оплата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здійснюється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граничними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розмірами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визначеними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відповідно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сьомої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17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цього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застосуванням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коефіцієнтів,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встановлених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методиках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визначення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плати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затверджених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центральними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органами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виконавчої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Національною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комісією,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здійснює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державне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регулювання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сфері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зв’язку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інформатизації»;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5)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пункт</w:t>
      </w:r>
      <w:r w:rsidRPr="007A7C1E">
        <w:rPr>
          <w:sz w:val="28"/>
        </w:rPr>
        <w:t xml:space="preserve"> </w:t>
      </w:r>
      <w:r w:rsidRPr="007A7C1E">
        <w:rPr>
          <w:sz w:val="28"/>
        </w:rPr>
        <w:t>3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розділу</w:t>
      </w:r>
      <w:r w:rsidRPr="007A7C1E">
        <w:rPr>
          <w:sz w:val="28"/>
        </w:rPr>
        <w:t xml:space="preserve"> </w:t>
      </w:r>
      <w:r w:rsidRPr="007A7C1E">
        <w:rPr>
          <w:sz w:val="28"/>
          <w:lang w:val="en-US"/>
        </w:rPr>
        <w:t>VI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«Прикінцеві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перехідні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положення»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другим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такому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разі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договір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укладається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без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видачі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технічних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умов,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розроблення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погодження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проектної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документації».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1.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особливості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права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власності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багатоквартирному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(Відомості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Верховної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2015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р.,</w:t>
      </w:r>
      <w:r w:rsidRPr="007A7C1E">
        <w:rPr>
          <w:sz w:val="28"/>
        </w:rPr>
        <w:t xml:space="preserve"> </w:t>
      </w:r>
      <w:r w:rsidRPr="007A7C1E">
        <w:rPr>
          <w:sz w:val="28"/>
        </w:rPr>
        <w:t>№</w:t>
      </w:r>
      <w:r w:rsidRPr="007A7C1E">
        <w:rPr>
          <w:sz w:val="28"/>
        </w:rPr>
        <w:t xml:space="preserve"> </w:t>
      </w:r>
      <w:r w:rsidRPr="007A7C1E">
        <w:rPr>
          <w:sz w:val="28"/>
        </w:rPr>
        <w:t>29,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ст.</w:t>
      </w:r>
      <w:r w:rsidRPr="007A7C1E">
        <w:rPr>
          <w:sz w:val="28"/>
        </w:rPr>
        <w:t xml:space="preserve"> </w:t>
      </w:r>
      <w:r w:rsidRPr="007A7C1E">
        <w:rPr>
          <w:sz w:val="28"/>
        </w:rPr>
        <w:t>262):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lastRenderedPageBreak/>
        <w:t>1)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першу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7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пунктом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11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«11)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обрати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уповноважену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(осіб)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укладення,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розірвання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контролю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їх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виконанням.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обрання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якому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не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створено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об’єднання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уповноваженої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(осіб)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укладення,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розірвання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контролю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їх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виконанням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уповноваженою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управитель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житлово-будівельний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(житловий)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кооператив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(у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будинках,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утримання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здійснюють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житлово-будівельні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(житлові)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кооперативи,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утворення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багатоквартирному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об’єднання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тому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числі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шляхом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реорганізації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кооперативу,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прийняття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рішення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форму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управління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будинком)»;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2)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пункт</w:t>
      </w:r>
      <w:r w:rsidRPr="007A7C1E">
        <w:rPr>
          <w:sz w:val="28"/>
        </w:rPr>
        <w:t xml:space="preserve"> </w:t>
      </w:r>
      <w:r w:rsidRPr="007A7C1E">
        <w:rPr>
          <w:sz w:val="28"/>
        </w:rPr>
        <w:t>1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другої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10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викласти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редакції: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«1)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розпорядження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спільним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майном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встановлення,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скасування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обмежень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користування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ним,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обрання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уповноваженої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(осіб)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укладення,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розірвання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контролю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виконанням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договорів».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3.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статті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8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житлово-комунальні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послуги»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(Відомості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Верховної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2018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р.,</w:t>
      </w:r>
      <w:r w:rsidRPr="007A7C1E">
        <w:rPr>
          <w:sz w:val="28"/>
        </w:rPr>
        <w:t xml:space="preserve"> </w:t>
      </w:r>
      <w:r w:rsidRPr="007A7C1E">
        <w:rPr>
          <w:sz w:val="28"/>
        </w:rPr>
        <w:t>№</w:t>
      </w:r>
      <w:r w:rsidRPr="007A7C1E">
        <w:rPr>
          <w:sz w:val="28"/>
        </w:rPr>
        <w:t xml:space="preserve"> </w:t>
      </w:r>
      <w:r w:rsidRPr="007A7C1E">
        <w:rPr>
          <w:sz w:val="28"/>
        </w:rPr>
        <w:t>1,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ст.</w:t>
      </w:r>
      <w:r w:rsidRPr="007A7C1E">
        <w:rPr>
          <w:sz w:val="28"/>
        </w:rPr>
        <w:t xml:space="preserve"> </w:t>
      </w:r>
      <w:r w:rsidRPr="007A7C1E">
        <w:rPr>
          <w:sz w:val="28"/>
        </w:rPr>
        <w:t>1):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пункт</w:t>
      </w:r>
      <w:r w:rsidRPr="007A7C1E">
        <w:rPr>
          <w:sz w:val="28"/>
        </w:rPr>
        <w:t xml:space="preserve"> </w:t>
      </w:r>
      <w:r w:rsidRPr="007A7C1E">
        <w:rPr>
          <w:sz w:val="28"/>
        </w:rPr>
        <w:t>5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третьої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після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словами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«укладати,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вносити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розривати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будівництва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будинкової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розподільної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мережі»;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четвертій: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абзац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дев’ятий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після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«майна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багатоквартирного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будинку»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словами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«плату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елементів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будівництва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будинкової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розподільної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мережі»;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після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одинадцятого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новим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«11)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зверненням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оператора,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провайдера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телекомунікацій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уповноваженої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разі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недосягнення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згоди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умов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будівництва,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будинкової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розподільної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мережі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скликати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збори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обрання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уповноваженої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особи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(осіб)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співвласників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для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укладення,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розірвання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договорів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доступу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інфраструктури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об’єктів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будівництва,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будинкової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розподільної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мережі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контролю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їх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виконанням».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зв’язку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дванадцятий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вважати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тринадцятим.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4.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Абзац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третій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підпункту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2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пункту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1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розділу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деяких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законодавчих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скорочення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переліку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видів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господарської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діяльності,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підлягають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ліцензуванню»</w:t>
      </w:r>
      <w:r w:rsidRPr="007A7C1E">
        <w:rPr>
          <w:sz w:val="28"/>
        </w:rPr>
        <w:t xml:space="preserve"> </w:t>
      </w:r>
      <w:r w:rsidRPr="007A7C1E">
        <w:rPr>
          <w:sz w:val="28"/>
        </w:rPr>
        <w:lastRenderedPageBreak/>
        <w:t>(Відомості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Верховної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України,</w:t>
      </w:r>
      <w:r w:rsidRPr="007A7C1E">
        <w:rPr>
          <w:sz w:val="28"/>
        </w:rPr>
        <w:t xml:space="preserve"> </w:t>
      </w:r>
      <w:r w:rsidRPr="007A7C1E">
        <w:rPr>
          <w:sz w:val="28"/>
        </w:rPr>
        <w:t>2019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р.,</w:t>
      </w:r>
      <w:r w:rsidRPr="007A7C1E">
        <w:rPr>
          <w:sz w:val="28"/>
        </w:rPr>
        <w:t xml:space="preserve"> </w:t>
      </w:r>
      <w:r w:rsidRPr="007A7C1E">
        <w:rPr>
          <w:sz w:val="28"/>
        </w:rPr>
        <w:t>№</w:t>
      </w:r>
      <w:r w:rsidRPr="007A7C1E">
        <w:rPr>
          <w:sz w:val="28"/>
        </w:rPr>
        <w:t xml:space="preserve"> </w:t>
      </w:r>
      <w:r w:rsidRPr="007A7C1E">
        <w:rPr>
          <w:sz w:val="28"/>
        </w:rPr>
        <w:t>42,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ст.</w:t>
      </w:r>
      <w:r w:rsidRPr="007A7C1E">
        <w:rPr>
          <w:sz w:val="28"/>
        </w:rPr>
        <w:t xml:space="preserve"> </w:t>
      </w:r>
      <w:r w:rsidRPr="007A7C1E">
        <w:rPr>
          <w:sz w:val="28"/>
        </w:rPr>
        <w:t>233)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викласти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редакції: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«доповнити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частинами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восьмою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дев’ятою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такого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змісту».</w:t>
      </w:r>
    </w:p>
    <w:p w:rsidR="007A7C1E" w:rsidRPr="007A7C1E" w:rsidRDefault="007A7C1E" w:rsidP="007A7C1E">
      <w:pPr>
        <w:pStyle w:val="StyleWisnow"/>
        <w:spacing w:line="240" w:lineRule="auto"/>
        <w:ind w:firstLine="720"/>
        <w:jc w:val="both"/>
        <w:rPr>
          <w:sz w:val="28"/>
        </w:rPr>
      </w:pPr>
      <w:r w:rsidRPr="007A7C1E">
        <w:rPr>
          <w:sz w:val="28"/>
        </w:rPr>
        <w:t>ІІ.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Прикінцеві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перехідні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положення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1.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Цей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набирає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чинності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через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30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днів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його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опублікування,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крім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пункту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4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розділу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цього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Закону,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який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набирає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чинності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набрання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чинності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«Про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внесення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змін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деяких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законодавчих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щодо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скорочення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переліку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видів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господарської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діяльності,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підлягають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ліцензуванню».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2.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Кабінету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Міністрів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протягом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трьох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місяців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дня,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наступного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днем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опублікування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цього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Закону: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привести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свої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нормативно-правові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акти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відповідність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Законом;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забезпечити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перегляд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приведення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міністерствами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іншими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центральними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органами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виконавчої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влади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їх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нормативно-правових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актів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відповідність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Законом.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3.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Рекомендувати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Національній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комісії,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здійснює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державне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регулювання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сфері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зв’язку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інформатизації,</w:t>
      </w:r>
      <w:r w:rsidRPr="007A7C1E">
        <w:rPr>
          <w:sz w:val="28"/>
        </w:rPr>
        <w:t xml:space="preserve"> </w:t>
      </w:r>
      <w:r w:rsidRPr="007A7C1E">
        <w:rPr>
          <w:sz w:val="28"/>
        </w:rPr>
        <w:t>Національній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комісії,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що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здійснює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державне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регулювання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сферах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енергетики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комунальних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послуг,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та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органам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місцевого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самоврядування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тримісячний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строк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дня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опублікування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цього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привести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свої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рішення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</w:t>
      </w:r>
      <w:r w:rsidRPr="007A7C1E">
        <w:rPr>
          <w:sz w:val="28"/>
        </w:rPr>
        <w:t xml:space="preserve"> </w:t>
      </w:r>
      <w:r w:rsidRPr="007A7C1E">
        <w:rPr>
          <w:sz w:val="28"/>
        </w:rPr>
        <w:t>відповідність</w:t>
      </w:r>
      <w:r w:rsidRPr="007A7C1E">
        <w:rPr>
          <w:sz w:val="28"/>
        </w:rPr>
        <w:t xml:space="preserve"> </w:t>
      </w:r>
      <w:r w:rsidRPr="007A7C1E">
        <w:rPr>
          <w:sz w:val="28"/>
        </w:rPr>
        <w:t>із</w:t>
      </w:r>
      <w:r w:rsidRPr="007A7C1E">
        <w:rPr>
          <w:sz w:val="28"/>
        </w:rPr>
        <w:t xml:space="preserve"> </w:t>
      </w:r>
      <w:r w:rsidRPr="007A7C1E">
        <w:rPr>
          <w:sz w:val="28"/>
        </w:rPr>
        <w:t>цим</w:t>
      </w:r>
      <w:r w:rsidRPr="007A7C1E">
        <w:rPr>
          <w:sz w:val="28"/>
        </w:rPr>
        <w:t xml:space="preserve"> </w:t>
      </w:r>
      <w:r w:rsidRPr="007A7C1E">
        <w:rPr>
          <w:sz w:val="28"/>
        </w:rPr>
        <w:t>Законом.</w:t>
      </w:r>
    </w:p>
    <w:p w:rsidR="007A7C1E" w:rsidRPr="007A7C1E" w:rsidRDefault="007A7C1E" w:rsidP="007A7C1E">
      <w:pPr>
        <w:pStyle w:val="StyleProp2"/>
        <w:spacing w:after="0" w:line="240" w:lineRule="auto"/>
        <w:ind w:firstLine="720"/>
        <w:rPr>
          <w:sz w:val="28"/>
        </w:rPr>
      </w:pPr>
      <w:r w:rsidRPr="007A7C1E">
        <w:rPr>
          <w:sz w:val="28"/>
        </w:rPr>
        <w:t>Голова</w:t>
      </w:r>
      <w:r w:rsidR="006D36C5">
        <w:rPr>
          <w:sz w:val="28"/>
          <w:lang w:val="en-US"/>
        </w:rPr>
        <w:t xml:space="preserve"> </w:t>
      </w:r>
      <w:r w:rsidRPr="007A7C1E">
        <w:rPr>
          <w:sz w:val="28"/>
        </w:rPr>
        <w:t>Верховної</w:t>
      </w:r>
      <w:r w:rsidRPr="007A7C1E">
        <w:rPr>
          <w:sz w:val="28"/>
        </w:rPr>
        <w:t xml:space="preserve"> </w:t>
      </w:r>
      <w:r w:rsidRPr="007A7C1E">
        <w:rPr>
          <w:sz w:val="28"/>
        </w:rPr>
        <w:t>Ради</w:t>
      </w:r>
      <w:r w:rsidRPr="007A7C1E">
        <w:rPr>
          <w:sz w:val="28"/>
        </w:rPr>
        <w:t xml:space="preserve"> </w:t>
      </w:r>
      <w:r w:rsidRPr="007A7C1E">
        <w:rPr>
          <w:sz w:val="28"/>
        </w:rPr>
        <w:t>України</w:t>
      </w:r>
    </w:p>
    <w:p w:rsidR="00595064" w:rsidRPr="007A7C1E" w:rsidRDefault="00595064" w:rsidP="007A7C1E">
      <w:pPr>
        <w:ind w:firstLine="720"/>
        <w:jc w:val="both"/>
        <w:rPr>
          <w:sz w:val="28"/>
        </w:rPr>
      </w:pPr>
    </w:p>
    <w:sectPr w:rsidR="00595064" w:rsidRPr="007A7C1E" w:rsidSect="007A7C1E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1E" w:rsidRDefault="007A7C1E">
      <w:r>
        <w:separator/>
      </w:r>
    </w:p>
  </w:endnote>
  <w:endnote w:type="continuationSeparator" w:id="0">
    <w:p w:rsidR="007A7C1E" w:rsidRDefault="007A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1E" w:rsidRDefault="007A7C1E" w:rsidP="00B3496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7A7C1E" w:rsidRDefault="007A7C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1E" w:rsidRDefault="007A7C1E" w:rsidP="00B3496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61752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</w:rPr>
      <w:t xml:space="preserve"> -</w:t>
    </w:r>
  </w:p>
  <w:p w:rsidR="007A7C1E" w:rsidRDefault="007A7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1E" w:rsidRDefault="007A7C1E">
      <w:r>
        <w:separator/>
      </w:r>
    </w:p>
  </w:footnote>
  <w:footnote w:type="continuationSeparator" w:id="0">
    <w:p w:rsidR="007A7C1E" w:rsidRDefault="007A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C1E"/>
    <w:rsid w:val="000268D9"/>
    <w:rsid w:val="00061752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6D36C5"/>
    <w:rsid w:val="007A7C1E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D9413"/>
  <w15:chartTrackingRefBased/>
  <w15:docId w15:val="{D3A7CE04-212A-4225-B95D-41CD234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customStyle="1" w:styleId="a8">
    <w:name w:val="Номер страницы"/>
    <w:basedOn w:val="a6"/>
    <w:rsid w:val="007A7C1E"/>
    <w:rPr>
      <w:sz w:val="28"/>
    </w:rPr>
  </w:style>
  <w:style w:type="character" w:styleId="a9">
    <w:name w:val="page number"/>
    <w:basedOn w:val="a1"/>
    <w:rsid w:val="007A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8</TotalTime>
  <Pages>4</Pages>
  <Words>1123</Words>
  <Characters>7502</Characters>
  <Application>Microsoft Office Word</Application>
  <DocSecurity>0</DocSecurity>
  <Lines>150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3</cp:revision>
  <cp:lastPrinted>1601-01-01T00:00:00Z</cp:lastPrinted>
  <dcterms:created xsi:type="dcterms:W3CDTF">2020-05-08T08:29:00Z</dcterms:created>
  <dcterms:modified xsi:type="dcterms:W3CDTF">2020-05-08T08:34:00Z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