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40" w:rsidRPr="00F71309" w:rsidRDefault="00460440" w:rsidP="00460440">
      <w:pPr>
        <w:ind w:firstLine="567"/>
        <w:jc w:val="center"/>
        <w:outlineLvl w:val="4"/>
        <w:rPr>
          <w:b/>
          <w:bCs/>
        </w:rPr>
      </w:pPr>
      <w:r w:rsidRPr="00F71309">
        <w:rPr>
          <w:b/>
          <w:bCs/>
        </w:rPr>
        <w:t>ВИСНОВОК</w:t>
      </w:r>
    </w:p>
    <w:p w:rsidR="00460440" w:rsidRPr="00F71309" w:rsidRDefault="00460440" w:rsidP="00460440">
      <w:pPr>
        <w:ind w:firstLine="567"/>
        <w:jc w:val="center"/>
        <w:outlineLvl w:val="4"/>
        <w:rPr>
          <w:b/>
          <w:bCs/>
        </w:rPr>
      </w:pPr>
      <w:r w:rsidRPr="00F71309">
        <w:rPr>
          <w:b/>
          <w:bCs/>
        </w:rPr>
        <w:t xml:space="preserve">Комітету Верховної Ради України з питань </w:t>
      </w:r>
      <w:r w:rsidRPr="00915400">
        <w:rPr>
          <w:b/>
        </w:rPr>
        <w:t>інтеграції України з Європейським Союзом</w:t>
      </w:r>
      <w:r>
        <w:rPr>
          <w:b/>
        </w:rPr>
        <w:t xml:space="preserve"> </w:t>
      </w:r>
      <w:r w:rsidRPr="00F71309">
        <w:rPr>
          <w:b/>
          <w:bCs/>
        </w:rPr>
        <w:t>щодо про</w:t>
      </w:r>
      <w:r>
        <w:rPr>
          <w:b/>
          <w:bCs/>
        </w:rPr>
        <w:t>е</w:t>
      </w:r>
      <w:r w:rsidRPr="00F71309">
        <w:rPr>
          <w:b/>
          <w:bCs/>
        </w:rPr>
        <w:t xml:space="preserve">кту Закону України </w:t>
      </w:r>
    </w:p>
    <w:p w:rsidR="00460440" w:rsidRPr="00F71309" w:rsidRDefault="00460440" w:rsidP="00460440">
      <w:pPr>
        <w:ind w:firstLine="567"/>
        <w:jc w:val="center"/>
        <w:outlineLvl w:val="4"/>
        <w:rPr>
          <w:b/>
          <w:bCs/>
        </w:rPr>
      </w:pPr>
      <w:r w:rsidRPr="00F71309">
        <w:rPr>
          <w:b/>
          <w:bCs/>
        </w:rPr>
        <w:t xml:space="preserve">«Про </w:t>
      </w:r>
      <w:r w:rsidR="006366F8" w:rsidRPr="006366F8">
        <w:rPr>
          <w:b/>
          <w:bCs/>
        </w:rPr>
        <w:t>обмеження обігу пластикових пакетів на території України</w:t>
      </w:r>
      <w:r w:rsidRPr="00F71309">
        <w:rPr>
          <w:b/>
          <w:bCs/>
        </w:rPr>
        <w:t xml:space="preserve">» </w:t>
      </w:r>
    </w:p>
    <w:p w:rsidR="00460440" w:rsidRPr="00F71309" w:rsidRDefault="00460440" w:rsidP="00460440">
      <w:pPr>
        <w:ind w:firstLine="567"/>
        <w:jc w:val="center"/>
        <w:outlineLvl w:val="4"/>
        <w:rPr>
          <w:b/>
          <w:bCs/>
        </w:rPr>
      </w:pPr>
      <w:r w:rsidRPr="00F71309">
        <w:rPr>
          <w:b/>
          <w:bCs/>
        </w:rPr>
        <w:t xml:space="preserve">(реєстр. № </w:t>
      </w:r>
      <w:r>
        <w:rPr>
          <w:b/>
          <w:bCs/>
        </w:rPr>
        <w:t>2051</w:t>
      </w:r>
      <w:r w:rsidR="006366F8">
        <w:rPr>
          <w:b/>
          <w:bCs/>
        </w:rPr>
        <w:t>-1</w:t>
      </w:r>
      <w:r w:rsidRPr="00F71309">
        <w:rPr>
          <w:b/>
          <w:bCs/>
        </w:rPr>
        <w:t xml:space="preserve"> від </w:t>
      </w:r>
      <w:r w:rsidR="006366F8">
        <w:rPr>
          <w:b/>
          <w:bCs/>
        </w:rPr>
        <w:t>18</w:t>
      </w:r>
      <w:r w:rsidRPr="00F71309">
        <w:rPr>
          <w:b/>
          <w:bCs/>
        </w:rPr>
        <w:t>.0</w:t>
      </w:r>
      <w:r>
        <w:rPr>
          <w:b/>
          <w:bCs/>
        </w:rPr>
        <w:t>9</w:t>
      </w:r>
      <w:r w:rsidRPr="00F71309">
        <w:rPr>
          <w:b/>
          <w:bCs/>
        </w:rPr>
        <w:t>.201</w:t>
      </w:r>
      <w:r>
        <w:rPr>
          <w:b/>
          <w:bCs/>
        </w:rPr>
        <w:t>9</w:t>
      </w:r>
      <w:r w:rsidRPr="00F71309">
        <w:rPr>
          <w:b/>
          <w:bCs/>
        </w:rPr>
        <w:t xml:space="preserve"> р., </w:t>
      </w:r>
      <w:proofErr w:type="spellStart"/>
      <w:r w:rsidRPr="00F71309">
        <w:rPr>
          <w:b/>
          <w:bCs/>
        </w:rPr>
        <w:t>н.д</w:t>
      </w:r>
      <w:proofErr w:type="spellEnd"/>
      <w:r w:rsidRPr="00F71309">
        <w:rPr>
          <w:b/>
          <w:bCs/>
        </w:rPr>
        <w:t xml:space="preserve">. </w:t>
      </w:r>
      <w:r w:rsidR="006366F8" w:rsidRPr="006366F8">
        <w:rPr>
          <w:b/>
          <w:bCs/>
        </w:rPr>
        <w:t>І. Кривошеєв та інші</w:t>
      </w:r>
      <w:r w:rsidRPr="00F71309">
        <w:rPr>
          <w:b/>
          <w:bCs/>
        </w:rPr>
        <w:t xml:space="preserve">) </w:t>
      </w:r>
    </w:p>
    <w:p w:rsidR="00460440" w:rsidRPr="00F71309" w:rsidRDefault="00460440" w:rsidP="00C16FB0">
      <w:pPr>
        <w:spacing w:before="120"/>
        <w:ind w:firstLine="567"/>
        <w:jc w:val="both"/>
        <w:rPr>
          <w:b/>
        </w:rPr>
      </w:pPr>
      <w:r w:rsidRPr="00F71309">
        <w:rPr>
          <w:b/>
        </w:rPr>
        <w:t>1. Загальна характеристика законопро</w:t>
      </w:r>
      <w:r>
        <w:rPr>
          <w:b/>
        </w:rPr>
        <w:t>е</w:t>
      </w:r>
      <w:r w:rsidRPr="00F71309">
        <w:rPr>
          <w:b/>
        </w:rPr>
        <w:t>кту.</w:t>
      </w:r>
    </w:p>
    <w:p w:rsidR="00460440" w:rsidRDefault="00460440" w:rsidP="00B37783">
      <w:pPr>
        <w:pStyle w:val="1"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0E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пояснювальної записки </w:t>
      </w:r>
      <w:r w:rsidR="006366F8" w:rsidRPr="000E3C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основною метою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проекту Закону </w:t>
      </w:r>
      <w:r w:rsidRPr="00670E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 </w:t>
      </w:r>
      <w:r w:rsidR="006366F8" w:rsidRPr="000E3C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визначення правових та організаційних засад обігу пластикових пакетів, упорядкування відносин, що виникають під час розповсюдження пластикових пакетів на території України, а також стимулювання розвитку виробництва </w:t>
      </w:r>
      <w:proofErr w:type="spellStart"/>
      <w:r w:rsidR="006366F8" w:rsidRPr="000E3C80">
        <w:rPr>
          <w:rFonts w:ascii="Times New Roman" w:eastAsia="Times New Roman" w:hAnsi="Times New Roman"/>
          <w:sz w:val="28"/>
          <w:szCs w:val="28"/>
          <w:lang w:val="uk-UA" w:eastAsia="ru-RU"/>
        </w:rPr>
        <w:t>біорозкладних</w:t>
      </w:r>
      <w:proofErr w:type="spellEnd"/>
      <w:r w:rsidR="006366F8" w:rsidRPr="000E3C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пластикових пакетів</w:t>
      </w:r>
      <w:r w:rsidRPr="00670E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Так, п</w:t>
      </w:r>
      <w:r w:rsidRPr="00F713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роектом Закону пропонується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введення заборони на </w:t>
      </w:r>
      <w:r w:rsidR="006366F8">
        <w:rPr>
          <w:rFonts w:ascii="Times New Roman" w:eastAsia="Times New Roman" w:hAnsi="Times New Roman"/>
          <w:sz w:val="28"/>
          <w:szCs w:val="28"/>
          <w:lang w:val="uk-UA" w:eastAsia="ru-RU"/>
        </w:rPr>
        <w:t>розповсюдження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об’єктах роздрібної торгівлі</w:t>
      </w:r>
      <w:r w:rsidR="006366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об’єктах ресторанного господарства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надлегких</w:t>
      </w:r>
      <w:r w:rsidR="006366F8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легких </w:t>
      </w:r>
      <w:r w:rsidR="006366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proofErr w:type="spellStart"/>
      <w:r w:rsidR="006366F8">
        <w:rPr>
          <w:rFonts w:ascii="Times New Roman" w:eastAsia="Times New Roman" w:hAnsi="Times New Roman"/>
          <w:sz w:val="28"/>
          <w:szCs w:val="28"/>
          <w:lang w:val="uk-UA" w:eastAsia="ru-RU"/>
        </w:rPr>
        <w:t>оксорозкладних</w:t>
      </w:r>
      <w:proofErr w:type="spellEnd"/>
      <w:r w:rsidR="006366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="006366F8">
        <w:rPr>
          <w:rFonts w:ascii="Times New Roman" w:eastAsia="Times New Roman" w:hAnsi="Times New Roman"/>
          <w:sz w:val="28"/>
          <w:szCs w:val="28"/>
          <w:lang w:val="uk-UA" w:eastAsia="ru-RU"/>
        </w:rPr>
        <w:t>оксобіорозкладних</w:t>
      </w:r>
      <w:proofErr w:type="spellEnd"/>
      <w:r w:rsidR="006366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пластикових пакетів, окрім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біорозкладних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пластикових пакетів та надлегких пластикових пакетів, призначених для пакування та</w:t>
      </w:r>
      <w:r w:rsidR="000E3C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або</w:t>
      </w:r>
      <w:r w:rsidR="000E3C80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транспортування свіжо</w:t>
      </w:r>
      <w:r w:rsidR="000E3C80">
        <w:rPr>
          <w:rFonts w:ascii="Times New Roman" w:eastAsia="Times New Roman" w:hAnsi="Times New Roman"/>
          <w:sz w:val="28"/>
          <w:szCs w:val="28"/>
          <w:lang w:val="uk-UA" w:eastAsia="ru-RU"/>
        </w:rPr>
        <w:t>ї риби 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м’яса</w:t>
      </w:r>
      <w:r w:rsidR="000E3C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продуктів з них, а також сипучих продуктів, льоду</w:t>
      </w:r>
      <w:r w:rsidR="000E3C80">
        <w:rPr>
          <w:rFonts w:ascii="Times New Roman" w:eastAsia="Times New Roman" w:hAnsi="Times New Roman"/>
          <w:sz w:val="28"/>
          <w:szCs w:val="28"/>
          <w:lang w:val="uk-UA" w:eastAsia="ru-RU"/>
        </w:rPr>
        <w:t>, які розповсюджуються в об’єктах роздрібної торгівлі як первинна упаковка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460440" w:rsidRPr="00F71309" w:rsidRDefault="00460440" w:rsidP="00460440">
      <w:pPr>
        <w:spacing w:before="240"/>
        <w:ind w:firstLine="567"/>
        <w:jc w:val="both"/>
        <w:rPr>
          <w:b/>
          <w:bCs/>
        </w:rPr>
      </w:pPr>
      <w:r w:rsidRPr="00F71309">
        <w:rPr>
          <w:rFonts w:eastAsia="Verdana"/>
          <w:b/>
          <w:bCs/>
        </w:rPr>
        <w:t>2.  </w:t>
      </w:r>
      <w:r w:rsidRPr="00F71309">
        <w:rPr>
          <w:b/>
          <w:bCs/>
        </w:rPr>
        <w:t>Належність законопроекту за предметом правового регулювання до сфери дії права Європейського Союзу.</w:t>
      </w:r>
    </w:p>
    <w:p w:rsidR="00460440" w:rsidRPr="00F71309" w:rsidRDefault="00460440" w:rsidP="00B37783">
      <w:pPr>
        <w:pStyle w:val="1"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F713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редмет правового регулювання законопроекту охоплюється положеннями Глави 6 «Навколишнє середовище» Розділу V «Економічне та галузеве співробітництво»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Додатком ХХХ </w:t>
      </w:r>
      <w:r w:rsidRPr="00F71309">
        <w:rPr>
          <w:rFonts w:ascii="Times New Roman" w:eastAsia="Times New Roman" w:hAnsi="Times New Roman"/>
          <w:sz w:val="28"/>
          <w:szCs w:val="28"/>
          <w:lang w:val="uk-UA" w:eastAsia="ru-RU"/>
        </w:rPr>
        <w:t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асоціацію).</w:t>
      </w:r>
    </w:p>
    <w:p w:rsidR="00460440" w:rsidRPr="00F71309" w:rsidRDefault="00460440" w:rsidP="00460440">
      <w:pPr>
        <w:pStyle w:val="1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1309">
        <w:rPr>
          <w:rFonts w:ascii="Times New Roman" w:eastAsia="Times New Roman" w:hAnsi="Times New Roman"/>
          <w:sz w:val="28"/>
          <w:szCs w:val="28"/>
          <w:lang w:val="uk-UA" w:eastAsia="ru-RU"/>
        </w:rPr>
        <w:t>Правовідносини, які є предметом правового регулювання законопроекту, в Європейському Союзі регулюються:</w:t>
      </w:r>
    </w:p>
    <w:p w:rsidR="00460440" w:rsidRPr="00F71309" w:rsidRDefault="00460440" w:rsidP="00460440">
      <w:pPr>
        <w:numPr>
          <w:ilvl w:val="0"/>
          <w:numId w:val="1"/>
        </w:numPr>
        <w:tabs>
          <w:tab w:val="clear" w:pos="2574"/>
          <w:tab w:val="left" w:pos="851"/>
        </w:tabs>
        <w:ind w:left="0" w:firstLine="539"/>
        <w:jc w:val="both"/>
      </w:pPr>
      <w:r w:rsidRPr="00F71309">
        <w:rPr>
          <w:i/>
        </w:rPr>
        <w:t>Директивою 94/62/ЄС Європейського Парламенту та Ради від 20 грудня 1994 року про упаковку та відходи упаковки</w:t>
      </w:r>
      <w:r w:rsidRPr="00F71309">
        <w:t xml:space="preserve"> (</w:t>
      </w:r>
      <w:proofErr w:type="spellStart"/>
      <w:r w:rsidRPr="00F71309">
        <w:t>Official</w:t>
      </w:r>
      <w:proofErr w:type="spellEnd"/>
      <w:r w:rsidRPr="00F71309">
        <w:t xml:space="preserve"> </w:t>
      </w:r>
      <w:proofErr w:type="spellStart"/>
      <w:r w:rsidRPr="00F71309">
        <w:t>Journal</w:t>
      </w:r>
      <w:proofErr w:type="spellEnd"/>
      <w:r w:rsidRPr="00F71309">
        <w:t xml:space="preserve"> L 365, 31.12.1994, р. 10–23) (далі – Директива 94/62/ЄС);</w:t>
      </w:r>
    </w:p>
    <w:p w:rsidR="00460440" w:rsidRDefault="00460440" w:rsidP="00460440">
      <w:pPr>
        <w:numPr>
          <w:ilvl w:val="0"/>
          <w:numId w:val="1"/>
        </w:numPr>
        <w:tabs>
          <w:tab w:val="clear" w:pos="2574"/>
          <w:tab w:val="left" w:pos="851"/>
        </w:tabs>
        <w:spacing w:before="60"/>
        <w:ind w:left="0" w:firstLine="539"/>
        <w:jc w:val="both"/>
      </w:pPr>
      <w:r w:rsidRPr="00F71309">
        <w:rPr>
          <w:i/>
        </w:rPr>
        <w:t>Директивою (ЄС) 2015/720 Європейського Парламенту та Ради від 29 квітня 2015 року</w:t>
      </w:r>
      <w:r>
        <w:rPr>
          <w:i/>
        </w:rPr>
        <w:t xml:space="preserve">, що </w:t>
      </w:r>
      <w:r w:rsidRPr="00F71309">
        <w:rPr>
          <w:i/>
        </w:rPr>
        <w:t>вн</w:t>
      </w:r>
      <w:r>
        <w:rPr>
          <w:i/>
        </w:rPr>
        <w:t xml:space="preserve">осить </w:t>
      </w:r>
      <w:r w:rsidRPr="00F71309">
        <w:rPr>
          <w:i/>
        </w:rPr>
        <w:t>змін</w:t>
      </w:r>
      <w:r>
        <w:rPr>
          <w:i/>
        </w:rPr>
        <w:t>и</w:t>
      </w:r>
      <w:r w:rsidRPr="00F71309">
        <w:rPr>
          <w:i/>
        </w:rPr>
        <w:t xml:space="preserve"> до Директиви 94/62/ЄС</w:t>
      </w:r>
      <w:r>
        <w:rPr>
          <w:i/>
        </w:rPr>
        <w:t>,</w:t>
      </w:r>
      <w:r w:rsidRPr="00F71309">
        <w:rPr>
          <w:i/>
        </w:rPr>
        <w:t xml:space="preserve"> щодо зменшення споживання легких пластикових пакетів</w:t>
      </w:r>
      <w:r w:rsidRPr="00F71309">
        <w:t xml:space="preserve"> (</w:t>
      </w:r>
      <w:proofErr w:type="spellStart"/>
      <w:r w:rsidRPr="00F71309">
        <w:t>Official</w:t>
      </w:r>
      <w:proofErr w:type="spellEnd"/>
      <w:r w:rsidRPr="00F71309">
        <w:t xml:space="preserve"> </w:t>
      </w:r>
      <w:proofErr w:type="spellStart"/>
      <w:r w:rsidRPr="00F71309">
        <w:t>Journal</w:t>
      </w:r>
      <w:proofErr w:type="spellEnd"/>
      <w:r w:rsidRPr="00F71309">
        <w:t xml:space="preserve"> L 115, 06.05.2015, p. 11–15) (далі – Директива 2015/720);</w:t>
      </w:r>
    </w:p>
    <w:p w:rsidR="00460440" w:rsidRDefault="00460440" w:rsidP="00460440">
      <w:pPr>
        <w:numPr>
          <w:ilvl w:val="0"/>
          <w:numId w:val="1"/>
        </w:numPr>
        <w:tabs>
          <w:tab w:val="clear" w:pos="2574"/>
          <w:tab w:val="left" w:pos="851"/>
        </w:tabs>
        <w:spacing w:before="60"/>
        <w:ind w:left="0" w:firstLine="539"/>
        <w:jc w:val="both"/>
      </w:pPr>
      <w:r w:rsidRPr="00F71309">
        <w:rPr>
          <w:i/>
        </w:rPr>
        <w:t>Директивою (ЄС) 201</w:t>
      </w:r>
      <w:r>
        <w:rPr>
          <w:i/>
        </w:rPr>
        <w:t>8</w:t>
      </w:r>
      <w:r w:rsidRPr="00F71309">
        <w:rPr>
          <w:i/>
        </w:rPr>
        <w:t>/</w:t>
      </w:r>
      <w:r>
        <w:rPr>
          <w:i/>
        </w:rPr>
        <w:t>852</w:t>
      </w:r>
      <w:r w:rsidRPr="00F71309">
        <w:rPr>
          <w:i/>
        </w:rPr>
        <w:t xml:space="preserve"> Європейського Парламенту та Ради від </w:t>
      </w:r>
      <w:r>
        <w:rPr>
          <w:i/>
        </w:rPr>
        <w:t>30</w:t>
      </w:r>
      <w:r w:rsidRPr="00F71309">
        <w:rPr>
          <w:i/>
        </w:rPr>
        <w:t xml:space="preserve"> </w:t>
      </w:r>
      <w:r>
        <w:rPr>
          <w:i/>
        </w:rPr>
        <w:t>травня</w:t>
      </w:r>
      <w:r w:rsidRPr="00F71309">
        <w:rPr>
          <w:i/>
        </w:rPr>
        <w:t xml:space="preserve"> 201</w:t>
      </w:r>
      <w:r>
        <w:rPr>
          <w:i/>
        </w:rPr>
        <w:t>8</w:t>
      </w:r>
      <w:r w:rsidRPr="00F71309">
        <w:rPr>
          <w:i/>
        </w:rPr>
        <w:t xml:space="preserve"> року</w:t>
      </w:r>
      <w:r>
        <w:rPr>
          <w:i/>
        </w:rPr>
        <w:t xml:space="preserve">, що </w:t>
      </w:r>
      <w:r w:rsidRPr="00F71309">
        <w:rPr>
          <w:i/>
        </w:rPr>
        <w:t>вн</w:t>
      </w:r>
      <w:r>
        <w:rPr>
          <w:i/>
        </w:rPr>
        <w:t xml:space="preserve">осить </w:t>
      </w:r>
      <w:r w:rsidRPr="00F71309">
        <w:rPr>
          <w:i/>
        </w:rPr>
        <w:t>змін</w:t>
      </w:r>
      <w:r>
        <w:rPr>
          <w:i/>
        </w:rPr>
        <w:t>и</w:t>
      </w:r>
      <w:r w:rsidRPr="00F71309">
        <w:rPr>
          <w:i/>
        </w:rPr>
        <w:t xml:space="preserve"> до Директиви 94/62/ЄС </w:t>
      </w:r>
      <w:r>
        <w:rPr>
          <w:i/>
        </w:rPr>
        <w:t xml:space="preserve">про </w:t>
      </w:r>
      <w:r w:rsidRPr="00F71309">
        <w:rPr>
          <w:i/>
        </w:rPr>
        <w:t>упаковку та відходи упаковки</w:t>
      </w:r>
      <w:r>
        <w:t xml:space="preserve"> (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L 1</w:t>
      </w:r>
      <w:r w:rsidRPr="00F71309">
        <w:t>5</w:t>
      </w:r>
      <w:r>
        <w:t>0</w:t>
      </w:r>
      <w:r w:rsidRPr="00F71309">
        <w:t xml:space="preserve">, </w:t>
      </w:r>
      <w:r>
        <w:t>14</w:t>
      </w:r>
      <w:r w:rsidRPr="00F71309">
        <w:t>.0</w:t>
      </w:r>
      <w:r>
        <w:t>6</w:t>
      </w:r>
      <w:r w:rsidRPr="00F71309">
        <w:t>.201</w:t>
      </w:r>
      <w:r>
        <w:t>8</w:t>
      </w:r>
      <w:r w:rsidRPr="00F71309">
        <w:t>, p. 1</w:t>
      </w:r>
      <w:r>
        <w:t>4</w:t>
      </w:r>
      <w:r w:rsidRPr="00F71309">
        <w:t>1–15</w:t>
      </w:r>
      <w:r>
        <w:t>4</w:t>
      </w:r>
      <w:r w:rsidRPr="00F71309">
        <w:t>) (далі – Директива 201</w:t>
      </w:r>
      <w:r>
        <w:t>8</w:t>
      </w:r>
      <w:r w:rsidRPr="00F71309">
        <w:t>/</w:t>
      </w:r>
      <w:r>
        <w:t>852</w:t>
      </w:r>
      <w:r w:rsidRPr="00F71309">
        <w:t>)</w:t>
      </w:r>
      <w:r>
        <w:t>;</w:t>
      </w:r>
    </w:p>
    <w:p w:rsidR="008C1311" w:rsidRPr="00F71309" w:rsidRDefault="008C1311" w:rsidP="008C1311">
      <w:pPr>
        <w:numPr>
          <w:ilvl w:val="0"/>
          <w:numId w:val="1"/>
        </w:numPr>
        <w:tabs>
          <w:tab w:val="clear" w:pos="2574"/>
          <w:tab w:val="left" w:pos="851"/>
        </w:tabs>
        <w:ind w:left="0" w:firstLine="539"/>
        <w:jc w:val="both"/>
      </w:pPr>
      <w:r w:rsidRPr="004E462F">
        <w:rPr>
          <w:bCs/>
          <w:i/>
          <w:spacing w:val="-1"/>
        </w:rPr>
        <w:t>Директивою (ЄС) 2019/904 Європейського Парламенту та Ради від 5 червня 2019 року про зменшення впливу деяких пластикових виробів на навколишнє середовище</w:t>
      </w:r>
      <w:r>
        <w:rPr>
          <w:bCs/>
          <w:spacing w:val="-1"/>
        </w:rPr>
        <w:t xml:space="preserve"> </w:t>
      </w:r>
      <w:r w:rsidRPr="00F71309">
        <w:t>(</w:t>
      </w:r>
      <w:proofErr w:type="spellStart"/>
      <w:r w:rsidRPr="00F71309">
        <w:t>Official</w:t>
      </w:r>
      <w:proofErr w:type="spellEnd"/>
      <w:r w:rsidRPr="00F71309">
        <w:t xml:space="preserve"> </w:t>
      </w:r>
      <w:proofErr w:type="spellStart"/>
      <w:r w:rsidRPr="00F71309">
        <w:t>Journal</w:t>
      </w:r>
      <w:proofErr w:type="spellEnd"/>
      <w:r w:rsidRPr="00F71309">
        <w:t xml:space="preserve"> L </w:t>
      </w:r>
      <w:r>
        <w:t>155</w:t>
      </w:r>
      <w:r w:rsidRPr="00F71309">
        <w:t xml:space="preserve">, </w:t>
      </w:r>
      <w:r>
        <w:t>1</w:t>
      </w:r>
      <w:r w:rsidRPr="00F71309">
        <w:t>2.</w:t>
      </w:r>
      <w:r>
        <w:t>06</w:t>
      </w:r>
      <w:r w:rsidRPr="00F71309">
        <w:t>.20</w:t>
      </w:r>
      <w:r>
        <w:t>19</w:t>
      </w:r>
      <w:r w:rsidRPr="00F71309">
        <w:t xml:space="preserve">, р. </w:t>
      </w:r>
      <w:r>
        <w:t>1</w:t>
      </w:r>
      <w:r w:rsidRPr="00F71309">
        <w:t>–</w:t>
      </w:r>
      <w:r>
        <w:t>19</w:t>
      </w:r>
      <w:r w:rsidRPr="00F71309">
        <w:t xml:space="preserve">) (далі – Директива </w:t>
      </w:r>
      <w:r w:rsidRPr="00D6373B">
        <w:rPr>
          <w:bCs/>
          <w:spacing w:val="-1"/>
        </w:rPr>
        <w:t xml:space="preserve">2019/904 </w:t>
      </w:r>
      <w:r w:rsidRPr="00F71309">
        <w:t>)</w:t>
      </w:r>
      <w:r>
        <w:rPr>
          <w:bCs/>
          <w:spacing w:val="-1"/>
        </w:rPr>
        <w:t>;</w:t>
      </w:r>
    </w:p>
    <w:p w:rsidR="00460440" w:rsidRDefault="00460440" w:rsidP="00460440">
      <w:pPr>
        <w:numPr>
          <w:ilvl w:val="0"/>
          <w:numId w:val="1"/>
        </w:numPr>
        <w:tabs>
          <w:tab w:val="clear" w:pos="2574"/>
          <w:tab w:val="left" w:pos="851"/>
        </w:tabs>
        <w:spacing w:before="60"/>
        <w:ind w:left="0" w:firstLine="539"/>
        <w:jc w:val="both"/>
      </w:pPr>
      <w:r w:rsidRPr="00F71309">
        <w:rPr>
          <w:i/>
        </w:rPr>
        <w:t>Директивою 2008/98/ЄС Європейського Парламенту та Ради від 19 листопада 2008 року про відходи та скасування окремих Директив</w:t>
      </w:r>
      <w:r w:rsidRPr="00F71309">
        <w:t xml:space="preserve"> (</w:t>
      </w:r>
      <w:proofErr w:type="spellStart"/>
      <w:r w:rsidRPr="00F71309">
        <w:t>Official</w:t>
      </w:r>
      <w:proofErr w:type="spellEnd"/>
      <w:r w:rsidRPr="00F71309">
        <w:t xml:space="preserve"> </w:t>
      </w:r>
      <w:proofErr w:type="spellStart"/>
      <w:r w:rsidRPr="00F71309">
        <w:t>Journal</w:t>
      </w:r>
      <w:proofErr w:type="spellEnd"/>
      <w:r w:rsidRPr="00F71309">
        <w:t xml:space="preserve"> L 312, 22.11.2008, р. 3–30) (далі – Директива 2008/98/ЄС).</w:t>
      </w:r>
    </w:p>
    <w:p w:rsidR="00BA0271" w:rsidRDefault="00BA0271">
      <w:pPr>
        <w:spacing w:after="160" w:line="259" w:lineRule="auto"/>
        <w:rPr>
          <w:rFonts w:eastAsia="Verdana"/>
          <w:b/>
          <w:bCs/>
        </w:rPr>
      </w:pPr>
      <w:r>
        <w:rPr>
          <w:rFonts w:eastAsia="Verdana"/>
          <w:b/>
          <w:bCs/>
        </w:rPr>
        <w:br w:type="page"/>
      </w:r>
    </w:p>
    <w:p w:rsidR="00460440" w:rsidRPr="00F71309" w:rsidRDefault="00460440" w:rsidP="00460440">
      <w:pPr>
        <w:ind w:firstLine="567"/>
        <w:jc w:val="both"/>
        <w:rPr>
          <w:b/>
        </w:rPr>
      </w:pPr>
      <w:r w:rsidRPr="00F71309">
        <w:rPr>
          <w:rFonts w:eastAsia="Verdana"/>
          <w:b/>
          <w:bCs/>
        </w:rPr>
        <w:lastRenderedPageBreak/>
        <w:t>3.  </w:t>
      </w:r>
      <w:r w:rsidRPr="00F71309">
        <w:rPr>
          <w:b/>
        </w:rPr>
        <w:t>Відповідність законопроекту праву ЄС.</w:t>
      </w:r>
    </w:p>
    <w:p w:rsidR="00460440" w:rsidRPr="00D06AB4" w:rsidRDefault="00460440" w:rsidP="00BA0271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6A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результатами правового аналізу проекту Закону щодо його відповідності </w:t>
      </w:r>
      <w:proofErr w:type="spellStart"/>
      <w:r w:rsidRPr="00D06AB4">
        <w:rPr>
          <w:rFonts w:ascii="Times New Roman" w:eastAsia="Times New Roman" w:hAnsi="Times New Roman"/>
          <w:sz w:val="28"/>
          <w:szCs w:val="28"/>
          <w:lang w:val="uk-UA" w:eastAsia="ru-RU"/>
        </w:rPr>
        <w:t>aquis</w:t>
      </w:r>
      <w:proofErr w:type="spellEnd"/>
      <w:r w:rsidRPr="00D06A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ЄС та Угоді про асоціацію слід зазначити таке.</w:t>
      </w:r>
    </w:p>
    <w:p w:rsidR="00460440" w:rsidRDefault="00460440" w:rsidP="00460440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1EA6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Загальна ідея законопроекту не суперечить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460440" w:rsidRDefault="008C1311" w:rsidP="00460440">
      <w:pPr>
        <w:pStyle w:val="1"/>
        <w:numPr>
          <w:ilvl w:val="0"/>
          <w:numId w:val="2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4D4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статті 361 Угоди про асоціацію</w:t>
      </w:r>
      <w:r w:rsidRPr="00BD4D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якою передбачено, що співробітництво має на меті, зокрема, збереження, захист, поліпшення і відтворення якості навколишнього середовища, захист громадського здоров’я, розсудливе та раціональне використання природних ресурсів та заохочення заходів на міжнародному рівні, спрямованих на вирішення регіональних і глобальних проблем навколишнього середовища, </w:t>
      </w:r>
      <w:proofErr w:type="spellStart"/>
      <w:r w:rsidRPr="00BD4D41">
        <w:rPr>
          <w:rFonts w:ascii="Times New Roman" w:eastAsia="Times New Roman" w:hAnsi="Times New Roman"/>
          <w:sz w:val="28"/>
          <w:szCs w:val="28"/>
          <w:lang w:val="uk-UA" w:eastAsia="ru-RU"/>
        </w:rPr>
        <w:t>inter</w:t>
      </w:r>
      <w:proofErr w:type="spellEnd"/>
      <w:r w:rsidRPr="00BD4D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D4D41">
        <w:rPr>
          <w:rFonts w:ascii="Times New Roman" w:eastAsia="Times New Roman" w:hAnsi="Times New Roman"/>
          <w:sz w:val="28"/>
          <w:szCs w:val="28"/>
          <w:lang w:val="uk-UA" w:eastAsia="ru-RU"/>
        </w:rPr>
        <w:t>alia</w:t>
      </w:r>
      <w:proofErr w:type="spellEnd"/>
      <w:r w:rsidRPr="00BD4D41">
        <w:rPr>
          <w:rFonts w:ascii="Times New Roman" w:eastAsia="Times New Roman" w:hAnsi="Times New Roman"/>
          <w:sz w:val="28"/>
          <w:szCs w:val="28"/>
          <w:lang w:val="uk-UA" w:eastAsia="ru-RU"/>
        </w:rPr>
        <w:t>, у сфері управління відходами та ресурсами</w:t>
      </w:r>
      <w:r w:rsidR="0046044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460440" w:rsidRDefault="00460440" w:rsidP="00460440">
      <w:pPr>
        <w:pStyle w:val="1"/>
        <w:numPr>
          <w:ilvl w:val="0"/>
          <w:numId w:val="2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04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загальним цілям Директиви 2008/98/ЄС. Так, відповідно до </w:t>
      </w:r>
      <w:r w:rsidRPr="00141E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статті 1 Директиви 2008/98/ЄС </w:t>
      </w:r>
      <w:r w:rsidRPr="00510487">
        <w:rPr>
          <w:rFonts w:ascii="Times New Roman" w:eastAsia="Times New Roman" w:hAnsi="Times New Roman"/>
          <w:sz w:val="28"/>
          <w:szCs w:val="28"/>
          <w:lang w:val="uk-UA" w:eastAsia="ru-RU"/>
        </w:rPr>
        <w:t>її метою є запровадження заходів із захисту довкілля та здоров’я людини шляхом запобігання або зниження негативних наслідків вироблення та управління відходами, а також зменшення загального впливу використання ресурсів та підвищення ефективності такого використання.</w:t>
      </w:r>
    </w:p>
    <w:p w:rsidR="00460440" w:rsidRPr="00510487" w:rsidRDefault="00460440" w:rsidP="00460440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510487">
        <w:rPr>
          <w:rFonts w:ascii="Times New Roman" w:eastAsia="Times New Roman" w:hAnsi="Times New Roman"/>
          <w:sz w:val="28"/>
          <w:szCs w:val="28"/>
          <w:lang w:val="uk-UA" w:eastAsia="ru-RU"/>
        </w:rPr>
        <w:t>ідповідно до Угоди про асоціацію вдосконалення законодавства у природоохоронній сфері слід здійснювати згідно з підходами, закріпленими у відповідних директивах Європейського Союзу, а саме:</w:t>
      </w:r>
    </w:p>
    <w:p w:rsidR="00460440" w:rsidRPr="00510487" w:rsidRDefault="00460440" w:rsidP="00460440">
      <w:pPr>
        <w:pStyle w:val="1"/>
        <w:numPr>
          <w:ilvl w:val="0"/>
          <w:numId w:val="3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0487">
        <w:rPr>
          <w:rFonts w:ascii="Times New Roman" w:eastAsia="Times New Roman" w:hAnsi="Times New Roman"/>
          <w:sz w:val="28"/>
          <w:szCs w:val="28"/>
          <w:lang w:val="uk-UA" w:eastAsia="ru-RU"/>
        </w:rPr>
        <w:t>в основі європейського підходу до управління відходами споживання лежить принцип розширеної відповідальності виробника, визначений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Рамковою Директивою 2008/98/ЄС</w:t>
      </w:r>
      <w:r w:rsidRPr="00510487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460440" w:rsidRPr="00510487" w:rsidRDefault="00460440" w:rsidP="00460440">
      <w:pPr>
        <w:pStyle w:val="1"/>
        <w:numPr>
          <w:ilvl w:val="0"/>
          <w:numId w:val="3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0487">
        <w:rPr>
          <w:rFonts w:ascii="Times New Roman" w:eastAsia="Times New Roman" w:hAnsi="Times New Roman"/>
          <w:sz w:val="28"/>
          <w:szCs w:val="28"/>
          <w:lang w:val="uk-UA" w:eastAsia="ru-RU"/>
        </w:rPr>
        <w:t>загальні підходи до управління відходами упаковки визначені Директивою 94/62/ЄС;</w:t>
      </w:r>
    </w:p>
    <w:p w:rsidR="00460440" w:rsidRDefault="00460440" w:rsidP="00460440">
      <w:pPr>
        <w:pStyle w:val="1"/>
        <w:numPr>
          <w:ilvl w:val="0"/>
          <w:numId w:val="3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0487">
        <w:rPr>
          <w:rFonts w:ascii="Times New Roman" w:eastAsia="Times New Roman" w:hAnsi="Times New Roman"/>
          <w:sz w:val="28"/>
          <w:szCs w:val="28"/>
          <w:lang w:val="uk-UA" w:eastAsia="ru-RU"/>
        </w:rPr>
        <w:t>конкретні заходи щодо обмеження утворення та зменшення споживання пластикових пакетів врегульовані Директивою 2015/720/ЄС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5104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460440" w:rsidRDefault="00460440" w:rsidP="00460440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1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Згідно з </w:t>
      </w:r>
      <w:r w:rsidRPr="00141E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частиною 1 статті 4 Директиви 2008/98/ЄС</w:t>
      </w:r>
      <w:r w:rsidRPr="002211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законодавстві </w:t>
      </w:r>
      <w:r w:rsidRPr="00141EA6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та під час реалізації політики у сфері відходів та управління ними слід застосовувати ієрархію відходів</w:t>
      </w:r>
      <w:r w:rsidRPr="002211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на першочерговому місці в якій знаходиться запобігання утворенню відходів. На основі цієї Директиви в Україні має бути прийнято рамковий закон про управління відходами. </w:t>
      </w:r>
    </w:p>
    <w:p w:rsidR="00460440" w:rsidRDefault="00460440" w:rsidP="00460440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1E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Директива 94/62/ЄС</w:t>
      </w:r>
      <w:r w:rsidRPr="00FA5D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спрямована на гармонізацію національних заходів, що стосуються поводження з упаковкою та відходами упаковки, з одного боку, для запобігання будь-якого її впливу на навколишнє середовище в усіх державах-членах, а також у третіх країнах або зменшення такого впливу, таким чином </w:t>
      </w:r>
      <w:r w:rsidRPr="00FA5DBB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забезпечуючи високий рівень захисту довкілля</w:t>
      </w:r>
      <w:r w:rsidRPr="00FA5D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і, з іншого боку, для </w:t>
      </w:r>
      <w:r w:rsidRPr="00221570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забезпечення функціонування внутрішнього ринку та запобігання перешкод для торгівлі та спотворення і обмеження конкуренції в межах Співтовариства</w:t>
      </w:r>
      <w:r w:rsidRPr="00FA5D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Pr="00141E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стаття 1 Директиви 94/62/ЄС</w:t>
      </w:r>
      <w:r w:rsidRPr="00FA5DBB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460440" w:rsidRPr="00226470" w:rsidRDefault="00460440" w:rsidP="00460440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647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Крім того, преамбулою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Директиви 94/62/ЄС</w:t>
      </w:r>
      <w:r w:rsidRPr="0022647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передбачено, що держави-члени можуть впроваджувати більш або менш суворі заходи у сфері запобігання утворенню відходів упаковки, їх відновлення та повторного використання порівняно з тими, що визначені Директивою, з огляду на забезпечення більш високого рівня захисту довкілля та за умови, що реалізація таких заходів не перешкоджатиме належному функціонуванню внутрішнього ринку. </w:t>
      </w:r>
    </w:p>
    <w:p w:rsidR="00460440" w:rsidRPr="00226470" w:rsidRDefault="00460440" w:rsidP="00460440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6470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Положеннями </w:t>
      </w:r>
      <w:r w:rsidRPr="00141E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Директиви 94/62/ЄС</w:t>
      </w:r>
      <w:r w:rsidRPr="002264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пропонується поступове впровадження заходів, пов’язаних з обмеженнями щодо розміщення на ринку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пластикових</w:t>
      </w:r>
      <w:r w:rsidRPr="002264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пакетів, але водночас </w:t>
      </w:r>
      <w:r w:rsidRPr="00226470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передбачається застосування комплексного підходу до вирішення питання посилення охорони навколишнього природного середовища та стану благоустрою територій</w:t>
      </w:r>
      <w:r w:rsidRPr="002264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Так, відповідно до </w:t>
      </w:r>
      <w:r w:rsidRPr="00141E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статей 1</w:t>
      </w:r>
      <w:r w:rsidRPr="002264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Pr="00141E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7 Директиви 94/62/ЄС </w:t>
      </w:r>
      <w:r w:rsidRPr="002264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захисту довкілля визнається </w:t>
      </w:r>
      <w:r w:rsidRPr="00340A14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важливість створення системи запобігання створенню відходів упаковки, повторного використання упаковки, повторної переробки та інших форм відновлення відходів упаковки</w:t>
      </w:r>
      <w:r w:rsidRPr="0022647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60440" w:rsidRDefault="00460440" w:rsidP="00460440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Директива 94/62/ЄС</w:t>
      </w:r>
      <w:r w:rsidRPr="0022647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передбачає забезпечення збирання та утилізації окремих видів відходів, насамперед, за допомогою економічних механізмів. На сьогодні саме відсутність організаційно-економічних механізмів, характерних для систем розширеної відповідальності виробника, не дає можливості </w:t>
      </w:r>
      <w:proofErr w:type="spellStart"/>
      <w:r w:rsidRPr="0022647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гнучко</w:t>
      </w:r>
      <w:proofErr w:type="spellEnd"/>
      <w:r w:rsidRPr="0022647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та ефективно регулювати обмеження виробництва та споживання окремих товарів. </w:t>
      </w:r>
    </w:p>
    <w:p w:rsidR="00460440" w:rsidRPr="00141EA6" w:rsidRDefault="00460440" w:rsidP="00460440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</w:pP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Згідно із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пунктом 10 преамбули Директиви 2015/720/ЄС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передбачено, що державам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членам з метою сприяння стійкому зниженню споживання легких пластикових пакетів слід вжити заходів щодо значного скорочення споживання легких пластикових пакетів згідно із цілями політики ЄС щодо поводження з відходами та ієрархії відходів, як це передбачено у Директиві 2008/98/ЄС. Такі </w:t>
      </w:r>
      <w:r w:rsidRPr="00E44548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>заходи по скороченню споживання повинні враховувати поточний рівень споживання легких пластикових пакетів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 окремих державах - членах, а більш високий рівень потребуватиме більш амбітних зусиль та має враховувати вже досягнутий прогрес у скороченні такого споживання.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Також передбачено, що компетентні національні органи держав-членів здійснюватимуть 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моніторинг прогресу у зниженні споживання таких пакетів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відповідно до положень </w:t>
      </w:r>
      <w:r w:rsidRPr="00141EA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статті 12 </w:t>
      </w:r>
      <w:r w:rsidRPr="00141EA6">
        <w:rPr>
          <w:rFonts w:ascii="Times New Roman" w:eastAsia="Times New Roman" w:hAnsi="Times New Roman"/>
          <w:sz w:val="28"/>
          <w:szCs w:val="28"/>
          <w:lang w:val="uk-UA" w:eastAsia="ru-RU"/>
        </w:rPr>
        <w:t>Директиви 94/62/ЄС.</w:t>
      </w:r>
      <w:r w:rsidRPr="00141EA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460440" w:rsidRDefault="00460440" w:rsidP="00460440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Відповідно до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пункту 11 преамбули Директиви 2015/720/ЄС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з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аходи, які можуть бути застосованими державами-членами, можуть включати використання економічних інструментів, таких як ціноутворення, податки та збори, які виявилися особливо ефективними у скороченні споживання пластикових пакетів, та маркетингові обмеження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за умови, що такі обмеження є пропорційними та недискримінаційними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460440" w:rsidRDefault="00460440" w:rsidP="00460440">
      <w:pPr>
        <w:pStyle w:val="1"/>
        <w:shd w:val="clear" w:color="auto" w:fill="FFFFFF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val="uk-UA" w:eastAsia="ru-RU"/>
        </w:rPr>
        <w:t>Директивою 2015/720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 xml:space="preserve"> було доповнено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val="uk-UA" w:eastAsia="ru-RU"/>
        </w:rPr>
        <w:t>статті 3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 xml:space="preserve"> та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val="uk-UA" w:eastAsia="ru-RU"/>
        </w:rPr>
        <w:t>4 Директиви 94/62/ЄС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Так,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стаття 3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була доповнена визначеннями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«пластик»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«пластиковий пакет»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(</w:t>
      </w:r>
      <w:r w:rsidRP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пакет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и</w:t>
      </w:r>
      <w:r w:rsidRP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</w:t>
      </w:r>
      <w:r w:rsidRP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ручк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ами або </w:t>
      </w:r>
      <w:r w:rsidRP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без руч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</w:t>
      </w:r>
      <w:r w:rsidRP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к,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ви</w:t>
      </w:r>
      <w:r w:rsidRP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готовлен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і </w:t>
      </w:r>
      <w:r w:rsidRP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 пластик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</w:t>
      </w:r>
      <w:r w:rsidRP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</w:t>
      </w:r>
      <w:r w:rsidRP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P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надаються споживачам </w:t>
      </w:r>
      <w:r w:rsidRPr="00C27B9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 пунктах продажу товарів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або </w:t>
      </w:r>
      <w:r w:rsidRP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продукт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P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)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E4437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«легкий пластиковий пакет»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пакети 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товщиною менше 50 </w:t>
      </w:r>
      <w:proofErr w:type="spellStart"/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мкм</w:t>
      </w:r>
      <w:proofErr w:type="spellEnd"/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),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«надлегкий пластиковий пакет»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пакети 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товщиною менше 15 </w:t>
      </w:r>
      <w:proofErr w:type="spellStart"/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мкм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які </w:t>
      </w:r>
      <w:r w:rsidRPr="00226D7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необхідні з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міркувань</w:t>
      </w:r>
      <w:r w:rsidRPr="00226D7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г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Pr="00226D7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іє</w:t>
      </w:r>
      <w:r w:rsidRPr="00226D7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и</w:t>
      </w:r>
      <w:r w:rsidRPr="00226D7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D56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або як первинна упаковка для нефасованих продуктів, коли це допомагає запобігти втраті харчових продуктів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),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«</w:t>
      </w:r>
      <w:proofErr w:type="spellStart"/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оксобіорозкладний</w:t>
      </w:r>
      <w:proofErr w:type="spellEnd"/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 xml:space="preserve"> пластиковий пакет»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(</w:t>
      </w:r>
      <w:r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пакет,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виготовлений</w:t>
      </w:r>
      <w:r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 пластиков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и</w:t>
      </w:r>
      <w:r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х матер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що</w:t>
      </w:r>
      <w:r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включают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ь</w:t>
      </w:r>
      <w:r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домішки</w:t>
      </w:r>
      <w:r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які </w:t>
      </w:r>
      <w:proofErr w:type="spellStart"/>
      <w:r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катал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зую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розкладання </w:t>
      </w:r>
      <w:r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пластиков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и</w:t>
      </w:r>
      <w:r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х матер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 на </w:t>
      </w:r>
      <w:proofErr w:type="spellStart"/>
      <w:r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крофрагмент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)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При цьому, в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пункті 18 преамбули Директиви 2015/720/ЄС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зазначається, що деякі пластикові пакети виробники маркують як </w:t>
      </w:r>
      <w:r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«</w:t>
      </w:r>
      <w:proofErr w:type="spellStart"/>
      <w:r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оксобіорозкладні</w:t>
      </w:r>
      <w:proofErr w:type="spellEnd"/>
      <w:r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» або «</w:t>
      </w:r>
      <w:proofErr w:type="spellStart"/>
      <w:r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оксорозкладні</w:t>
      </w:r>
      <w:proofErr w:type="spellEnd"/>
      <w:r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». В таких пакетах до складу загальноприйнятих пластиків входять домішки. Через наявність цих домішок пластик розпадається на дрібні частки, які залишаються в навколишньому </w:t>
      </w:r>
      <w:r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 xml:space="preserve">середовищі. Таким чином, помилково вважати такі пакети </w:t>
      </w:r>
      <w:proofErr w:type="spellStart"/>
      <w:r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біорозкладними</w:t>
      </w:r>
      <w:proofErr w:type="spellEnd"/>
      <w:r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оскільки вони можуть виявитися не вирішенням проблеми забруднення, а навпаки – збільшувати забруднення.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Крім того, в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 xml:space="preserve">підпункті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en-US" w:eastAsia="ru-RU"/>
        </w:rPr>
        <w:t>b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 xml:space="preserve">пункту 1 додатку </w:t>
      </w:r>
      <w:r w:rsidRPr="00141EA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 xml:space="preserve"> Директиви 2018/852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також зазначено, що </w:t>
      </w:r>
      <w:proofErr w:type="spellStart"/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оксорозкладн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пластикові пакети не вважаються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біорозкладними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пластиковими пакетами.</w:t>
      </w:r>
      <w:r w:rsidR="006F59C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BD6086" w:rsidRDefault="006F59C8" w:rsidP="006F59C8">
      <w:pPr>
        <w:pStyle w:val="1"/>
        <w:shd w:val="clear" w:color="auto" w:fill="FFFFFF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Згідно з </w:t>
      </w:r>
      <w:r w:rsidRPr="00B35411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пункт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ом</w:t>
      </w:r>
      <w:r w:rsidRPr="00B35411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 xml:space="preserve"> 3 статті 3 Директиви 2019/904</w:t>
      </w:r>
      <w:r w:rsidRPr="00B3541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B3541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оксорозкладний</w:t>
      </w:r>
      <w:proofErr w:type="spellEnd"/>
      <w:r w:rsidRPr="00B3541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пластик означає пластик, який включає добавки, які при окисленні призводять до фрагментації пластику на </w:t>
      </w:r>
      <w:proofErr w:type="spellStart"/>
      <w:r w:rsidRPr="00B3541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мікрофрагмен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або до хімічного розкладання.</w:t>
      </w:r>
    </w:p>
    <w:p w:rsidR="006F59C8" w:rsidRDefault="00F32B48" w:rsidP="006F59C8">
      <w:pPr>
        <w:pStyle w:val="1"/>
        <w:shd w:val="clear" w:color="auto" w:fill="FFFFFF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Відповідно до </w:t>
      </w:r>
      <w:r w:rsidR="004941E8" w:rsidRPr="004941E8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пункт 3 (d) Додатку ІІ Директиви 94/62/ЄС</w:t>
      </w:r>
      <w:r w:rsidR="004941E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4941E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</w:t>
      </w:r>
      <w:r w:rsidRPr="00F32B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іорозкладані</w:t>
      </w:r>
      <w:proofErr w:type="spellEnd"/>
      <w:r w:rsidRPr="00F32B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відходи упаковки мають бути здатні до фізичного, хімічного, термічного або біологічного розкладання, таким чином, що більшість готового компосту в кінцевому підсумку розкладається на вуглекислий газ, біомасу та воду. </w:t>
      </w:r>
      <w:proofErr w:type="spellStart"/>
      <w:r w:rsidRPr="00F32B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Оксорозкладна</w:t>
      </w:r>
      <w:proofErr w:type="spellEnd"/>
      <w:r w:rsidRPr="00F32B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(</w:t>
      </w:r>
      <w:proofErr w:type="spellStart"/>
      <w:r w:rsidRPr="00F32B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оксобіорозкладна</w:t>
      </w:r>
      <w:proofErr w:type="spellEnd"/>
      <w:r w:rsidRPr="00F32B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) пластикова упаковка не вважається </w:t>
      </w:r>
      <w:proofErr w:type="spellStart"/>
      <w:r w:rsidRPr="00F32B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біорозкладною</w:t>
      </w:r>
      <w:proofErr w:type="spellEnd"/>
      <w:r w:rsidR="004941E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6F59C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4941E8" w:rsidRPr="004941E8" w:rsidRDefault="004941E8" w:rsidP="004941E8">
      <w:pPr>
        <w:pStyle w:val="1"/>
        <w:shd w:val="clear" w:color="auto" w:fill="FFFFFF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4941E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Відповідно до </w:t>
      </w:r>
      <w:r w:rsidRPr="004941E8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ункту</w:t>
      </w:r>
      <w:r w:rsidRPr="004941E8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 xml:space="preserve"> 16 статті 3 Директиви 2019/904</w:t>
      </w:r>
      <w:r w:rsidRPr="004941E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941E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біорозкладний</w:t>
      </w:r>
      <w:proofErr w:type="spellEnd"/>
      <w:r w:rsidRPr="004941E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пластик означає пластик, здатний зазнавати фізичного, біологічного розкладання, таким чином, що він врешті-решт розкладається на вуглекислий газ (СО2), біомасу та воду, і відповідно до Європейських стандартів про упаковку, відновлюється шляхом компостування та анаеробної переробки.</w:t>
      </w:r>
    </w:p>
    <w:p w:rsidR="00BD6086" w:rsidRDefault="00460440" w:rsidP="00BD6086">
      <w:pPr>
        <w:pStyle w:val="1"/>
        <w:shd w:val="clear" w:color="auto" w:fill="FFFFFF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 огляду на вищевикладене, слід зазначити, що в частині визначення термінів законопроект не в повній мірі відповідає праву ЄС. Наприклад, у законопроекті</w:t>
      </w:r>
      <w:r w:rsidR="004D0616" w:rsidRPr="004D06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визначення термінів «пластиковий пакет»</w:t>
      </w:r>
      <w:r>
        <w:rPr>
          <w:rStyle w:val="a7"/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footnoteReference w:id="1"/>
      </w:r>
      <w:r w:rsidR="00A0298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="00CF7A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F7ACD" w:rsidRPr="005D5F4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«надлегкий пластиковий пакет»</w:t>
      </w:r>
      <w:r w:rsidR="00CF7ACD">
        <w:rPr>
          <w:rStyle w:val="a7"/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footnoteReference w:id="2"/>
      </w:r>
      <w:r w:rsidR="00A0298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«</w:t>
      </w:r>
      <w:proofErr w:type="spellStart"/>
      <w:r w:rsidR="00A0298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біорозкладний</w:t>
      </w:r>
      <w:proofErr w:type="spellEnd"/>
      <w:r w:rsidR="00A0298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пластиковий пакет»</w:t>
      </w:r>
      <w:r w:rsidR="00A02989">
        <w:rPr>
          <w:rStyle w:val="a7"/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footnoteReference w:id="3"/>
      </w:r>
      <w:r w:rsidR="00CF7A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відрізняються від визначень цих термінів, передбачених у праві ЄС. </w:t>
      </w:r>
      <w:r w:rsidR="00BD608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 частині визначення термінів «</w:t>
      </w:r>
      <w:proofErr w:type="spellStart"/>
      <w:r w:rsidR="00BD608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</w:t>
      </w:r>
      <w:r w:rsidR="00BD6086" w:rsidRPr="00F32B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ксорозкладн</w:t>
      </w:r>
      <w:r w:rsidR="00BD608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proofErr w:type="spellEnd"/>
      <w:r w:rsidR="00BD608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домішки» та «</w:t>
      </w:r>
      <w:proofErr w:type="spellStart"/>
      <w:r w:rsidR="00BD608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оксо</w:t>
      </w:r>
      <w:r w:rsidR="00BD6086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розкладні</w:t>
      </w:r>
      <w:proofErr w:type="spellEnd"/>
      <w:r w:rsidR="00BD608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(</w:t>
      </w:r>
      <w:proofErr w:type="spellStart"/>
      <w:r w:rsidR="00BD6086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оксобіорозкладні</w:t>
      </w:r>
      <w:proofErr w:type="spellEnd"/>
      <w:r w:rsidR="00BD608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) пластикові пакети» положення законопроекту не суперечать </w:t>
      </w:r>
      <w:r w:rsidR="00BD6086" w:rsidRPr="00BD608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пункту 3 статті 3 Директиви 2019/904</w:t>
      </w:r>
      <w:r w:rsidR="00BD6086" w:rsidRPr="00B3541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D608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та </w:t>
      </w:r>
      <w:r w:rsidR="00BD6086" w:rsidRPr="00BD608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статті 3 Директиви 94/62/ЄС</w:t>
      </w:r>
      <w:r w:rsidR="00BD6086" w:rsidRPr="00BD608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 </w:t>
      </w:r>
      <w:r w:rsidR="00BD608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460440" w:rsidRDefault="00460440" w:rsidP="00460440">
      <w:pPr>
        <w:pStyle w:val="1"/>
        <w:shd w:val="clear" w:color="auto" w:fill="FFFFFF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Доповненнями до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статті 4 Директиви 94/62/ЄС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внесеними </w:t>
      </w:r>
      <w:r w:rsidRPr="004613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Директивою 2015/720,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встановлено мету обмежити щорічне споживання на одну особу: до 31 грудня 2019 року – не більше 90 легких пластикових пакетів та до 31 грудня 2025 року – не більше 40 легких пластикових пакетів. Також встановлено мету забезпечити, щоб до 31 грудня 2018 року легкі пластикові пакети не розповсюджувалися на безкоштовній основі в місцях продажу (при цьому така 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 xml:space="preserve">заборона не стосується надлегких пластикових пакетів). </w:t>
      </w:r>
      <w:r w:rsidRPr="004F2B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 цьому, </w:t>
      </w:r>
      <w:r w:rsidRPr="00141EA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пунктом 13 преамбули Директиви 2015/720</w:t>
      </w:r>
      <w:r w:rsidRPr="004F2B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державам-членам дозволяється не застосовувати інструменти Директиви до надлегких пластикових пакетів у випадках застосування таких пакетів для нефасованих харчових продуктів у гігієнічних цілях та для запобігання втрат харчових продуктів.   </w:t>
      </w:r>
    </w:p>
    <w:p w:rsidR="00460440" w:rsidRDefault="00460440" w:rsidP="00460440">
      <w:pPr>
        <w:pStyle w:val="1"/>
        <w:shd w:val="clear" w:color="auto" w:fill="FFFFFF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Також </w:t>
      </w:r>
      <w:r w:rsidRPr="00141EA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Директива 2015/720/ЄС</w:t>
      </w:r>
      <w:r w:rsidRPr="00A165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зобов’язала держави-члени ЄС впровадити на національному рівні, зокрема, такі заходи: облік щорічного споживання пластикових пакетів; затвердження методології щорічного обліку та звітності про споживання пластикових пакетів; забезпечення маркування і специфікацій етикеток для </w:t>
      </w:r>
      <w:proofErr w:type="spellStart"/>
      <w:r w:rsidRPr="00A1654F">
        <w:rPr>
          <w:rFonts w:ascii="Times New Roman" w:hAnsi="Times New Roman"/>
          <w:color w:val="000000" w:themeColor="text1"/>
          <w:sz w:val="28"/>
          <w:szCs w:val="28"/>
          <w:lang w:val="uk-UA"/>
        </w:rPr>
        <w:t>біорозкладних</w:t>
      </w:r>
      <w:proofErr w:type="spellEnd"/>
      <w:r w:rsidRPr="00A165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 компостних пластикових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пакетів; </w:t>
      </w:r>
      <w:r w:rsidRPr="005D139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запровадження державами-членами інформаційних кампаній щодо наслідків надмірного споживання пластикових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пакетів</w:t>
      </w:r>
      <w:r w:rsidRPr="005D139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негативного впливу на екологію і довкілля, а також заохочувальних заходів, які сприяють зменшенню споживання пласт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ику</w:t>
      </w:r>
      <w:r w:rsidRPr="00A1654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460440" w:rsidRPr="00BC5259" w:rsidRDefault="00460440" w:rsidP="00460440">
      <w:pPr>
        <w:pStyle w:val="1"/>
        <w:shd w:val="clear" w:color="auto" w:fill="FFFFFF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C525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відміну від </w:t>
      </w:r>
      <w:r w:rsidRPr="00D314B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Директиви 2015/720</w:t>
      </w:r>
      <w:r w:rsidRPr="00BC5259">
        <w:rPr>
          <w:rFonts w:ascii="Times New Roman" w:hAnsi="Times New Roman"/>
          <w:color w:val="000000" w:themeColor="text1"/>
          <w:sz w:val="28"/>
          <w:szCs w:val="28"/>
          <w:lang w:val="uk-UA"/>
        </w:rPr>
        <w:t>, законопроект не містить положень щодо обліку щорічного споживання пластикових пакетів та затвердження відповідної методології, не передбачає проведення інформаційних кампаній щодо наслідків надмірного споживання пластикових пакетів і негативного впливу на екологію і довкілля, а також заохочувальних заходів, які сприяють зменшенню споживання пластику.</w:t>
      </w:r>
    </w:p>
    <w:p w:rsidR="00460440" w:rsidRPr="00673A98" w:rsidRDefault="00460440" w:rsidP="00460440">
      <w:pPr>
        <w:pStyle w:val="1"/>
        <w:shd w:val="clear" w:color="auto" w:fill="FFFFFF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165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Положення </w:t>
      </w:r>
      <w:r w:rsidRPr="00141EA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Директиви 2018/852</w:t>
      </w:r>
      <w:r w:rsidRPr="00A165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охоплюють більш амбітні цілі, порівнюючи із попередніми актами права ЄС, та спрямовані на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запобігання виробництву пакувальних відходів і, на додаток, на повторне використання упаковки, утилізацію відходів упаковки, а отже, на зменшення подальшого захоронення таких відходів з метою сприяння переходу до економіки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замкненого циклу (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частина 1 статті 1 Директиви 2018/852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)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:rsidR="00460440" w:rsidRDefault="00460440" w:rsidP="00460440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Згідно із положеннями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Директиви 2018/852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держави-члени повинні вжити заходів для стимулювання збільшення частки багаторазової упаковки, яка розміщується на ринку, та систем для повторного використання упаковки, що відповідає цілям екологічності, не порушуючи норм у галузі гігієни харчових продуктів або безпеки споживачів. Такі заходи, зокрема, можуть включати: а) використання схем повернення відходів упаковки;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b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) встановлення кількісних та якісних цілей використання відходів упаковки;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c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) використання економічних стимулів;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d</w:t>
      </w:r>
      <w:r w:rsidRPr="00822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встановлення мінімального процента повторно використаної упаковки, яка розміщується на ринку кожного року для кожного потоку відходів упаковки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(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частина 4 статті 1 Директиви 2018/852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)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460440" w:rsidRDefault="00460440" w:rsidP="00460440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56359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 цього приводу слід зазначити, що </w:t>
      </w:r>
      <w:r w:rsidRPr="00141EA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>переважний обсяг правовідносин щодо зменшення негативного впливу пластику в Європейському Союзі знаходиться у площині ефективного управління упаковкою та відходами</w:t>
      </w:r>
      <w:r w:rsidRPr="00AB284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Натомість, п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роект Закону</w:t>
      </w:r>
      <w:r w:rsidR="00E02C4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не є комплексним, 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2C4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а 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має на меті суттєве скорочення використання одного різновиду відходів упаковки, а саме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надлегких</w:t>
      </w:r>
      <w:r w:rsidR="004928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легких </w:t>
      </w:r>
      <w:r w:rsidR="004928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proofErr w:type="spellStart"/>
      <w:r w:rsidR="004928B1">
        <w:rPr>
          <w:rFonts w:ascii="Times New Roman" w:eastAsia="Times New Roman" w:hAnsi="Times New Roman"/>
          <w:sz w:val="28"/>
          <w:szCs w:val="28"/>
          <w:lang w:val="uk-UA" w:eastAsia="ru-RU"/>
        </w:rPr>
        <w:t>оксорозкладних</w:t>
      </w:r>
      <w:proofErr w:type="spellEnd"/>
      <w:r w:rsidR="004928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пластикових пакетів, шляхом введення заборони на їх </w:t>
      </w:r>
      <w:r w:rsidR="004928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розповсюдження </w:t>
      </w:r>
      <w:r w:rsidR="004928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 об’єктах роздрібної торгівлі та </w:t>
      </w:r>
      <w:r w:rsidR="004928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об’єктах ресторанного господарства. 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Таким чином, </w:t>
      </w:r>
      <w:r w:rsidRPr="00141EA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ці </w:t>
      </w:r>
      <w:r w:rsidRPr="00141EA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>зміни є  фрагментарними, не відповідають принципу системності законодавства, не вирішують комплексно питання поводження з відходами упаковки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та не враховують 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положення вищезазначених актів права ЄС.</w:t>
      </w:r>
      <w:r w:rsidR="00DB1F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Законопроект не забезпечить </w:t>
      </w:r>
      <w:r w:rsidR="00DB1FA2" w:rsidRPr="00D6373B">
        <w:rPr>
          <w:rFonts w:ascii="Times New Roman" w:hAnsi="Times New Roman"/>
          <w:sz w:val="28"/>
          <w:szCs w:val="28"/>
          <w:lang w:val="uk-UA"/>
        </w:rPr>
        <w:t>належного виконання зобов’язань України, передбачених Угодою про асоціацію</w:t>
      </w:r>
      <w:r w:rsidR="00DB1FA2">
        <w:rPr>
          <w:rFonts w:ascii="Times New Roman" w:hAnsi="Times New Roman"/>
          <w:sz w:val="28"/>
          <w:szCs w:val="28"/>
          <w:lang w:val="uk-UA"/>
        </w:rPr>
        <w:t>.</w:t>
      </w:r>
    </w:p>
    <w:p w:rsidR="004928B1" w:rsidRPr="007B51D2" w:rsidRDefault="004928B1" w:rsidP="004928B1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Крім того,</w:t>
      </w:r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врегулювання питання поводження лише з одним видом відходів упаковки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надлегки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ми, </w:t>
      </w:r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легки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ми</w:t>
      </w:r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оксорозкладними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пластикови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ми</w:t>
      </w:r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пакет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ами</w:t>
      </w:r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шляхом розробки окремого законодавчого </w:t>
      </w:r>
      <w:proofErr w:type="spellStart"/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без унормування таких питань у базовому законодавстві, є порушенням принципу правової визначеності («</w:t>
      </w:r>
      <w:proofErr w:type="spellStart"/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legal</w:t>
      </w:r>
      <w:proofErr w:type="spellEnd"/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certainty</w:t>
      </w:r>
      <w:proofErr w:type="spellEnd"/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») (рішення у справі С-208/90 </w:t>
      </w:r>
      <w:proofErr w:type="spellStart"/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Emott</w:t>
      </w:r>
      <w:proofErr w:type="spellEnd"/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(1991)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)</w:t>
      </w:r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згідно з яким для належного функціонування правової системи держави передбачуваність, несуперечливість та узгодженість формулювання норм є однією із обов’язкових умов для створення якісного та дієвого законодавства.</w:t>
      </w:r>
    </w:p>
    <w:p w:rsidR="00460440" w:rsidRPr="00141E3D" w:rsidRDefault="00460440" w:rsidP="00C16FB0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41E3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Враховуючи все вищевикладене, </w:t>
      </w:r>
      <w:r w:rsidR="00BA027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слід наголосити</w:t>
      </w:r>
      <w:r w:rsidRPr="00141E3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BA027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що</w:t>
      </w:r>
      <w:bookmarkStart w:id="0" w:name="_GoBack"/>
      <w:bookmarkEnd w:id="0"/>
      <w:r w:rsidRPr="00141E3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зазначену </w:t>
      </w:r>
      <w:r w:rsidRPr="00B3778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>проблему необхідно вирішувати не шляхом запровадження вибіркового регулювання обігу окремих видів упаковки, як пропонується у проекті Закону, а шляхом створення цілісної системи поводження з пакувальними матеріалами</w:t>
      </w:r>
      <w:r w:rsidRPr="00141E3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460440" w:rsidRPr="00F71309" w:rsidRDefault="00460440" w:rsidP="00460440">
      <w:pPr>
        <w:spacing w:before="240"/>
        <w:ind w:firstLine="567"/>
        <w:jc w:val="both"/>
        <w:rPr>
          <w:bCs/>
        </w:rPr>
      </w:pPr>
      <w:r w:rsidRPr="00F71309">
        <w:rPr>
          <w:rFonts w:eastAsia="Verdana"/>
          <w:b/>
          <w:bCs/>
        </w:rPr>
        <w:t>4.</w:t>
      </w:r>
      <w:r w:rsidRPr="00F71309">
        <w:rPr>
          <w:rFonts w:eastAsia="Verdana"/>
          <w:bCs/>
        </w:rPr>
        <w:t>   </w:t>
      </w:r>
      <w:r w:rsidRPr="00F71309">
        <w:rPr>
          <w:b/>
        </w:rPr>
        <w:t xml:space="preserve">Висновок Комітету з питань </w:t>
      </w:r>
      <w:r w:rsidRPr="00915400">
        <w:rPr>
          <w:b/>
        </w:rPr>
        <w:t>інтеграції України з Європейським Союзом</w:t>
      </w:r>
      <w:r w:rsidRPr="00F71309">
        <w:rPr>
          <w:b/>
        </w:rPr>
        <w:t xml:space="preserve">. </w:t>
      </w:r>
    </w:p>
    <w:p w:rsidR="00460440" w:rsidRDefault="00460440" w:rsidP="00460440">
      <w:pPr>
        <w:spacing w:after="60"/>
        <w:ind w:firstLine="720"/>
        <w:jc w:val="both"/>
        <w:rPr>
          <w:color w:val="FF0000"/>
        </w:rPr>
      </w:pPr>
      <w:r w:rsidRPr="009B1969">
        <w:t>Проект Закону за своєю метою не суперечить зобов’язанням України відповідно до Угоди про асоціацію</w:t>
      </w:r>
      <w:r w:rsidR="00BA0271" w:rsidRPr="00BA0271">
        <w:t xml:space="preserve">, </w:t>
      </w:r>
      <w:r w:rsidR="00BA0271">
        <w:t xml:space="preserve">проте </w:t>
      </w:r>
      <w:r w:rsidR="00A02768">
        <w:t xml:space="preserve">не враховує в повній мірі положення </w:t>
      </w:r>
      <w:r w:rsidR="00BA0271">
        <w:t>актів</w:t>
      </w:r>
      <w:r w:rsidR="00BA0271">
        <w:t xml:space="preserve"> </w:t>
      </w:r>
      <w:r w:rsidR="00BA0271">
        <w:t>права Європейського Союзу</w:t>
      </w:r>
      <w:r w:rsidR="00BA0271">
        <w:t xml:space="preserve"> та потребує врахування зауважень, викладених у цьому висновку</w:t>
      </w:r>
      <w:r>
        <w:t>.</w:t>
      </w:r>
    </w:p>
    <w:p w:rsidR="00DB1FA2" w:rsidRDefault="00DB1FA2" w:rsidP="00B37783">
      <w:pPr>
        <w:spacing w:before="240" w:after="60"/>
        <w:ind w:firstLine="720"/>
        <w:jc w:val="both"/>
        <w:rPr>
          <w:rFonts w:eastAsia="MS Mincho"/>
          <w:b/>
          <w:i/>
          <w:lang w:eastAsia="en-US"/>
        </w:rPr>
      </w:pPr>
    </w:p>
    <w:p w:rsidR="00DB1FA2" w:rsidRDefault="00DB1FA2" w:rsidP="00B37783">
      <w:pPr>
        <w:spacing w:before="240" w:after="60"/>
        <w:ind w:firstLine="720"/>
        <w:jc w:val="both"/>
        <w:rPr>
          <w:rFonts w:eastAsia="MS Mincho"/>
          <w:b/>
          <w:i/>
          <w:lang w:eastAsia="en-US"/>
        </w:rPr>
      </w:pPr>
    </w:p>
    <w:p w:rsidR="00DB1FA2" w:rsidRDefault="00DB1FA2" w:rsidP="00A02768">
      <w:pPr>
        <w:spacing w:before="120"/>
        <w:ind w:firstLine="567"/>
        <w:jc w:val="both"/>
        <w:rPr>
          <w:rFonts w:eastAsia="MS Mincho"/>
          <w:sz w:val="20"/>
          <w:szCs w:val="20"/>
          <w:lang w:eastAsia="en-US"/>
        </w:rPr>
      </w:pPr>
    </w:p>
    <w:p w:rsidR="00DB1FA2" w:rsidRDefault="00DB1FA2" w:rsidP="00A02768">
      <w:pPr>
        <w:spacing w:before="120"/>
        <w:ind w:firstLine="567"/>
        <w:jc w:val="both"/>
        <w:rPr>
          <w:rFonts w:eastAsia="MS Mincho"/>
          <w:sz w:val="20"/>
          <w:szCs w:val="20"/>
          <w:lang w:eastAsia="en-US"/>
        </w:rPr>
      </w:pPr>
    </w:p>
    <w:p w:rsidR="00DB1FA2" w:rsidRDefault="00DB1FA2" w:rsidP="00A02768">
      <w:pPr>
        <w:spacing w:before="120"/>
        <w:ind w:firstLine="567"/>
        <w:jc w:val="both"/>
        <w:rPr>
          <w:rFonts w:eastAsia="MS Mincho"/>
          <w:sz w:val="20"/>
          <w:szCs w:val="20"/>
          <w:lang w:eastAsia="en-US"/>
        </w:rPr>
      </w:pPr>
    </w:p>
    <w:p w:rsidR="00DB1FA2" w:rsidRDefault="00DB1FA2" w:rsidP="00A02768">
      <w:pPr>
        <w:spacing w:before="120"/>
        <w:ind w:firstLine="567"/>
        <w:jc w:val="both"/>
        <w:rPr>
          <w:rFonts w:eastAsia="MS Mincho"/>
          <w:sz w:val="20"/>
          <w:szCs w:val="20"/>
          <w:lang w:eastAsia="en-US"/>
        </w:rPr>
      </w:pPr>
    </w:p>
    <w:sectPr w:rsidR="00DB1FA2" w:rsidSect="00C16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FC" w:rsidRDefault="00CE6EFC" w:rsidP="00460440">
      <w:r>
        <w:separator/>
      </w:r>
    </w:p>
  </w:endnote>
  <w:endnote w:type="continuationSeparator" w:id="0">
    <w:p w:rsidR="00CE6EFC" w:rsidRDefault="00CE6EFC" w:rsidP="0046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B0" w:rsidRDefault="00C16FB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1774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1148D" w:rsidRPr="00E1148D" w:rsidRDefault="00BC6F4D">
        <w:pPr>
          <w:pStyle w:val="a3"/>
          <w:jc w:val="center"/>
          <w:rPr>
            <w:sz w:val="24"/>
            <w:szCs w:val="24"/>
          </w:rPr>
        </w:pPr>
        <w:r w:rsidRPr="00E1148D">
          <w:rPr>
            <w:sz w:val="24"/>
            <w:szCs w:val="24"/>
          </w:rPr>
          <w:fldChar w:fldCharType="begin"/>
        </w:r>
        <w:r w:rsidRPr="00E1148D">
          <w:rPr>
            <w:sz w:val="24"/>
            <w:szCs w:val="24"/>
          </w:rPr>
          <w:instrText>PAGE   \* MERGEFORMAT</w:instrText>
        </w:r>
        <w:r w:rsidRPr="00E1148D">
          <w:rPr>
            <w:sz w:val="24"/>
            <w:szCs w:val="24"/>
          </w:rPr>
          <w:fldChar w:fldCharType="separate"/>
        </w:r>
        <w:r w:rsidR="00BA0271">
          <w:rPr>
            <w:noProof/>
            <w:sz w:val="24"/>
            <w:szCs w:val="24"/>
          </w:rPr>
          <w:t>6</w:t>
        </w:r>
        <w:r w:rsidRPr="00E1148D">
          <w:rPr>
            <w:sz w:val="24"/>
            <w:szCs w:val="24"/>
          </w:rPr>
          <w:fldChar w:fldCharType="end"/>
        </w:r>
      </w:p>
    </w:sdtContent>
  </w:sdt>
  <w:p w:rsidR="00E1148D" w:rsidRDefault="00CE6EF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B0" w:rsidRDefault="00C16F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FC" w:rsidRDefault="00CE6EFC" w:rsidP="00460440">
      <w:r>
        <w:separator/>
      </w:r>
    </w:p>
  </w:footnote>
  <w:footnote w:type="continuationSeparator" w:id="0">
    <w:p w:rsidR="00CE6EFC" w:rsidRDefault="00CE6EFC" w:rsidP="00460440">
      <w:r>
        <w:continuationSeparator/>
      </w:r>
    </w:p>
  </w:footnote>
  <w:footnote w:id="1">
    <w:p w:rsidR="00460440" w:rsidRPr="00484A50" w:rsidRDefault="00460440" w:rsidP="00460440">
      <w:pPr>
        <w:pStyle w:val="a5"/>
        <w:jc w:val="both"/>
        <w:rPr>
          <w:sz w:val="26"/>
          <w:szCs w:val="26"/>
        </w:rPr>
      </w:pPr>
      <w:r>
        <w:rPr>
          <w:rStyle w:val="a7"/>
        </w:rPr>
        <w:footnoteRef/>
      </w:r>
      <w:r>
        <w:t xml:space="preserve"> </w:t>
      </w:r>
      <w:r w:rsidRPr="00484A50">
        <w:rPr>
          <w:sz w:val="26"/>
          <w:szCs w:val="26"/>
        </w:rPr>
        <w:t xml:space="preserve">Визначення, закріплене у Директиві 2015/720, не містить формулювання «…тара…призначена </w:t>
      </w:r>
      <w:r w:rsidRPr="00484A50">
        <w:rPr>
          <w:i/>
          <w:sz w:val="26"/>
          <w:szCs w:val="26"/>
          <w:u w:val="single"/>
        </w:rPr>
        <w:t>переважно</w:t>
      </w:r>
      <w:r w:rsidRPr="00484A50">
        <w:rPr>
          <w:sz w:val="26"/>
          <w:szCs w:val="26"/>
        </w:rPr>
        <w:t xml:space="preserve"> для», а містить формулювання «…пакети…які надаються споживачам у пунктах продажу товарів або продуктів». Потрібно зазначити, що використання слова «переважно» ускладнює однозначну інтерпретацію норм законопроекту.</w:t>
      </w:r>
    </w:p>
  </w:footnote>
  <w:footnote w:id="2">
    <w:p w:rsidR="00CF7ACD" w:rsidRPr="00484A50" w:rsidRDefault="00CF7ACD" w:rsidP="00CF7ACD">
      <w:pPr>
        <w:pStyle w:val="a5"/>
        <w:jc w:val="both"/>
        <w:rPr>
          <w:sz w:val="26"/>
          <w:szCs w:val="26"/>
        </w:rPr>
      </w:pPr>
      <w:r>
        <w:rPr>
          <w:rStyle w:val="a7"/>
        </w:rPr>
        <w:footnoteRef/>
      </w:r>
      <w:r>
        <w:t xml:space="preserve"> </w:t>
      </w:r>
      <w:r w:rsidRPr="00484A50">
        <w:rPr>
          <w:sz w:val="26"/>
          <w:szCs w:val="26"/>
        </w:rPr>
        <w:t>На відміну від Директиви 2015/720, визначення, закріплене законопроектом, не містить уточнення: «…які необхідні з міркувань гігієни або як первинна упаковка для нефасованих продуктів, коли це допомагає запобігти втраті харчових продуктів».</w:t>
      </w:r>
    </w:p>
  </w:footnote>
  <w:footnote w:id="3">
    <w:p w:rsidR="00A02989" w:rsidRPr="00A02989" w:rsidRDefault="00A02989" w:rsidP="00A02989">
      <w:pPr>
        <w:pStyle w:val="a5"/>
        <w:jc w:val="both"/>
        <w:rPr>
          <w:sz w:val="26"/>
          <w:szCs w:val="26"/>
        </w:rPr>
      </w:pPr>
      <w:r>
        <w:rPr>
          <w:rStyle w:val="a7"/>
        </w:rPr>
        <w:footnoteRef/>
      </w:r>
      <w:r>
        <w:t xml:space="preserve"> </w:t>
      </w:r>
      <w:r w:rsidRPr="00A02989">
        <w:rPr>
          <w:sz w:val="26"/>
          <w:szCs w:val="26"/>
        </w:rPr>
        <w:t xml:space="preserve">У законопроекті відсутнє уточнення про здатність </w:t>
      </w:r>
      <w:proofErr w:type="spellStart"/>
      <w:r w:rsidRPr="00A02989">
        <w:rPr>
          <w:sz w:val="26"/>
          <w:szCs w:val="26"/>
        </w:rPr>
        <w:t>біорозкладних</w:t>
      </w:r>
      <w:proofErr w:type="spellEnd"/>
      <w:r w:rsidRPr="00A02989">
        <w:rPr>
          <w:sz w:val="26"/>
          <w:szCs w:val="26"/>
        </w:rPr>
        <w:t xml:space="preserve"> відходів упаковки до фізичного, хімічного, термічного розкладання, а також те, що </w:t>
      </w:r>
      <w:proofErr w:type="spellStart"/>
      <w:r w:rsidRPr="00A02989">
        <w:rPr>
          <w:sz w:val="26"/>
          <w:szCs w:val="26"/>
        </w:rPr>
        <w:t>оксобіорозкладні</w:t>
      </w:r>
      <w:proofErr w:type="spellEnd"/>
      <w:r w:rsidRPr="00A02989">
        <w:rPr>
          <w:sz w:val="26"/>
          <w:szCs w:val="26"/>
        </w:rPr>
        <w:t xml:space="preserve"> пакети не належать до </w:t>
      </w:r>
      <w:proofErr w:type="spellStart"/>
      <w:r w:rsidRPr="00A02989">
        <w:rPr>
          <w:sz w:val="26"/>
          <w:szCs w:val="26"/>
        </w:rPr>
        <w:t>біорозкладних</w:t>
      </w:r>
      <w:proofErr w:type="spellEnd"/>
      <w:r w:rsidRPr="00A02989">
        <w:rPr>
          <w:sz w:val="26"/>
          <w:szCs w:val="26"/>
        </w:rPr>
        <w:t xml:space="preserve">, і на що саме розкладається </w:t>
      </w:r>
      <w:proofErr w:type="spellStart"/>
      <w:r w:rsidRPr="00A02989">
        <w:rPr>
          <w:sz w:val="26"/>
          <w:szCs w:val="26"/>
        </w:rPr>
        <w:t>біорозкладний</w:t>
      </w:r>
      <w:proofErr w:type="spellEnd"/>
      <w:r w:rsidRPr="00A02989">
        <w:rPr>
          <w:sz w:val="26"/>
          <w:szCs w:val="26"/>
        </w:rPr>
        <w:t xml:space="preserve"> пластик.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B0" w:rsidRDefault="00C16FB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B0" w:rsidRDefault="00C16FB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B0" w:rsidRDefault="00C16F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8E1"/>
    <w:multiLevelType w:val="hybridMultilevel"/>
    <w:tmpl w:val="4358F71C"/>
    <w:lvl w:ilvl="0" w:tplc="AD72598C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957BAE"/>
    <w:multiLevelType w:val="hybridMultilevel"/>
    <w:tmpl w:val="0B5289DC"/>
    <w:lvl w:ilvl="0" w:tplc="0E94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8F0E2A"/>
    <w:multiLevelType w:val="hybridMultilevel"/>
    <w:tmpl w:val="019AD228"/>
    <w:lvl w:ilvl="0" w:tplc="0E94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40"/>
    <w:rsid w:val="000E3C80"/>
    <w:rsid w:val="002908CE"/>
    <w:rsid w:val="00340A14"/>
    <w:rsid w:val="00460440"/>
    <w:rsid w:val="004928B1"/>
    <w:rsid w:val="004941E8"/>
    <w:rsid w:val="004D0616"/>
    <w:rsid w:val="006366F8"/>
    <w:rsid w:val="006F59C8"/>
    <w:rsid w:val="008420C5"/>
    <w:rsid w:val="008C1311"/>
    <w:rsid w:val="00A02768"/>
    <w:rsid w:val="00A02989"/>
    <w:rsid w:val="00B37783"/>
    <w:rsid w:val="00B6095F"/>
    <w:rsid w:val="00B72737"/>
    <w:rsid w:val="00BA0271"/>
    <w:rsid w:val="00BB5DCA"/>
    <w:rsid w:val="00BC6F4D"/>
    <w:rsid w:val="00BD6086"/>
    <w:rsid w:val="00C16FB0"/>
    <w:rsid w:val="00CE6EFC"/>
    <w:rsid w:val="00CF1D55"/>
    <w:rsid w:val="00CF7ACD"/>
    <w:rsid w:val="00D80DFE"/>
    <w:rsid w:val="00DB1FA2"/>
    <w:rsid w:val="00DE050F"/>
    <w:rsid w:val="00E02C4E"/>
    <w:rsid w:val="00EA5F02"/>
    <w:rsid w:val="00F32B48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259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qFormat/>
    <w:rsid w:val="004604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3">
    <w:name w:val="footer"/>
    <w:basedOn w:val="a"/>
    <w:link w:val="a4"/>
    <w:rsid w:val="00460440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rsid w:val="004604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60440"/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4604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6044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16FB0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C16FB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C8060-51FB-4AE0-A62D-222CA557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9888</Words>
  <Characters>5637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2019-10-08T09:22:00Z</dcterms:created>
  <dcterms:modified xsi:type="dcterms:W3CDTF">2019-10-16T12:54:00Z</dcterms:modified>
</cp:coreProperties>
</file>