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F88" w:rsidRPr="00087ED3" w:rsidRDefault="00821F88" w:rsidP="00821F88">
      <w:pPr>
        <w:ind w:left="4956" w:firstLine="709"/>
        <w:jc w:val="center"/>
        <w:rPr>
          <w:spacing w:val="-2"/>
          <w:sz w:val="24"/>
          <w:szCs w:val="24"/>
        </w:rPr>
      </w:pPr>
      <w:r w:rsidRPr="00087ED3">
        <w:rPr>
          <w:bCs/>
          <w:iCs/>
          <w:spacing w:val="-2"/>
          <w:sz w:val="24"/>
          <w:szCs w:val="24"/>
        </w:rPr>
        <w:t>До реєстр. № 1228</w:t>
      </w:r>
      <w:r w:rsidR="009F3785" w:rsidRPr="00087ED3">
        <w:rPr>
          <w:bCs/>
          <w:iCs/>
          <w:spacing w:val="-2"/>
          <w:sz w:val="24"/>
          <w:szCs w:val="24"/>
        </w:rPr>
        <w:t>-1</w:t>
      </w:r>
      <w:r w:rsidRPr="00087ED3">
        <w:rPr>
          <w:spacing w:val="-2"/>
          <w:sz w:val="24"/>
          <w:szCs w:val="24"/>
        </w:rPr>
        <w:t xml:space="preserve"> від 2</w:t>
      </w:r>
      <w:r w:rsidR="009F3785" w:rsidRPr="00087ED3">
        <w:rPr>
          <w:spacing w:val="-2"/>
          <w:sz w:val="24"/>
          <w:szCs w:val="24"/>
        </w:rPr>
        <w:t>0</w:t>
      </w:r>
      <w:r w:rsidRPr="00087ED3">
        <w:rPr>
          <w:spacing w:val="-2"/>
          <w:sz w:val="24"/>
          <w:szCs w:val="24"/>
        </w:rPr>
        <w:t>.09.2019 р.</w:t>
      </w: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p>
    <w:p w:rsidR="00821F88" w:rsidRPr="00087ED3" w:rsidRDefault="00821F88" w:rsidP="00821F88">
      <w:pPr>
        <w:ind w:firstLine="709"/>
        <w:jc w:val="right"/>
        <w:rPr>
          <w:b/>
          <w:bCs/>
          <w:spacing w:val="-2"/>
        </w:rPr>
      </w:pPr>
      <w:r w:rsidRPr="00087ED3">
        <w:rPr>
          <w:b/>
          <w:bCs/>
          <w:spacing w:val="-2"/>
        </w:rPr>
        <w:t>ВЕРХОВНА РАДА УКРАЇНИ</w:t>
      </w:r>
    </w:p>
    <w:p w:rsidR="00821F88" w:rsidRPr="00087ED3" w:rsidRDefault="00821F88" w:rsidP="00821F88">
      <w:pPr>
        <w:ind w:firstLine="709"/>
        <w:jc w:val="both"/>
        <w:rPr>
          <w:spacing w:val="-2"/>
        </w:rPr>
      </w:pPr>
    </w:p>
    <w:p w:rsidR="00821F88" w:rsidRPr="00087ED3" w:rsidRDefault="00821F88" w:rsidP="00821F88">
      <w:pPr>
        <w:ind w:firstLine="709"/>
        <w:jc w:val="both"/>
        <w:rPr>
          <w:spacing w:val="-2"/>
        </w:rPr>
      </w:pPr>
    </w:p>
    <w:p w:rsidR="00821F88" w:rsidRPr="00087ED3" w:rsidRDefault="00821F88" w:rsidP="00821F88">
      <w:pPr>
        <w:ind w:firstLine="709"/>
        <w:jc w:val="both"/>
        <w:rPr>
          <w:spacing w:val="-2"/>
        </w:rPr>
      </w:pPr>
      <w:r w:rsidRPr="00087ED3">
        <w:rPr>
          <w:spacing w:val="-2"/>
          <w:lang w:eastAsia="ru-RU"/>
        </w:rPr>
        <w:t xml:space="preserve">Комітет </w:t>
      </w:r>
      <w:r w:rsidRPr="00087ED3">
        <w:rPr>
          <w:spacing w:val="-2"/>
        </w:rPr>
        <w:t xml:space="preserve">з питань правоохоронної діяльності </w:t>
      </w:r>
      <w:r w:rsidRPr="00087ED3">
        <w:rPr>
          <w:spacing w:val="-2"/>
          <w:lang w:eastAsia="ru-RU"/>
        </w:rPr>
        <w:t xml:space="preserve">на виконання доручення Голови Верховної Ради України Д. Разумкова та відповідно до статті 16 Закону України «Про комітети Верховної Ради України» </w:t>
      </w:r>
      <w:r w:rsidRPr="00087ED3">
        <w:rPr>
          <w:spacing w:val="-2"/>
        </w:rPr>
        <w:t xml:space="preserve">розглянув на своєму засіданні 11 грудня 2019 року (протокол № 15) проект Закону України «Про </w:t>
      </w:r>
      <w:r w:rsidR="009F3785" w:rsidRPr="00087ED3">
        <w:rPr>
          <w:spacing w:val="-2"/>
        </w:rPr>
        <w:t>д</w:t>
      </w:r>
      <w:r w:rsidRPr="00087ED3">
        <w:rPr>
          <w:spacing w:val="-2"/>
        </w:rPr>
        <w:t>етективн</w:t>
      </w:r>
      <w:r w:rsidR="009F3785" w:rsidRPr="00087ED3">
        <w:rPr>
          <w:spacing w:val="-2"/>
        </w:rPr>
        <w:t>і послуги</w:t>
      </w:r>
      <w:r w:rsidRPr="00087ED3">
        <w:rPr>
          <w:spacing w:val="-2"/>
        </w:rPr>
        <w:t>» (</w:t>
      </w:r>
      <w:r w:rsidRPr="00087ED3">
        <w:rPr>
          <w:b/>
          <w:spacing w:val="-2"/>
        </w:rPr>
        <w:t>реєстр. № 1228</w:t>
      </w:r>
      <w:r w:rsidR="009F3785" w:rsidRPr="00087ED3">
        <w:rPr>
          <w:b/>
          <w:spacing w:val="-2"/>
        </w:rPr>
        <w:t>-1</w:t>
      </w:r>
      <w:r w:rsidRPr="00087ED3">
        <w:rPr>
          <w:b/>
          <w:spacing w:val="-2"/>
        </w:rPr>
        <w:t>)</w:t>
      </w:r>
      <w:r w:rsidRPr="00087ED3">
        <w:rPr>
          <w:spacing w:val="-2"/>
        </w:rPr>
        <w:t>, поданий народним</w:t>
      </w:r>
      <w:r w:rsidR="009F3785" w:rsidRPr="00087ED3">
        <w:rPr>
          <w:spacing w:val="-2"/>
        </w:rPr>
        <w:t>и</w:t>
      </w:r>
      <w:r w:rsidRPr="00087ED3">
        <w:rPr>
          <w:spacing w:val="-2"/>
        </w:rPr>
        <w:t xml:space="preserve"> депутат</w:t>
      </w:r>
      <w:r w:rsidR="009F3785" w:rsidRPr="00087ED3">
        <w:rPr>
          <w:spacing w:val="-2"/>
        </w:rPr>
        <w:t xml:space="preserve">ами </w:t>
      </w:r>
      <w:r w:rsidRPr="00087ED3">
        <w:rPr>
          <w:spacing w:val="-2"/>
        </w:rPr>
        <w:t xml:space="preserve">України </w:t>
      </w:r>
      <w:r w:rsidR="009F3785" w:rsidRPr="00087ED3">
        <w:rPr>
          <w:spacing w:val="-2"/>
        </w:rPr>
        <w:t xml:space="preserve">                                 М. </w:t>
      </w:r>
      <w:proofErr w:type="spellStart"/>
      <w:r w:rsidR="009F3785" w:rsidRPr="00087ED3">
        <w:rPr>
          <w:spacing w:val="-2"/>
        </w:rPr>
        <w:t>Галушко</w:t>
      </w:r>
      <w:r w:rsidR="00087ED3" w:rsidRPr="00087ED3">
        <w:rPr>
          <w:spacing w:val="-2"/>
        </w:rPr>
        <w:t>м</w:t>
      </w:r>
      <w:proofErr w:type="spellEnd"/>
      <w:r w:rsidR="009F3785" w:rsidRPr="00087ED3">
        <w:rPr>
          <w:spacing w:val="-2"/>
        </w:rPr>
        <w:t>, В. Медяником</w:t>
      </w:r>
      <w:r w:rsidRPr="00087ED3">
        <w:rPr>
          <w:spacing w:val="-2"/>
        </w:rPr>
        <w:t>.</w:t>
      </w:r>
    </w:p>
    <w:p w:rsidR="00821F88" w:rsidRPr="00087ED3" w:rsidRDefault="00821F88" w:rsidP="00821F88">
      <w:pPr>
        <w:pStyle w:val="StyleZakonu"/>
        <w:spacing w:after="0" w:line="240" w:lineRule="auto"/>
        <w:ind w:firstLine="900"/>
        <w:rPr>
          <w:sz w:val="28"/>
          <w:szCs w:val="28"/>
        </w:rPr>
      </w:pPr>
      <w:r w:rsidRPr="00087ED3">
        <w:rPr>
          <w:bCs/>
          <w:sz w:val="28"/>
          <w:szCs w:val="28"/>
        </w:rPr>
        <w:t xml:space="preserve">Метою законопроекту, як зазначено в Пояснювальній записці до нього, є законодавче врегулювання здійснення приватної детективної діяльності як </w:t>
      </w:r>
      <w:r w:rsidRPr="00087ED3">
        <w:rPr>
          <w:sz w:val="28"/>
          <w:szCs w:val="28"/>
        </w:rPr>
        <w:t>одного з шляхів забезпечення конституційних гарантій людини та громадянина на захист своїх законних прав та інтересів.</w:t>
      </w:r>
    </w:p>
    <w:p w:rsidR="009F3785" w:rsidRPr="00087ED3" w:rsidRDefault="00821F88" w:rsidP="009F3785">
      <w:pPr>
        <w:pStyle w:val="StyleZakonu"/>
        <w:spacing w:after="0" w:line="240" w:lineRule="auto"/>
        <w:ind w:firstLine="900"/>
        <w:rPr>
          <w:bCs/>
          <w:i/>
          <w:sz w:val="28"/>
          <w:szCs w:val="28"/>
        </w:rPr>
      </w:pPr>
      <w:r w:rsidRPr="00087ED3">
        <w:rPr>
          <w:sz w:val="28"/>
          <w:szCs w:val="28"/>
        </w:rPr>
        <w:t xml:space="preserve">Законопроект </w:t>
      </w:r>
      <w:r w:rsidRPr="00087ED3">
        <w:rPr>
          <w:bCs/>
          <w:sz w:val="28"/>
          <w:szCs w:val="28"/>
        </w:rPr>
        <w:t xml:space="preserve">складається </w:t>
      </w:r>
      <w:r w:rsidR="009F3785" w:rsidRPr="00087ED3">
        <w:rPr>
          <w:bCs/>
          <w:sz w:val="28"/>
          <w:szCs w:val="28"/>
        </w:rPr>
        <w:t>з 50 статей, що об’єднані у 8 розділів, які, окрім прикінцевих та перехідних положень, визначають та регламентують:</w:t>
      </w:r>
    </w:p>
    <w:p w:rsidR="009F3785" w:rsidRPr="00087ED3" w:rsidRDefault="009F3785" w:rsidP="00C878F2">
      <w:pPr>
        <w:ind w:left="709" w:firstLine="425"/>
        <w:jc w:val="both"/>
        <w:rPr>
          <w:bCs/>
        </w:rPr>
      </w:pPr>
      <w:r w:rsidRPr="00087ED3">
        <w:rPr>
          <w:bCs/>
        </w:rPr>
        <w:t>-  сферу приватної детективної діяльності, види детективних послуг та суб’єктів їх провадження (надання);</w:t>
      </w:r>
    </w:p>
    <w:p w:rsidR="009F3785" w:rsidRPr="00087ED3" w:rsidRDefault="009F3785" w:rsidP="00C878F2">
      <w:pPr>
        <w:ind w:left="709" w:firstLine="425"/>
        <w:jc w:val="both"/>
        <w:rPr>
          <w:bCs/>
        </w:rPr>
      </w:pPr>
      <w:r w:rsidRPr="00087ED3">
        <w:rPr>
          <w:bCs/>
        </w:rPr>
        <w:t xml:space="preserve">-  основні права та обов’язки суб’єктів приватної детективної діяльності, у тому числі правові механізми захисту інтересів замовників детективних послуг; </w:t>
      </w:r>
    </w:p>
    <w:p w:rsidR="009F3785" w:rsidRPr="00087ED3" w:rsidRDefault="009F3785" w:rsidP="00C878F2">
      <w:pPr>
        <w:ind w:left="709" w:firstLine="425"/>
        <w:jc w:val="both"/>
        <w:rPr>
          <w:bCs/>
        </w:rPr>
      </w:pPr>
      <w:r w:rsidRPr="00087ED3">
        <w:rPr>
          <w:bCs/>
        </w:rPr>
        <w:t xml:space="preserve">- державні заходи з легалізації та обліку приватних детективних підприємств; </w:t>
      </w:r>
    </w:p>
    <w:p w:rsidR="009F3785" w:rsidRPr="00087ED3" w:rsidRDefault="009F3785" w:rsidP="00C878F2">
      <w:pPr>
        <w:ind w:left="709" w:firstLine="425"/>
        <w:jc w:val="both"/>
        <w:rPr>
          <w:bCs/>
        </w:rPr>
      </w:pPr>
      <w:r w:rsidRPr="00087ED3">
        <w:rPr>
          <w:bCs/>
        </w:rPr>
        <w:t xml:space="preserve">-  обов’язки приватного детективного підприємства з обліку наданих детективних послуг, зберігання конфіденційної інформації та діяльності у межах кримінального судочинства;  </w:t>
      </w:r>
    </w:p>
    <w:p w:rsidR="009F3785" w:rsidRPr="00087ED3" w:rsidRDefault="009F3785" w:rsidP="00C878F2">
      <w:pPr>
        <w:ind w:left="709" w:firstLine="425"/>
        <w:jc w:val="both"/>
        <w:rPr>
          <w:bCs/>
        </w:rPr>
      </w:pPr>
      <w:r w:rsidRPr="00087ED3">
        <w:rPr>
          <w:bCs/>
        </w:rPr>
        <w:t>-  заходи державного контролю за діяльністю у сфері детективних послуг;</w:t>
      </w:r>
    </w:p>
    <w:p w:rsidR="009F3785" w:rsidRPr="00087ED3" w:rsidRDefault="009F3785" w:rsidP="00C878F2">
      <w:pPr>
        <w:ind w:left="709" w:firstLine="425"/>
        <w:jc w:val="both"/>
        <w:rPr>
          <w:bCs/>
        </w:rPr>
      </w:pPr>
      <w:r w:rsidRPr="00087ED3">
        <w:rPr>
          <w:bCs/>
        </w:rPr>
        <w:t xml:space="preserve">- захист персональних даних, отриманих у процесі надання детективних послуг;  </w:t>
      </w:r>
    </w:p>
    <w:p w:rsidR="009F3785" w:rsidRPr="00087ED3" w:rsidRDefault="009F3785" w:rsidP="00C878F2">
      <w:pPr>
        <w:pStyle w:val="a4"/>
        <w:ind w:left="709" w:firstLine="425"/>
        <w:jc w:val="both"/>
      </w:pPr>
      <w:r w:rsidRPr="00087ED3">
        <w:t>- кваліфікаційні вимоги до приватних детективів.</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Детективні послуги визначаються проектом як діяльність, що полягає в пошуку, отриманні, обробці та передачі інформації про осіб, об'єкти і події, що здійснюється на підставі договору, укладеного між замовником та детективом, зокрема :</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lastRenderedPageBreak/>
        <w:t>1) з питань,  що виникають з правовідносин, які  безпосередньо стосується особистих прав та обов’язків  фізичних осіб або їх законних представників, у тому числі:</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щодо фактів незаконного (несанкціонованого) збирання конфіденційної інформації стосовно фізичних осіб;</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xml:space="preserve">- пошук осіб, які втратили родинні зв’язки, у тому числі тих, причини та обставини зникнення яких не відомі, та можливості їх відновлення.    </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2) з питань, які випливають з економічних відносин, що стосуються:</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спроможності фізичних осіб та господарюючих суб’єктів приватного права до  виконання трудових, а також майнових а/або фінансових зобов'язань як складових їх ділової репутації,</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правомірності використання торгових назв, товарних знаків та інших об’єктів інтелектуальної власності, недобросовісної конкуренції або розголошення інформації, що становить комерційну таємницю замовника детективних послуг;</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xml:space="preserve">3) перевірка достовірності наданої страхувальниками страховим компаніям - замовникам детективних послуг, інформації про обставини заявлених страхових випадків; </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4) пошук зниклих осіб, як таких</w:t>
      </w:r>
      <w:r w:rsidR="00087ED3" w:rsidRPr="00087ED3">
        <w:rPr>
          <w:rFonts w:eastAsiaTheme="minorEastAsia"/>
          <w:lang w:eastAsia="uk-UA"/>
        </w:rPr>
        <w:t>,</w:t>
      </w:r>
      <w:r w:rsidRPr="00087ED3">
        <w:rPr>
          <w:rFonts w:eastAsiaTheme="minorEastAsia"/>
          <w:lang w:eastAsia="uk-UA"/>
        </w:rPr>
        <w:t xml:space="preserve"> що  переховуються з метою ухилення від виконання майнових а/або фінансових зобов'язань  перед замовником детективних послуг;</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5) пошук майна, щодо якого  законним власником (користувачем) тимчасово втрачені можливості володіння та розпорядження;</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6)  збір інформації та/або відомостей:</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у порядку виконання винесеної за клопотанням потерпілого (його законного або уповноваженого представника) постанови органу досудового розслідування, слідства у справі, за якою ведеться кримінальне провадження, розгляд у справах про податкові правопорушення або податкові злочини або інше, якщо в ході провадження можуть застосовуватися положення кримінального законодавства .</w:t>
      </w:r>
    </w:p>
    <w:p w:rsidR="009F3785" w:rsidRPr="00087ED3" w:rsidRDefault="009F3785" w:rsidP="009901B5">
      <w:pPr>
        <w:pStyle w:val="a4"/>
        <w:ind w:firstLine="709"/>
        <w:jc w:val="both"/>
        <w:rPr>
          <w:rFonts w:eastAsiaTheme="minorEastAsia"/>
          <w:lang w:eastAsia="uk-UA"/>
        </w:rPr>
      </w:pPr>
      <w:r w:rsidRPr="00087ED3">
        <w:rPr>
          <w:rFonts w:eastAsiaTheme="minorEastAsia"/>
          <w:lang w:eastAsia="uk-UA"/>
        </w:rPr>
        <w:t xml:space="preserve">- відомостей, які можуть бути підставою для  звернення замовника детективних послуг до правоохоронних органів або до суду з метою захисту його законних прав і інтересів.  </w:t>
      </w:r>
    </w:p>
    <w:p w:rsidR="00821F88" w:rsidRPr="00087ED3" w:rsidRDefault="00821F88" w:rsidP="00821F88">
      <w:pPr>
        <w:ind w:firstLine="709"/>
        <w:jc w:val="both"/>
      </w:pPr>
      <w:r w:rsidRPr="00087ED3">
        <w:rPr>
          <w:spacing w:val="-2"/>
        </w:rPr>
        <w:t xml:space="preserve">Проаналізувавши </w:t>
      </w:r>
      <w:r w:rsidR="005117BB" w:rsidRPr="00087ED3">
        <w:rPr>
          <w:spacing w:val="-2"/>
        </w:rPr>
        <w:t xml:space="preserve">даний </w:t>
      </w:r>
      <w:r w:rsidRPr="00087ED3">
        <w:rPr>
          <w:spacing w:val="-2"/>
        </w:rPr>
        <w:t xml:space="preserve">законопроект народні депутати України – члени Комітету погодилися з необхідністю легалізації </w:t>
      </w:r>
      <w:r w:rsidRPr="00087ED3">
        <w:t>інституту приватних детективів та наголосили, що його впровадження може стати вагомим кроком на шляху до гармонізації національного законодавства з європейським, оскільки у більшості країн Є</w:t>
      </w:r>
      <w:r w:rsidR="00087ED3" w:rsidRPr="00087ED3">
        <w:t xml:space="preserve">вропейського </w:t>
      </w:r>
      <w:r w:rsidRPr="00087ED3">
        <w:t>С</w:t>
      </w:r>
      <w:r w:rsidR="00087ED3" w:rsidRPr="00087ED3">
        <w:t>оюзу є</w:t>
      </w:r>
      <w:r w:rsidRPr="00087ED3">
        <w:t xml:space="preserve"> відповід</w:t>
      </w:r>
      <w:bookmarkStart w:id="0" w:name="_GoBack"/>
      <w:bookmarkEnd w:id="0"/>
      <w:r w:rsidRPr="00087ED3">
        <w:t>ні спеціальні закони, що регулюють детективну діяльність на законодавчому рівні.</w:t>
      </w:r>
    </w:p>
    <w:p w:rsidR="00AC7EC3" w:rsidRPr="00087ED3" w:rsidRDefault="005117BB" w:rsidP="00AC7EC3">
      <w:pPr>
        <w:pStyle w:val="a4"/>
        <w:ind w:firstLine="709"/>
        <w:jc w:val="both"/>
        <w:rPr>
          <w:u w:val="single"/>
        </w:rPr>
      </w:pPr>
      <w:r w:rsidRPr="00087ED3">
        <w:t xml:space="preserve">Разом  тим, </w:t>
      </w:r>
      <w:r w:rsidR="003A778D" w:rsidRPr="00087ED3">
        <w:t xml:space="preserve">в ході обговорення було відзначено, що </w:t>
      </w:r>
      <w:r w:rsidR="00AC7EC3" w:rsidRPr="00087ED3">
        <w:rPr>
          <w:lang w:bidi="uk-UA"/>
        </w:rPr>
        <w:t>альтернативн</w:t>
      </w:r>
      <w:r w:rsidR="003A778D" w:rsidRPr="00087ED3">
        <w:rPr>
          <w:lang w:bidi="uk-UA"/>
        </w:rPr>
        <w:t>ий законоп</w:t>
      </w:r>
      <w:r w:rsidR="00AC7EC3" w:rsidRPr="00087ED3">
        <w:rPr>
          <w:lang w:bidi="uk-UA"/>
        </w:rPr>
        <w:t>роект</w:t>
      </w:r>
      <w:r w:rsidR="003A778D" w:rsidRPr="00087ED3">
        <w:rPr>
          <w:lang w:bidi="uk-UA"/>
        </w:rPr>
        <w:t xml:space="preserve"> </w:t>
      </w:r>
      <w:r w:rsidR="00AC7EC3" w:rsidRPr="00087ED3">
        <w:rPr>
          <w:lang w:bidi="uk-UA"/>
        </w:rPr>
        <w:t>потребує ґрунтовної переробки та приведення у відповідність із українським законодавством та прийнятими в Україні правилами юридичної техніки.</w:t>
      </w:r>
    </w:p>
    <w:p w:rsidR="00AC7EC3" w:rsidRPr="00087ED3" w:rsidRDefault="00AC7EC3" w:rsidP="00AC7EC3">
      <w:pPr>
        <w:pStyle w:val="a4"/>
        <w:ind w:firstLine="709"/>
        <w:jc w:val="both"/>
        <w:rPr>
          <w:lang w:bidi="uk-UA"/>
        </w:rPr>
      </w:pPr>
      <w:r w:rsidRPr="00087ED3">
        <w:rPr>
          <w:lang w:bidi="uk-UA"/>
        </w:rPr>
        <w:t xml:space="preserve">Водночас, деякі положення законопроекту заслуговують на увагу та врахування під час роботи над основним проектом закону. Зокрема, доцільно </w:t>
      </w:r>
      <w:r w:rsidRPr="00087ED3">
        <w:rPr>
          <w:lang w:bidi="uk-UA"/>
        </w:rPr>
        <w:lastRenderedPageBreak/>
        <w:t>врахувати положення проекту, відповідно до яких замовник має надати суб’єкту приватної детективної діяльності документи, що підтверджують правовий зв’язок між потенційним замовником детективних послуг та об’єктами, щодо яких будуть здійснюватися детективні (розшукові) дії, а детектив має право вимагати в замовника документи для ознайомлення з метою оцінки того, чи буде укладення договору відповідати вимогам професійної етики детектива та чинного законодавства.</w:t>
      </w:r>
    </w:p>
    <w:p w:rsidR="003A778D" w:rsidRPr="00087ED3" w:rsidRDefault="00821F88" w:rsidP="003A778D">
      <w:pPr>
        <w:ind w:firstLine="709"/>
        <w:jc w:val="both"/>
        <w:rPr>
          <w:spacing w:val="-2"/>
        </w:rPr>
      </w:pPr>
      <w:r w:rsidRPr="00087ED3">
        <w:rPr>
          <w:spacing w:val="-2"/>
        </w:rPr>
        <w:t>Комітет взяв до уваги зауваження</w:t>
      </w:r>
      <w:r w:rsidRPr="00087ED3">
        <w:rPr>
          <w:color w:val="000000"/>
          <w:lang w:eastAsia="uk-UA"/>
        </w:rPr>
        <w:t xml:space="preserve"> Головного науково-експертного управління Апарату Верховної Ради України</w:t>
      </w:r>
      <w:r w:rsidR="003A778D" w:rsidRPr="00087ED3">
        <w:rPr>
          <w:color w:val="000000"/>
          <w:lang w:eastAsia="uk-UA"/>
        </w:rPr>
        <w:t xml:space="preserve">, експертні висновки </w:t>
      </w:r>
      <w:r w:rsidR="003A778D" w:rsidRPr="00087ED3">
        <w:t xml:space="preserve">Міністерства юстиції України, Національної поліції України, Міністерства внутрішніх справ України, Генеральної прокуратури України, </w:t>
      </w:r>
      <w:r w:rsidR="003A778D" w:rsidRPr="00087ED3">
        <w:rPr>
          <w:spacing w:val="-4"/>
        </w:rPr>
        <w:t>Служби безпеки України, Національного антикорупційного бюро України, Інституту Законодавства Верховної Ради України, Київського національного університету ім. Т. Шевченка, Харківського національного університету внутрішніх справ, Львівського та Дніпропетровського державних університетів внутрішніх справ, у</w:t>
      </w:r>
      <w:r w:rsidR="003A778D" w:rsidRPr="00087ED3">
        <w:rPr>
          <w:spacing w:val="-2"/>
        </w:rPr>
        <w:t xml:space="preserve"> яких </w:t>
      </w:r>
      <w:r w:rsidR="00C878F2" w:rsidRPr="00087ED3">
        <w:rPr>
          <w:spacing w:val="-2"/>
        </w:rPr>
        <w:t xml:space="preserve">висловлюється ціла низка критичних зауважень та пропозицій і </w:t>
      </w:r>
      <w:r w:rsidR="003A778D" w:rsidRPr="00087ED3">
        <w:rPr>
          <w:spacing w:val="-2"/>
        </w:rPr>
        <w:t xml:space="preserve">зазначається, що положення законопроекту за реєстр. № </w:t>
      </w:r>
      <w:r w:rsidR="00C878F2" w:rsidRPr="00087ED3">
        <w:rPr>
          <w:spacing w:val="-2"/>
        </w:rPr>
        <w:t>1228-1</w:t>
      </w:r>
      <w:r w:rsidR="003A778D" w:rsidRPr="00087ED3">
        <w:rPr>
          <w:spacing w:val="-2"/>
        </w:rPr>
        <w:t xml:space="preserve"> потребують </w:t>
      </w:r>
      <w:r w:rsidR="00C878F2" w:rsidRPr="00087ED3">
        <w:rPr>
          <w:spacing w:val="-2"/>
        </w:rPr>
        <w:t xml:space="preserve">ґрунтовного </w:t>
      </w:r>
      <w:r w:rsidR="003A778D" w:rsidRPr="00087ED3">
        <w:rPr>
          <w:spacing w:val="-2"/>
        </w:rPr>
        <w:t>доопрацювання.</w:t>
      </w:r>
    </w:p>
    <w:p w:rsidR="00821F88" w:rsidRPr="00087ED3" w:rsidRDefault="003A778D" w:rsidP="003A778D">
      <w:pPr>
        <w:widowControl w:val="0"/>
        <w:pBdr>
          <w:top w:val="nil"/>
          <w:left w:val="nil"/>
          <w:bottom w:val="nil"/>
          <w:right w:val="nil"/>
          <w:between w:val="nil"/>
        </w:pBdr>
        <w:ind w:firstLine="748"/>
        <w:jc w:val="both"/>
        <w:rPr>
          <w:b/>
        </w:rPr>
      </w:pPr>
      <w:r w:rsidRPr="00087ED3">
        <w:t>На підставі викладеного</w:t>
      </w:r>
      <w:r w:rsidR="00821F88" w:rsidRPr="00087ED3">
        <w:t xml:space="preserve">, Комітет погодився з необхідністю доопрацювання проекту Закону України </w:t>
      </w:r>
      <w:r w:rsidR="00821F88" w:rsidRPr="00087ED3">
        <w:rPr>
          <w:spacing w:val="-2"/>
        </w:rPr>
        <w:t>«Про детективн</w:t>
      </w:r>
      <w:r w:rsidR="009F3785" w:rsidRPr="00087ED3">
        <w:rPr>
          <w:spacing w:val="-2"/>
        </w:rPr>
        <w:t>і послуги</w:t>
      </w:r>
      <w:r w:rsidR="00821F88" w:rsidRPr="00087ED3">
        <w:rPr>
          <w:spacing w:val="-2"/>
        </w:rPr>
        <w:t xml:space="preserve">» (реєстр. </w:t>
      </w:r>
      <w:r w:rsidRPr="00087ED3">
        <w:rPr>
          <w:spacing w:val="-2"/>
        </w:rPr>
        <w:t xml:space="preserve">                      </w:t>
      </w:r>
      <w:r w:rsidR="00821F88" w:rsidRPr="00087ED3">
        <w:rPr>
          <w:spacing w:val="-2"/>
        </w:rPr>
        <w:t>№ 1228</w:t>
      </w:r>
      <w:r w:rsidR="009F3785" w:rsidRPr="00087ED3">
        <w:rPr>
          <w:spacing w:val="-2"/>
        </w:rPr>
        <w:t>-1</w:t>
      </w:r>
      <w:r w:rsidR="00821F88" w:rsidRPr="00087ED3">
        <w:rPr>
          <w:spacing w:val="-2"/>
        </w:rPr>
        <w:t xml:space="preserve">) </w:t>
      </w:r>
      <w:r w:rsidRPr="00087ED3">
        <w:rPr>
          <w:spacing w:val="-2"/>
        </w:rPr>
        <w:t>а також</w:t>
      </w:r>
      <w:r w:rsidR="00821F88" w:rsidRPr="00087ED3">
        <w:t xml:space="preserve">, </w:t>
      </w:r>
      <w:r w:rsidR="00821F88" w:rsidRPr="00087ED3">
        <w:rPr>
          <w:spacing w:val="-2"/>
        </w:rPr>
        <w:t xml:space="preserve">керуючись положеннями частини другої статті 110, </w:t>
      </w:r>
      <w:r w:rsidR="00821F88" w:rsidRPr="00087ED3">
        <w:t>пункту</w:t>
      </w:r>
      <w:r w:rsidRPr="00087ED3">
        <w:t xml:space="preserve">                 </w:t>
      </w:r>
      <w:r w:rsidR="00821F88" w:rsidRPr="00087ED3">
        <w:t xml:space="preserve"> 1 частини першої статті 111 та пункту 3 частини статті 114 Регламенту Верховної Ради України, рекомендує Верховній Раді України за результатами розгляду у першому читанні </w:t>
      </w:r>
      <w:r w:rsidR="00821F88" w:rsidRPr="00087ED3">
        <w:rPr>
          <w:b/>
        </w:rPr>
        <w:t xml:space="preserve">направити його до </w:t>
      </w:r>
      <w:r w:rsidR="00260282" w:rsidRPr="00087ED3">
        <w:rPr>
          <w:b/>
        </w:rPr>
        <w:t>К</w:t>
      </w:r>
      <w:r w:rsidR="00821F88" w:rsidRPr="00087ED3">
        <w:rPr>
          <w:b/>
        </w:rPr>
        <w:t xml:space="preserve">омітету </w:t>
      </w:r>
      <w:r w:rsidR="00260282" w:rsidRPr="00087ED3">
        <w:rPr>
          <w:b/>
        </w:rPr>
        <w:t xml:space="preserve">з питань правоохоронної діяльності </w:t>
      </w:r>
      <w:r w:rsidR="00821F88" w:rsidRPr="00087ED3">
        <w:rPr>
          <w:b/>
        </w:rPr>
        <w:t>для підготовки на повторне перше читання.</w:t>
      </w:r>
    </w:p>
    <w:p w:rsidR="00821F88" w:rsidRPr="00087ED3" w:rsidRDefault="00821F88" w:rsidP="00821F88">
      <w:pPr>
        <w:pStyle w:val="a4"/>
        <w:ind w:firstLine="709"/>
        <w:jc w:val="both"/>
        <w:rPr>
          <w:spacing w:val="-2"/>
        </w:rPr>
      </w:pPr>
      <w:r w:rsidRPr="00087ED3">
        <w:rPr>
          <w:spacing w:val="-2"/>
        </w:rPr>
        <w:t>Співдоповідачем на пленарному засіданні Верховної Ради України визначено народного депутата України – члена Комітету Галушка Миколу Леонідовича</w:t>
      </w:r>
      <w:r w:rsidRPr="00087ED3">
        <w:t>.</w:t>
      </w:r>
    </w:p>
    <w:p w:rsidR="00821F88" w:rsidRPr="00087ED3" w:rsidRDefault="00821F88" w:rsidP="00821F88">
      <w:pPr>
        <w:pStyle w:val="a7"/>
        <w:spacing w:before="0"/>
        <w:ind w:firstLine="709"/>
        <w:jc w:val="both"/>
        <w:rPr>
          <w:rFonts w:ascii="Times New Roman" w:hAnsi="Times New Roman" w:cs="Times New Roman"/>
          <w:spacing w:val="-2"/>
          <w:sz w:val="28"/>
          <w:szCs w:val="28"/>
        </w:rPr>
      </w:pPr>
      <w:r w:rsidRPr="00087ED3">
        <w:rPr>
          <w:rFonts w:ascii="Times New Roman" w:hAnsi="Times New Roman" w:cs="Times New Roman"/>
          <w:spacing w:val="-2"/>
          <w:sz w:val="28"/>
          <w:szCs w:val="28"/>
        </w:rPr>
        <w:t>Проект постанови Верховної Ради України та необхідні матеріали додаються.</w:t>
      </w:r>
    </w:p>
    <w:p w:rsidR="00821F88" w:rsidRPr="00087ED3" w:rsidRDefault="00821F88" w:rsidP="00821F88">
      <w:pPr>
        <w:pStyle w:val="a7"/>
        <w:spacing w:before="0"/>
        <w:ind w:firstLine="709"/>
        <w:jc w:val="both"/>
        <w:rPr>
          <w:rFonts w:ascii="Times New Roman" w:hAnsi="Times New Roman" w:cs="Times New Roman"/>
          <w:spacing w:val="-2"/>
          <w:sz w:val="28"/>
          <w:szCs w:val="28"/>
        </w:rPr>
      </w:pPr>
      <w:r w:rsidRPr="00087ED3">
        <w:rPr>
          <w:rFonts w:ascii="Times New Roman" w:hAnsi="Times New Roman" w:cs="Times New Roman"/>
          <w:spacing w:val="-2"/>
          <w:sz w:val="28"/>
          <w:szCs w:val="28"/>
        </w:rPr>
        <w:t xml:space="preserve">Просимо розглянути.  </w:t>
      </w:r>
    </w:p>
    <w:p w:rsidR="00821F88" w:rsidRPr="00087ED3" w:rsidRDefault="00821F88" w:rsidP="00821F88">
      <w:pPr>
        <w:pStyle w:val="a7"/>
        <w:spacing w:before="0"/>
        <w:ind w:firstLine="709"/>
        <w:jc w:val="both"/>
        <w:rPr>
          <w:rFonts w:ascii="Times New Roman" w:hAnsi="Times New Roman" w:cs="Times New Roman"/>
          <w:spacing w:val="-2"/>
          <w:sz w:val="28"/>
          <w:szCs w:val="28"/>
        </w:rPr>
      </w:pPr>
    </w:p>
    <w:p w:rsidR="00821F88" w:rsidRPr="00087ED3" w:rsidRDefault="00821F88" w:rsidP="00821F88">
      <w:pPr>
        <w:pStyle w:val="a7"/>
        <w:spacing w:before="0"/>
        <w:ind w:firstLine="709"/>
        <w:jc w:val="both"/>
        <w:rPr>
          <w:rFonts w:ascii="Times New Roman" w:hAnsi="Times New Roman" w:cs="Times New Roman"/>
          <w:spacing w:val="-2"/>
          <w:sz w:val="28"/>
          <w:szCs w:val="28"/>
        </w:rPr>
      </w:pPr>
    </w:p>
    <w:p w:rsidR="00821F88" w:rsidRPr="00087ED3" w:rsidRDefault="00821F88" w:rsidP="00821F88">
      <w:pPr>
        <w:pStyle w:val="a7"/>
        <w:spacing w:before="0"/>
        <w:ind w:firstLine="709"/>
        <w:jc w:val="both"/>
        <w:rPr>
          <w:rFonts w:ascii="Times New Roman" w:hAnsi="Times New Roman" w:cs="Times New Roman"/>
          <w:spacing w:val="-2"/>
          <w:sz w:val="28"/>
          <w:szCs w:val="28"/>
        </w:rPr>
      </w:pPr>
    </w:p>
    <w:p w:rsidR="00E112E9" w:rsidRPr="00087ED3" w:rsidRDefault="00821F88" w:rsidP="00C878F2">
      <w:pPr>
        <w:widowControl w:val="0"/>
        <w:autoSpaceDE w:val="0"/>
        <w:autoSpaceDN w:val="0"/>
        <w:adjustRightInd w:val="0"/>
        <w:spacing w:before="120" w:after="120"/>
        <w:ind w:right="-4"/>
        <w:jc w:val="both"/>
      </w:pPr>
      <w:r w:rsidRPr="00087ED3">
        <w:rPr>
          <w:b/>
        </w:rPr>
        <w:t>Голова Комітету</w:t>
      </w:r>
      <w:r w:rsidRPr="00087ED3">
        <w:rPr>
          <w:b/>
        </w:rPr>
        <w:tab/>
      </w:r>
      <w:r w:rsidRPr="00087ED3">
        <w:rPr>
          <w:b/>
        </w:rPr>
        <w:tab/>
      </w:r>
      <w:r w:rsidRPr="00087ED3">
        <w:rPr>
          <w:b/>
        </w:rPr>
        <w:tab/>
      </w:r>
      <w:r w:rsidRPr="00087ED3">
        <w:rPr>
          <w:b/>
        </w:rPr>
        <w:tab/>
      </w:r>
      <w:r w:rsidRPr="00087ED3">
        <w:rPr>
          <w:b/>
        </w:rPr>
        <w:tab/>
      </w:r>
      <w:r w:rsidRPr="00087ED3">
        <w:rPr>
          <w:b/>
        </w:rPr>
        <w:tab/>
      </w:r>
      <w:r w:rsidRPr="00087ED3">
        <w:rPr>
          <w:b/>
        </w:rPr>
        <w:tab/>
        <w:t xml:space="preserve"> Д. Монастирський</w:t>
      </w:r>
    </w:p>
    <w:sectPr w:rsidR="00E112E9" w:rsidRPr="00087ED3" w:rsidSect="00396A1B">
      <w:footerReference w:type="default" r:id="rId7"/>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FD" w:rsidRDefault="00F654FD">
      <w:r>
        <w:separator/>
      </w:r>
    </w:p>
  </w:endnote>
  <w:endnote w:type="continuationSeparator" w:id="0">
    <w:p w:rsidR="00F654FD" w:rsidRDefault="00F6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58127"/>
      <w:docPartObj>
        <w:docPartGallery w:val="Page Numbers (Bottom of Page)"/>
        <w:docPartUnique/>
      </w:docPartObj>
    </w:sdtPr>
    <w:sdtEndPr/>
    <w:sdtContent>
      <w:p w:rsidR="007550BB" w:rsidRDefault="00C878F2">
        <w:pPr>
          <w:pStyle w:val="a8"/>
          <w:jc w:val="right"/>
        </w:pPr>
        <w:r>
          <w:fldChar w:fldCharType="begin"/>
        </w:r>
        <w:r>
          <w:instrText>PAGE   \* MERGEFORMAT</w:instrText>
        </w:r>
        <w:r>
          <w:fldChar w:fldCharType="separate"/>
        </w:r>
        <w:r w:rsidR="00087ED3">
          <w:rPr>
            <w:noProof/>
          </w:rPr>
          <w:t>2</w:t>
        </w:r>
        <w:r>
          <w:fldChar w:fldCharType="end"/>
        </w:r>
      </w:p>
    </w:sdtContent>
  </w:sdt>
  <w:p w:rsidR="007550BB" w:rsidRDefault="00F654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FD" w:rsidRDefault="00F654FD">
      <w:r>
        <w:separator/>
      </w:r>
    </w:p>
  </w:footnote>
  <w:footnote w:type="continuationSeparator" w:id="0">
    <w:p w:rsidR="00F654FD" w:rsidRDefault="00F6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E4"/>
    <w:multiLevelType w:val="hybridMultilevel"/>
    <w:tmpl w:val="77BA8D00"/>
    <w:lvl w:ilvl="0" w:tplc="47BC8366">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88"/>
    <w:rsid w:val="00087ED3"/>
    <w:rsid w:val="00227BA4"/>
    <w:rsid w:val="00260282"/>
    <w:rsid w:val="002D79B0"/>
    <w:rsid w:val="003A778D"/>
    <w:rsid w:val="004A41C1"/>
    <w:rsid w:val="005117BB"/>
    <w:rsid w:val="00821F88"/>
    <w:rsid w:val="009901B5"/>
    <w:rsid w:val="009F3785"/>
    <w:rsid w:val="00A9701B"/>
    <w:rsid w:val="00AC7EC3"/>
    <w:rsid w:val="00C878F2"/>
    <w:rsid w:val="00E112E9"/>
    <w:rsid w:val="00F654FD"/>
    <w:rsid w:val="00FA6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5C1E"/>
  <w15:chartTrackingRefBased/>
  <w15:docId w15:val="{3EA4654B-414D-4262-AE58-A2D8A6C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88"/>
    <w:pPr>
      <w:spacing w:after="0" w:line="240" w:lineRule="auto"/>
    </w:pPr>
    <w:rPr>
      <w:rFonts w:ascii="Times New Roman" w:eastAsia="Times New Roman" w:hAnsi="Times New Roman" w:cs="Times New Roman"/>
      <w:sz w:val="28"/>
      <w:szCs w:val="2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821F88"/>
    <w:pPr>
      <w:spacing w:after="60" w:line="220" w:lineRule="exact"/>
      <w:ind w:firstLine="284"/>
      <w:jc w:val="both"/>
    </w:pPr>
    <w:rPr>
      <w:sz w:val="20"/>
      <w:szCs w:val="20"/>
      <w:lang w:eastAsia="ru-RU"/>
    </w:rPr>
  </w:style>
  <w:style w:type="character" w:customStyle="1" w:styleId="StyleZakonu0">
    <w:name w:val="StyleZakonu Знак"/>
    <w:link w:val="StyleZakonu"/>
    <w:uiPriority w:val="99"/>
    <w:locked/>
    <w:rsid w:val="00821F88"/>
    <w:rPr>
      <w:rFonts w:ascii="Times New Roman" w:eastAsia="Times New Roman" w:hAnsi="Times New Roman" w:cs="Times New Roman"/>
      <w:sz w:val="20"/>
      <w:szCs w:val="20"/>
      <w:lang w:eastAsia="ru-RU"/>
    </w:rPr>
  </w:style>
  <w:style w:type="character" w:styleId="a3">
    <w:name w:val="Strong"/>
    <w:uiPriority w:val="22"/>
    <w:qFormat/>
    <w:rsid w:val="00821F88"/>
    <w:rPr>
      <w:rFonts w:ascii="Times New Roman" w:hAnsi="Times New Roman" w:cs="Times New Roman"/>
      <w:b/>
      <w:bCs/>
    </w:rPr>
  </w:style>
  <w:style w:type="paragraph" w:styleId="a4">
    <w:name w:val="No Spacing"/>
    <w:uiPriority w:val="1"/>
    <w:qFormat/>
    <w:rsid w:val="00821F88"/>
    <w:pPr>
      <w:spacing w:after="0" w:line="240" w:lineRule="auto"/>
    </w:pPr>
    <w:rPr>
      <w:rFonts w:ascii="Times New Roman" w:eastAsia="Times New Roman" w:hAnsi="Times New Roman" w:cs="Times New Roman"/>
      <w:sz w:val="28"/>
      <w:szCs w:val="28"/>
      <w:lang w:eastAsia="en-GB"/>
    </w:rPr>
  </w:style>
  <w:style w:type="paragraph" w:styleId="a5">
    <w:name w:val="Body Text Indent"/>
    <w:basedOn w:val="a"/>
    <w:link w:val="a6"/>
    <w:uiPriority w:val="99"/>
    <w:semiHidden/>
    <w:unhideWhenUsed/>
    <w:rsid w:val="00821F88"/>
    <w:pPr>
      <w:spacing w:after="120"/>
      <w:ind w:left="283"/>
    </w:pPr>
  </w:style>
  <w:style w:type="character" w:customStyle="1" w:styleId="a6">
    <w:name w:val="Основний текст з відступом Знак"/>
    <w:basedOn w:val="a0"/>
    <w:link w:val="a5"/>
    <w:uiPriority w:val="99"/>
    <w:semiHidden/>
    <w:rsid w:val="00821F88"/>
    <w:rPr>
      <w:rFonts w:ascii="Times New Roman" w:eastAsia="Times New Roman" w:hAnsi="Times New Roman" w:cs="Times New Roman"/>
      <w:sz w:val="28"/>
      <w:szCs w:val="28"/>
      <w:lang w:eastAsia="en-GB"/>
    </w:rPr>
  </w:style>
  <w:style w:type="paragraph" w:customStyle="1" w:styleId="a7">
    <w:name w:val="Нормальний текст"/>
    <w:basedOn w:val="a"/>
    <w:uiPriority w:val="99"/>
    <w:rsid w:val="00821F88"/>
    <w:pPr>
      <w:spacing w:before="120"/>
      <w:ind w:firstLine="567"/>
    </w:pPr>
    <w:rPr>
      <w:rFonts w:ascii="Antiqua" w:hAnsi="Antiqua" w:cs="Antiqua"/>
      <w:sz w:val="26"/>
      <w:szCs w:val="26"/>
      <w:lang w:eastAsia="ru-RU"/>
    </w:rPr>
  </w:style>
  <w:style w:type="paragraph" w:styleId="a8">
    <w:name w:val="footer"/>
    <w:basedOn w:val="a"/>
    <w:link w:val="a9"/>
    <w:uiPriority w:val="99"/>
    <w:unhideWhenUsed/>
    <w:rsid w:val="00821F88"/>
    <w:pPr>
      <w:tabs>
        <w:tab w:val="center" w:pos="4819"/>
        <w:tab w:val="right" w:pos="9639"/>
      </w:tabs>
    </w:pPr>
  </w:style>
  <w:style w:type="character" w:customStyle="1" w:styleId="a9">
    <w:name w:val="Нижній колонтитул Знак"/>
    <w:basedOn w:val="a0"/>
    <w:link w:val="a8"/>
    <w:uiPriority w:val="99"/>
    <w:rsid w:val="00821F88"/>
    <w:rPr>
      <w:rFonts w:ascii="Times New Roman" w:eastAsia="Times New Roman" w:hAnsi="Times New Roman" w:cs="Times New Roman"/>
      <w:sz w:val="28"/>
      <w:szCs w:val="28"/>
      <w:lang w:eastAsia="en-GB"/>
    </w:rPr>
  </w:style>
  <w:style w:type="paragraph" w:styleId="2">
    <w:name w:val="Body Text 2"/>
    <w:basedOn w:val="a"/>
    <w:link w:val="20"/>
    <w:uiPriority w:val="99"/>
    <w:semiHidden/>
    <w:unhideWhenUsed/>
    <w:rsid w:val="009F3785"/>
    <w:pPr>
      <w:spacing w:after="120" w:line="480" w:lineRule="auto"/>
    </w:pPr>
  </w:style>
  <w:style w:type="character" w:customStyle="1" w:styleId="20">
    <w:name w:val="Основний текст 2 Знак"/>
    <w:basedOn w:val="a0"/>
    <w:link w:val="2"/>
    <w:uiPriority w:val="99"/>
    <w:semiHidden/>
    <w:rsid w:val="009F3785"/>
    <w:rPr>
      <w:rFonts w:ascii="Times New Roman" w:eastAsia="Times New Roman" w:hAnsi="Times New Roman" w:cs="Times New Roman"/>
      <w:sz w:val="28"/>
      <w:szCs w:val="28"/>
      <w:lang w:eastAsia="en-GB"/>
    </w:rPr>
  </w:style>
  <w:style w:type="character" w:customStyle="1" w:styleId="aa">
    <w:name w:val="Основной текст + Полужирный"/>
    <w:basedOn w:val="a0"/>
    <w:rsid w:val="00AC7EC3"/>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4155</Words>
  <Characters>2369</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Карчемська Тетяна Миколаївна</dc:creator>
  <cp:keywords/>
  <dc:description/>
  <cp:lastModifiedBy>Карчемська Тетяна Миколаївна</cp:lastModifiedBy>
  <cp:revision>12</cp:revision>
  <dcterms:created xsi:type="dcterms:W3CDTF">2019-12-17T09:29:00Z</dcterms:created>
  <dcterms:modified xsi:type="dcterms:W3CDTF">2019-12-17T13:31:00Z</dcterms:modified>
</cp:coreProperties>
</file>