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65" w:rsidRPr="00E82ED7" w:rsidRDefault="00150365" w:rsidP="00150365">
      <w:pPr>
        <w:jc w:val="center"/>
        <w:rPr>
          <w:b/>
          <w:lang w:val="uk-UA"/>
        </w:rPr>
      </w:pPr>
      <w:r w:rsidRPr="00E82ED7">
        <w:rPr>
          <w:b/>
          <w:lang w:val="uk-UA"/>
        </w:rPr>
        <w:t>Висновок</w:t>
      </w:r>
    </w:p>
    <w:p w:rsidR="00150365" w:rsidRPr="00E82ED7" w:rsidRDefault="00150365" w:rsidP="00150365">
      <w:pPr>
        <w:jc w:val="center"/>
        <w:rPr>
          <w:b/>
          <w:lang w:val="uk-UA"/>
        </w:rPr>
      </w:pPr>
      <w:r w:rsidRPr="00E82ED7">
        <w:rPr>
          <w:b/>
          <w:lang w:val="uk-UA"/>
        </w:rPr>
        <w:t>на предмет відповідності праву ЄС проект</w:t>
      </w:r>
      <w:r>
        <w:rPr>
          <w:b/>
          <w:lang w:val="uk-UA"/>
        </w:rPr>
        <w:t>ів</w:t>
      </w:r>
      <w:r w:rsidRPr="00E82ED7">
        <w:rPr>
          <w:b/>
          <w:lang w:val="uk-UA"/>
        </w:rPr>
        <w:t xml:space="preserve"> </w:t>
      </w:r>
      <w:r>
        <w:rPr>
          <w:b/>
          <w:lang w:val="uk-UA"/>
        </w:rPr>
        <w:t>з</w:t>
      </w:r>
      <w:r w:rsidRPr="00E82ED7">
        <w:rPr>
          <w:b/>
          <w:lang w:val="uk-UA"/>
        </w:rPr>
        <w:t>акон</w:t>
      </w:r>
      <w:r>
        <w:rPr>
          <w:b/>
          <w:lang w:val="uk-UA"/>
        </w:rPr>
        <w:t>ів</w:t>
      </w:r>
      <w:r w:rsidRPr="00E82ED7">
        <w:rPr>
          <w:b/>
          <w:lang w:val="uk-UA"/>
        </w:rPr>
        <w:t xml:space="preserve"> України «Про внесення змін до деяких законодавчих актів України щодо приведення їх у відповідність із законодавством Європейського Союзу у </w:t>
      </w:r>
      <w:proofErr w:type="spellStart"/>
      <w:r w:rsidRPr="00E82ED7">
        <w:rPr>
          <w:b/>
          <w:lang w:val="uk-UA"/>
        </w:rPr>
        <w:t>сфepi</w:t>
      </w:r>
      <w:proofErr w:type="spellEnd"/>
      <w:r w:rsidRPr="00E82ED7">
        <w:rPr>
          <w:b/>
          <w:lang w:val="uk-UA"/>
        </w:rPr>
        <w:t xml:space="preserve"> перевезення небезпечних вантажів»</w:t>
      </w:r>
    </w:p>
    <w:p w:rsidR="00150365" w:rsidRDefault="00150365" w:rsidP="00150365">
      <w:pPr>
        <w:jc w:val="center"/>
        <w:rPr>
          <w:b/>
          <w:lang w:val="uk-UA"/>
        </w:rPr>
      </w:pPr>
      <w:r>
        <w:rPr>
          <w:b/>
          <w:lang w:val="uk-UA"/>
        </w:rPr>
        <w:t>(ре</w:t>
      </w:r>
      <w:r w:rsidR="0027578E">
        <w:rPr>
          <w:b/>
          <w:lang w:val="uk-UA"/>
        </w:rPr>
        <w:t>є</w:t>
      </w:r>
      <w:r>
        <w:rPr>
          <w:b/>
          <w:lang w:val="uk-UA"/>
        </w:rPr>
        <w:t xml:space="preserve">стр. № </w:t>
      </w:r>
      <w:r w:rsidRPr="00150365">
        <w:rPr>
          <w:b/>
          <w:lang w:val="uk-UA"/>
        </w:rPr>
        <w:t>1193 від 29.08.2019</w:t>
      </w:r>
      <w:r w:rsidR="0027578E">
        <w:rPr>
          <w:b/>
          <w:lang w:val="uk-UA"/>
        </w:rPr>
        <w:t xml:space="preserve"> та реє</w:t>
      </w:r>
      <w:r>
        <w:rPr>
          <w:b/>
          <w:lang w:val="uk-UA"/>
        </w:rPr>
        <w:t>стр. №</w:t>
      </w:r>
      <w:r w:rsidRPr="00590736">
        <w:rPr>
          <w:lang w:val="uk-UA"/>
        </w:rPr>
        <w:t xml:space="preserve"> </w:t>
      </w:r>
      <w:r w:rsidRPr="00150365">
        <w:rPr>
          <w:b/>
          <w:lang w:val="uk-UA"/>
        </w:rPr>
        <w:t>1193-1 від 20.09.2019</w:t>
      </w:r>
      <w:r>
        <w:rPr>
          <w:b/>
          <w:lang w:val="uk-UA"/>
        </w:rPr>
        <w:t>)</w:t>
      </w:r>
    </w:p>
    <w:p w:rsidR="00150365" w:rsidRDefault="00150365" w:rsidP="00150365">
      <w:pPr>
        <w:pStyle w:val="a3"/>
        <w:numPr>
          <w:ilvl w:val="0"/>
          <w:numId w:val="1"/>
        </w:numPr>
        <w:rPr>
          <w:b/>
          <w:lang w:val="uk-UA"/>
        </w:rPr>
      </w:pPr>
      <w:r>
        <w:rPr>
          <w:b/>
          <w:lang w:val="uk-UA"/>
        </w:rPr>
        <w:t>Загальна характеристика законопроектів:</w:t>
      </w:r>
    </w:p>
    <w:p w:rsidR="00150365" w:rsidRDefault="00150365" w:rsidP="00150365">
      <w:pPr>
        <w:ind w:firstLine="360"/>
        <w:jc w:val="both"/>
        <w:rPr>
          <w:lang w:val="uk-UA"/>
        </w:rPr>
      </w:pPr>
      <w:r w:rsidRPr="001C394A">
        <w:rPr>
          <w:lang w:val="uk-UA"/>
        </w:rPr>
        <w:t>Проект</w:t>
      </w:r>
      <w:r>
        <w:rPr>
          <w:lang w:val="uk-UA"/>
        </w:rPr>
        <w:t>и</w:t>
      </w:r>
      <w:r w:rsidRPr="001C394A">
        <w:rPr>
          <w:lang w:val="uk-UA"/>
        </w:rPr>
        <w:t xml:space="preserve"> </w:t>
      </w:r>
      <w:r w:rsidR="005F2B71">
        <w:rPr>
          <w:lang w:val="uk-UA"/>
        </w:rPr>
        <w:t>законів</w:t>
      </w:r>
      <w:r w:rsidRPr="001C394A">
        <w:rPr>
          <w:lang w:val="uk-UA"/>
        </w:rPr>
        <w:t xml:space="preserve"> України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(далі – проект Закону) розроблено на виконання </w:t>
      </w:r>
      <w:r w:rsidRPr="00150365">
        <w:rPr>
          <w:lang w:val="uk-UA"/>
        </w:rPr>
        <w:t>положень Угоди про асоціацію між Україною та ЄС</w:t>
      </w:r>
      <w:r w:rsidR="0027525B">
        <w:rPr>
          <w:lang w:val="uk-UA"/>
        </w:rPr>
        <w:t>,</w:t>
      </w:r>
      <w:r w:rsidRPr="00150365">
        <w:rPr>
          <w:lang w:val="uk-UA"/>
        </w:rPr>
        <w:t xml:space="preserve"> а також Європейської угоди про міжнародне дорожнє перевезення небезпечних вантажів, Конвенції про міжнародні залізничні перевезення, Європейської угоди про міжнародне перевезення небезпечних вантажів внутрішніми водними шляхами, Угоди про міжнародне залізничне вантажне сполучення, де Україна є договірною стороною.</w:t>
      </w:r>
    </w:p>
    <w:p w:rsidR="00150365" w:rsidRPr="001C394A" w:rsidRDefault="00150365" w:rsidP="00150365">
      <w:pPr>
        <w:ind w:firstLine="360"/>
        <w:jc w:val="both"/>
        <w:rPr>
          <w:lang w:val="uk-UA"/>
        </w:rPr>
      </w:pPr>
      <w:r w:rsidRPr="001C394A">
        <w:rPr>
          <w:lang w:val="uk-UA"/>
        </w:rPr>
        <w:t>Перевезення небезпечних вантажів автомобільним, залізничним і річковим (внутрішнім водним) транспортом та у їх взаємодії між собою</w:t>
      </w:r>
      <w:r>
        <w:rPr>
          <w:lang w:val="uk-UA"/>
        </w:rPr>
        <w:t xml:space="preserve">, як зазначається у Пояснювальній записці, </w:t>
      </w:r>
      <w:r w:rsidRPr="001C394A">
        <w:rPr>
          <w:lang w:val="uk-UA"/>
        </w:rPr>
        <w:t xml:space="preserve"> несе значний ризик настання аварійних випадків та заподіяння шкоди довкіллю, тому </w:t>
      </w:r>
      <w:r>
        <w:rPr>
          <w:lang w:val="uk-UA"/>
        </w:rPr>
        <w:t>необхідно</w:t>
      </w:r>
      <w:r w:rsidRPr="001C394A">
        <w:rPr>
          <w:lang w:val="uk-UA"/>
        </w:rPr>
        <w:t xml:space="preserve"> вжити заходів для забезпечення безпеки перевезення таких вантажів.</w:t>
      </w:r>
    </w:p>
    <w:p w:rsidR="00150365" w:rsidRDefault="00150365" w:rsidP="00150365">
      <w:pPr>
        <w:ind w:firstLine="360"/>
        <w:jc w:val="both"/>
        <w:rPr>
          <w:lang w:val="uk-UA"/>
        </w:rPr>
      </w:pPr>
      <w:r w:rsidRPr="001C394A">
        <w:rPr>
          <w:lang w:val="uk-UA"/>
        </w:rPr>
        <w:t>Відповідно до пунктів 4 та 5 преамбули Директиви 2008/68/ЄС Європейського Парламенту та Ради про внутрішні перевезення небезпечних вантажів (далі – Директива 2008/68/ЄС) виконання вимог Європейської Угоди про міжнародне дорожнє перевезення небезпечних вантажів (ДОПНВ/ADR), укладеної в Женеві 30 вересня 1957 року, Регламенту міжнародних перевезень небезпечних вантажів залізницею (РІД/RID), зазначеного у Додатку С до Конвенції про міжнародні залізничні перевезення (КОТІФ/COTIF), укладеної у Вільнюсі 03 червня 1999 року, Європейської Угоди про міжнародні перевезення небезпечних вантажів внутрішніми водними шляхами (ВОПНВ/ADN), укладеної у Женеві 26 травня 2000 року, передбачає встановлення єдиних правил для безпечного міжнародного перевезення небезпечних вантажів. Такі правила мають поширюватися на міжнародні перевезення з метою гармонізації на території Співтовариства умов, відповідно до яких</w:t>
      </w:r>
      <w:r>
        <w:rPr>
          <w:lang w:val="uk-UA"/>
        </w:rPr>
        <w:t>,</w:t>
      </w:r>
      <w:r w:rsidRPr="001C394A">
        <w:rPr>
          <w:lang w:val="uk-UA"/>
        </w:rPr>
        <w:t xml:space="preserve"> перевозяться небезпечні вантажі, та гарантувати належне функціонування спільного ринку транспорту.</w:t>
      </w:r>
    </w:p>
    <w:p w:rsidR="00150365" w:rsidRDefault="00150365" w:rsidP="00150365">
      <w:pPr>
        <w:pStyle w:val="1"/>
        <w:spacing w:line="240" w:lineRule="auto"/>
        <w:ind w:firstLine="708"/>
        <w:rPr>
          <w:rFonts w:ascii="Times New Roman" w:hAnsi="Times New Roman" w:cs="Times New Roman"/>
        </w:rPr>
      </w:pPr>
      <w:r w:rsidRPr="007879BD">
        <w:rPr>
          <w:rFonts w:ascii="Times New Roman" w:hAnsi="Times New Roman" w:cs="Times New Roman"/>
        </w:rPr>
        <w:t xml:space="preserve">Зокрема, </w:t>
      </w:r>
      <w:r>
        <w:rPr>
          <w:rFonts w:ascii="Times New Roman" w:hAnsi="Times New Roman" w:cs="Times New Roman"/>
        </w:rPr>
        <w:t xml:space="preserve">у зазначених законопроектах </w:t>
      </w:r>
      <w:r w:rsidRPr="007879BD">
        <w:rPr>
          <w:rFonts w:ascii="Times New Roman" w:hAnsi="Times New Roman" w:cs="Times New Roman"/>
        </w:rPr>
        <w:t>пропонується перегл</w:t>
      </w:r>
      <w:r>
        <w:rPr>
          <w:rFonts w:ascii="Times New Roman" w:hAnsi="Times New Roman" w:cs="Times New Roman"/>
        </w:rPr>
        <w:t>яд</w:t>
      </w:r>
      <w:r w:rsidRPr="007879BD">
        <w:rPr>
          <w:rFonts w:ascii="Times New Roman" w:hAnsi="Times New Roman" w:cs="Times New Roman"/>
        </w:rPr>
        <w:t xml:space="preserve"> компетенції органів, які здійснюють державне управління у сфері перевезення небезпечних вантажів; визначення нов</w:t>
      </w:r>
      <w:r>
        <w:rPr>
          <w:rFonts w:ascii="Times New Roman" w:hAnsi="Times New Roman" w:cs="Times New Roman"/>
        </w:rPr>
        <w:t>их</w:t>
      </w:r>
      <w:r w:rsidRPr="007879BD">
        <w:rPr>
          <w:rFonts w:ascii="Times New Roman" w:hAnsi="Times New Roman" w:cs="Times New Roman"/>
        </w:rPr>
        <w:t xml:space="preserve"> термін</w:t>
      </w:r>
      <w:r>
        <w:rPr>
          <w:rFonts w:ascii="Times New Roman" w:hAnsi="Times New Roman" w:cs="Times New Roman"/>
        </w:rPr>
        <w:t>ів</w:t>
      </w:r>
      <w:r w:rsidRPr="007879BD">
        <w:rPr>
          <w:rFonts w:ascii="Times New Roman" w:hAnsi="Times New Roman" w:cs="Times New Roman"/>
        </w:rPr>
        <w:t>; запровадження сертифікації</w:t>
      </w:r>
      <w:r w:rsidR="003E70A8">
        <w:rPr>
          <w:rFonts w:ascii="Times New Roman" w:hAnsi="Times New Roman" w:cs="Times New Roman"/>
        </w:rPr>
        <w:t xml:space="preserve">, оцінки відповідності, ліцензування </w:t>
      </w:r>
      <w:r w:rsidRPr="007879BD">
        <w:rPr>
          <w:rFonts w:ascii="Times New Roman" w:hAnsi="Times New Roman" w:cs="Times New Roman"/>
        </w:rPr>
        <w:t>у сфері перевезення небезпечних вант</w:t>
      </w:r>
      <w:r>
        <w:rPr>
          <w:rFonts w:ascii="Times New Roman" w:hAnsi="Times New Roman" w:cs="Times New Roman"/>
        </w:rPr>
        <w:t>ажів</w:t>
      </w:r>
      <w:r w:rsidRPr="007879BD">
        <w:rPr>
          <w:rFonts w:ascii="Times New Roman" w:hAnsi="Times New Roman" w:cs="Times New Roman"/>
        </w:rPr>
        <w:t xml:space="preserve">; </w:t>
      </w:r>
      <w:r w:rsidRPr="007879BD">
        <w:rPr>
          <w:rFonts w:ascii="Times New Roman" w:hAnsi="Times New Roman" w:cs="Times New Roman"/>
        </w:rPr>
        <w:lastRenderedPageBreak/>
        <w:t>встановл</w:t>
      </w:r>
      <w:r>
        <w:rPr>
          <w:rFonts w:ascii="Times New Roman" w:hAnsi="Times New Roman" w:cs="Times New Roman"/>
        </w:rPr>
        <w:t>ення прав</w:t>
      </w:r>
      <w:r w:rsidRPr="007879BD">
        <w:rPr>
          <w:rFonts w:ascii="Times New Roman" w:hAnsi="Times New Roman" w:cs="Times New Roman"/>
        </w:rPr>
        <w:t xml:space="preserve"> та обов'язк</w:t>
      </w:r>
      <w:r>
        <w:rPr>
          <w:rFonts w:ascii="Times New Roman" w:hAnsi="Times New Roman" w:cs="Times New Roman"/>
        </w:rPr>
        <w:t>ів</w:t>
      </w:r>
      <w:r w:rsidRPr="007879BD">
        <w:rPr>
          <w:rFonts w:ascii="Times New Roman" w:hAnsi="Times New Roman" w:cs="Times New Roman"/>
        </w:rPr>
        <w:t xml:space="preserve"> інших учасників пе</w:t>
      </w:r>
      <w:r w:rsidR="003E70A8">
        <w:rPr>
          <w:rFonts w:ascii="Times New Roman" w:hAnsi="Times New Roman" w:cs="Times New Roman"/>
        </w:rPr>
        <w:t xml:space="preserve">ревезення небезпечних вантажів, </w:t>
      </w:r>
      <w:r>
        <w:rPr>
          <w:rFonts w:ascii="Times New Roman" w:hAnsi="Times New Roman" w:cs="Times New Roman"/>
        </w:rPr>
        <w:t>тощо.</w:t>
      </w:r>
    </w:p>
    <w:p w:rsidR="00590736" w:rsidRPr="00091A0B" w:rsidRDefault="00590736" w:rsidP="00150365">
      <w:pPr>
        <w:pStyle w:val="1"/>
        <w:spacing w:line="240" w:lineRule="auto"/>
        <w:ind w:firstLine="708"/>
        <w:rPr>
          <w:rFonts w:ascii="Times New Roman" w:hAnsi="Times New Roman" w:cs="Times New Roman"/>
        </w:rPr>
      </w:pPr>
      <w:bookmarkStart w:id="0" w:name="_GoBack"/>
      <w:bookmarkEnd w:id="0"/>
    </w:p>
    <w:p w:rsidR="00150365" w:rsidRPr="00CA07D5" w:rsidRDefault="00150365" w:rsidP="00150365">
      <w:pPr>
        <w:pStyle w:val="a3"/>
        <w:numPr>
          <w:ilvl w:val="0"/>
          <w:numId w:val="1"/>
        </w:numPr>
        <w:jc w:val="both"/>
        <w:rPr>
          <w:b/>
          <w:lang w:val="uk-UA"/>
        </w:rPr>
      </w:pPr>
      <w:r w:rsidRPr="00CA07D5">
        <w:rPr>
          <w:b/>
          <w:lang w:val="uk-UA"/>
        </w:rPr>
        <w:t>Політико – правове обґрунтування законопроект</w:t>
      </w:r>
      <w:r w:rsidR="0027525B">
        <w:rPr>
          <w:b/>
          <w:lang w:val="uk-UA"/>
        </w:rPr>
        <w:t>ів</w:t>
      </w:r>
      <w:r w:rsidRPr="00CA07D5">
        <w:rPr>
          <w:b/>
          <w:lang w:val="uk-UA"/>
        </w:rPr>
        <w:t>:</w:t>
      </w:r>
    </w:p>
    <w:p w:rsidR="00150365" w:rsidRDefault="00150365" w:rsidP="00150365">
      <w:pPr>
        <w:ind w:firstLine="708"/>
        <w:jc w:val="both"/>
        <w:rPr>
          <w:lang w:val="uk-UA"/>
        </w:rPr>
      </w:pPr>
      <w:r>
        <w:rPr>
          <w:lang w:val="uk-UA"/>
        </w:rPr>
        <w:t>Законопроекти належать до пріоритетних сфер адаптації законодавства в рамках імплементації Угоди про асоціацію між Україною та ЄС.</w:t>
      </w:r>
    </w:p>
    <w:p w:rsidR="00150365" w:rsidRPr="00BA0A16" w:rsidRDefault="00940273" w:rsidP="00150365">
      <w:pPr>
        <w:spacing w:after="0" w:line="240" w:lineRule="auto"/>
        <w:ind w:firstLine="708"/>
        <w:jc w:val="both"/>
        <w:rPr>
          <w:szCs w:val="28"/>
          <w:lang w:val="uk-UA"/>
        </w:rPr>
      </w:pPr>
      <w:r>
        <w:rPr>
          <w:lang w:val="uk-UA"/>
        </w:rPr>
        <w:t>З</w:t>
      </w:r>
      <w:r w:rsidR="00150365" w:rsidRPr="00F27183">
        <w:rPr>
          <w:szCs w:val="28"/>
          <w:lang w:val="uk-UA"/>
        </w:rPr>
        <w:t xml:space="preserve">аконодавство України </w:t>
      </w:r>
      <w:r>
        <w:rPr>
          <w:szCs w:val="28"/>
          <w:lang w:val="uk-UA"/>
        </w:rPr>
        <w:t>частково</w:t>
      </w:r>
      <w:r w:rsidR="00150365" w:rsidRPr="00F27183">
        <w:rPr>
          <w:szCs w:val="28"/>
          <w:lang w:val="uk-UA"/>
        </w:rPr>
        <w:t xml:space="preserve"> враховує положення Директиви 2008/68/ЄС. Проте потреба в підвищенні рівня безпеки перевезення небезпечних вантажів та врахуванні в національних нормах усіх вимог безпеки перевезення небезпечних вантажів вимагає реалізації комплексу організаційних та нормотворчих заходів, спрямованих на імплементацію положень Директиви 2008/68/ЄС та вимог міжнародних договорів України у сфері перевезення небезпечних вантажів,</w:t>
      </w:r>
      <w:r w:rsidR="00150365" w:rsidRPr="00F27183">
        <w:rPr>
          <w:rStyle w:val="st1"/>
          <w:szCs w:val="28"/>
          <w:lang w:val="uk-UA"/>
        </w:rPr>
        <w:t xml:space="preserve"> впровадження нових підходів регулювання у цій сфері</w:t>
      </w:r>
      <w:r w:rsidR="00150365">
        <w:rPr>
          <w:szCs w:val="28"/>
          <w:lang w:val="uk-UA"/>
        </w:rPr>
        <w:t>.</w:t>
      </w:r>
    </w:p>
    <w:p w:rsidR="00150365" w:rsidRDefault="00150365" w:rsidP="00150365">
      <w:pPr>
        <w:ind w:firstLine="708"/>
        <w:jc w:val="both"/>
        <w:rPr>
          <w:lang w:val="uk-UA"/>
        </w:rPr>
      </w:pPr>
      <w:r>
        <w:rPr>
          <w:lang w:val="uk-UA"/>
        </w:rPr>
        <w:t>У процесі аналізу на предмет відповідності праву ЄС необхідно визначити, що згідно зі Статтею 1</w:t>
      </w:r>
      <w:r w:rsidR="003E70A8">
        <w:rPr>
          <w:lang w:val="uk-UA"/>
        </w:rPr>
        <w:t>,</w:t>
      </w:r>
      <w:r>
        <w:rPr>
          <w:lang w:val="uk-UA"/>
        </w:rPr>
        <w:t xml:space="preserve"> </w:t>
      </w:r>
      <w:r w:rsidRPr="00A67891">
        <w:rPr>
          <w:lang w:val="uk-UA"/>
        </w:rPr>
        <w:t>Дире</w:t>
      </w:r>
      <w:r>
        <w:rPr>
          <w:lang w:val="uk-UA"/>
        </w:rPr>
        <w:t xml:space="preserve">ктива </w:t>
      </w:r>
      <w:r w:rsidRPr="00A67891">
        <w:rPr>
          <w:lang w:val="uk-UA"/>
        </w:rPr>
        <w:t>2008/68/ЄC</w:t>
      </w:r>
      <w:r>
        <w:rPr>
          <w:lang w:val="uk-UA"/>
        </w:rPr>
        <w:t xml:space="preserve"> поширюється на перевезення небезпечних вантажів дорогою, залізницею або внутрішніми водними шляхами в межах або між державами-членами, в тому числі діяльність із завантаження та розвантаження, перевантаження на або з іншого виду транспорту та зупинки, що є необхідними за </w:t>
      </w:r>
      <w:r w:rsidRPr="00A67891">
        <w:rPr>
          <w:lang w:val="uk-UA"/>
        </w:rPr>
        <w:t>умов перевезення.</w:t>
      </w:r>
    </w:p>
    <w:p w:rsidR="00150365" w:rsidRDefault="00150365" w:rsidP="00150365">
      <w:pPr>
        <w:ind w:firstLine="708"/>
        <w:jc w:val="both"/>
        <w:rPr>
          <w:lang w:val="uk-UA"/>
        </w:rPr>
      </w:pPr>
      <w:r>
        <w:rPr>
          <w:lang w:val="uk-UA"/>
        </w:rPr>
        <w:t xml:space="preserve">Директива </w:t>
      </w:r>
      <w:r w:rsidRPr="00257CC3">
        <w:rPr>
          <w:szCs w:val="28"/>
          <w:lang w:val="uk-UA"/>
        </w:rPr>
        <w:t>2008/68/</w:t>
      </w:r>
      <w:r>
        <w:rPr>
          <w:szCs w:val="28"/>
          <w:lang w:val="uk-UA"/>
        </w:rPr>
        <w:t>ЄС включає</w:t>
      </w:r>
      <w:r w:rsidRPr="00257CC3">
        <w:rPr>
          <w:szCs w:val="28"/>
          <w:lang w:val="uk-UA"/>
        </w:rPr>
        <w:t xml:space="preserve"> </w:t>
      </w:r>
      <w:r>
        <w:rPr>
          <w:szCs w:val="28"/>
          <w:lang w:val="uk-UA"/>
        </w:rPr>
        <w:t>три</w:t>
      </w:r>
      <w:r w:rsidRPr="00257CC3">
        <w:rPr>
          <w:szCs w:val="28"/>
          <w:lang w:val="uk-UA"/>
        </w:rPr>
        <w:t xml:space="preserve"> додатки</w:t>
      </w:r>
      <w:r>
        <w:rPr>
          <w:szCs w:val="28"/>
          <w:lang w:val="uk-UA"/>
        </w:rPr>
        <w:t xml:space="preserve">, </w:t>
      </w:r>
      <w:r w:rsidRPr="00257CC3">
        <w:rPr>
          <w:szCs w:val="28"/>
          <w:lang w:val="uk-UA"/>
        </w:rPr>
        <w:t xml:space="preserve">зокрема повний зміст правил, що стосуються </w:t>
      </w:r>
      <w:r>
        <w:rPr>
          <w:szCs w:val="28"/>
          <w:lang w:val="en-GB"/>
        </w:rPr>
        <w:t>ADR</w:t>
      </w:r>
      <w:r w:rsidRPr="00257CC3">
        <w:rPr>
          <w:szCs w:val="28"/>
          <w:lang w:val="uk-UA"/>
        </w:rPr>
        <w:t xml:space="preserve">, </w:t>
      </w:r>
      <w:r>
        <w:rPr>
          <w:szCs w:val="28"/>
          <w:lang w:val="en-GB"/>
        </w:rPr>
        <w:t>RID</w:t>
      </w:r>
      <w:r w:rsidRPr="00257CC3">
        <w:rPr>
          <w:szCs w:val="28"/>
          <w:lang w:val="uk-UA"/>
        </w:rPr>
        <w:t xml:space="preserve"> та </w:t>
      </w:r>
      <w:r>
        <w:rPr>
          <w:szCs w:val="28"/>
          <w:lang w:val="en-GB"/>
        </w:rPr>
        <w:t>ADN</w:t>
      </w:r>
      <w:r w:rsidRPr="00257CC3">
        <w:rPr>
          <w:szCs w:val="28"/>
          <w:lang w:val="uk-UA"/>
        </w:rPr>
        <w:t>.</w:t>
      </w:r>
      <w:r w:rsidRPr="00B601EE">
        <w:rPr>
          <w:lang w:val="uk-UA"/>
        </w:rPr>
        <w:t xml:space="preserve"> </w:t>
      </w:r>
    </w:p>
    <w:p w:rsidR="00150365" w:rsidRPr="00505F91" w:rsidRDefault="00150365" w:rsidP="00150365">
      <w:pPr>
        <w:ind w:firstLine="708"/>
        <w:jc w:val="both"/>
        <w:rPr>
          <w:lang w:val="uk-UA"/>
        </w:rPr>
      </w:pPr>
      <w:r>
        <w:rPr>
          <w:lang w:val="uk-UA"/>
        </w:rPr>
        <w:t xml:space="preserve">1.«ADR» означає Європейську Угоду про міжнародні дорожні перевезення небезпечних вантажів, укладену в Женеві 30 вересня 1957 року, з </w:t>
      </w:r>
      <w:r w:rsidRPr="00505F91">
        <w:rPr>
          <w:lang w:val="uk-UA"/>
        </w:rPr>
        <w:t>внесеними змінами;</w:t>
      </w:r>
    </w:p>
    <w:p w:rsidR="00150365" w:rsidRPr="00505F91" w:rsidRDefault="00150365" w:rsidP="00150365">
      <w:pPr>
        <w:ind w:firstLine="708"/>
        <w:jc w:val="both"/>
        <w:rPr>
          <w:lang w:val="uk-UA"/>
        </w:rPr>
      </w:pPr>
      <w:r>
        <w:rPr>
          <w:lang w:val="uk-UA"/>
        </w:rPr>
        <w:t xml:space="preserve">2. «RID» означає Правила міжнародних перевезень небезпечних вантажів залізницею, що зазначені у Додатку С до Конвенції про міжнародні залізничні перевезення (COTIF), </w:t>
      </w:r>
      <w:r w:rsidRPr="00505F91">
        <w:rPr>
          <w:lang w:val="uk-UA"/>
        </w:rPr>
        <w:t>укладеної у Вільнюсі 3 червня</w:t>
      </w:r>
      <w:r>
        <w:rPr>
          <w:lang w:val="uk-UA"/>
        </w:rPr>
        <w:t xml:space="preserve"> 1999 року, з внесеними </w:t>
      </w:r>
      <w:r w:rsidRPr="00505F91">
        <w:rPr>
          <w:lang w:val="uk-UA"/>
        </w:rPr>
        <w:t>змінами;</w:t>
      </w:r>
    </w:p>
    <w:p w:rsidR="00150365" w:rsidRDefault="00150365" w:rsidP="00150365">
      <w:pPr>
        <w:ind w:firstLine="708"/>
        <w:jc w:val="both"/>
        <w:rPr>
          <w:lang w:val="uk-UA"/>
        </w:rPr>
      </w:pPr>
      <w:r w:rsidRPr="00505F91">
        <w:rPr>
          <w:lang w:val="uk-UA"/>
        </w:rPr>
        <w:t>3. «ADN» оз</w:t>
      </w:r>
      <w:r>
        <w:rPr>
          <w:lang w:val="uk-UA"/>
        </w:rPr>
        <w:t>начає Європейську Угоду про міжнародні перевезення небезпечних вантажів внутрішніми водними шляхами, укладену у Женеві 26 травня 2000 року, з внесеними змінами.</w:t>
      </w:r>
    </w:p>
    <w:p w:rsidR="00150365" w:rsidRDefault="00150365" w:rsidP="00150365">
      <w:pPr>
        <w:ind w:firstLine="708"/>
        <w:jc w:val="both"/>
        <w:rPr>
          <w:lang w:val="uk-UA"/>
        </w:rPr>
      </w:pPr>
      <w:r w:rsidRPr="00CA07D5">
        <w:rPr>
          <w:lang w:val="uk-UA"/>
        </w:rPr>
        <w:t>Ди</w:t>
      </w:r>
      <w:r>
        <w:rPr>
          <w:lang w:val="uk-UA"/>
        </w:rPr>
        <w:t>ректива 2008/68 робить обов</w:t>
      </w:r>
      <w:r w:rsidRPr="00CA07D5">
        <w:rPr>
          <w:lang w:val="uk-UA"/>
        </w:rPr>
        <w:t>’язковим</w:t>
      </w:r>
      <w:r>
        <w:rPr>
          <w:lang w:val="uk-UA"/>
        </w:rPr>
        <w:t xml:space="preserve"> застосування </w:t>
      </w:r>
      <w:r w:rsidRPr="00CA07D5">
        <w:rPr>
          <w:lang w:val="uk-UA"/>
        </w:rPr>
        <w:t>ADR/RID/ADN для внутрішніх перевезень небезпечних вантажів. Після того,</w:t>
      </w:r>
      <w:r>
        <w:rPr>
          <w:lang w:val="uk-UA"/>
        </w:rPr>
        <w:t xml:space="preserve"> </w:t>
      </w:r>
      <w:r w:rsidRPr="00CA07D5">
        <w:rPr>
          <w:lang w:val="uk-UA"/>
        </w:rPr>
        <w:t>як країна повністю розгляну</w:t>
      </w:r>
      <w:r>
        <w:rPr>
          <w:lang w:val="uk-UA"/>
        </w:rPr>
        <w:t xml:space="preserve">ла положення ADR/RID/ADN, можна </w:t>
      </w:r>
      <w:r w:rsidRPr="00CA07D5">
        <w:rPr>
          <w:lang w:val="uk-UA"/>
        </w:rPr>
        <w:t>застосовувати статтю 5 та, на засадах бе</w:t>
      </w:r>
      <w:r>
        <w:rPr>
          <w:lang w:val="uk-UA"/>
        </w:rPr>
        <w:t xml:space="preserve">зпеки транспорту, більш жорсткі </w:t>
      </w:r>
      <w:r w:rsidRPr="00CA07D5">
        <w:rPr>
          <w:lang w:val="uk-UA"/>
        </w:rPr>
        <w:t>положення, за винятком вимог щодо конс</w:t>
      </w:r>
      <w:r>
        <w:rPr>
          <w:lang w:val="uk-UA"/>
        </w:rPr>
        <w:t xml:space="preserve">трукції, що можуть регулюватися </w:t>
      </w:r>
      <w:r w:rsidRPr="00CA07D5">
        <w:rPr>
          <w:lang w:val="uk-UA"/>
        </w:rPr>
        <w:t>національними правилами.</w:t>
      </w:r>
    </w:p>
    <w:p w:rsidR="00150365" w:rsidRPr="00257CC3" w:rsidRDefault="00150365" w:rsidP="00150365">
      <w:pPr>
        <w:ind w:firstLine="708"/>
        <w:jc w:val="both"/>
        <w:rPr>
          <w:szCs w:val="28"/>
          <w:lang w:val="uk-UA"/>
        </w:rPr>
      </w:pPr>
      <w:r>
        <w:rPr>
          <w:lang w:val="uk-UA"/>
        </w:rPr>
        <w:t xml:space="preserve"> </w:t>
      </w:r>
    </w:p>
    <w:p w:rsidR="00150365" w:rsidRPr="00257CC3" w:rsidRDefault="00150365" w:rsidP="00150365">
      <w:pPr>
        <w:ind w:firstLine="708"/>
        <w:jc w:val="both"/>
        <w:rPr>
          <w:lang w:val="uk-UA"/>
        </w:rPr>
      </w:pPr>
    </w:p>
    <w:p w:rsidR="00150365" w:rsidRDefault="00150365" w:rsidP="00150365">
      <w:pPr>
        <w:ind w:firstLine="708"/>
        <w:jc w:val="both"/>
        <w:rPr>
          <w:lang w:val="uk-UA"/>
        </w:rPr>
      </w:pPr>
    </w:p>
    <w:p w:rsidR="00150365" w:rsidRDefault="00150365" w:rsidP="00150365">
      <w:pPr>
        <w:ind w:firstLine="708"/>
        <w:jc w:val="both"/>
        <w:rPr>
          <w:lang w:val="uk-UA"/>
        </w:rPr>
      </w:pPr>
      <w:r>
        <w:rPr>
          <w:lang w:val="uk-UA"/>
        </w:rPr>
        <w:lastRenderedPageBreak/>
        <w:t xml:space="preserve">У </w:t>
      </w:r>
      <w:r w:rsidR="00BC3891">
        <w:rPr>
          <w:lang w:val="uk-UA"/>
        </w:rPr>
        <w:t>законопроект</w:t>
      </w:r>
      <w:r w:rsidR="007E7F40">
        <w:rPr>
          <w:lang w:val="uk-UA"/>
        </w:rPr>
        <w:t>ах</w:t>
      </w:r>
      <w:r w:rsidR="00BC3891">
        <w:rPr>
          <w:lang w:val="uk-UA"/>
        </w:rPr>
        <w:t xml:space="preserve"> </w:t>
      </w:r>
      <w:r>
        <w:rPr>
          <w:lang w:val="uk-UA"/>
        </w:rPr>
        <w:t xml:space="preserve"> </w:t>
      </w:r>
      <w:r w:rsidR="00BC3891" w:rsidRPr="00BC3891">
        <w:rPr>
          <w:lang w:val="uk-UA"/>
        </w:rPr>
        <w:t xml:space="preserve">№ 1193 та № 1193-1 </w:t>
      </w:r>
      <w:r>
        <w:rPr>
          <w:lang w:val="uk-UA"/>
        </w:rPr>
        <w:t xml:space="preserve">частково враховані деякі положення </w:t>
      </w:r>
      <w:r w:rsidR="005B3DD3" w:rsidRPr="00CA07D5">
        <w:rPr>
          <w:lang w:val="uk-UA"/>
        </w:rPr>
        <w:t>Ди</w:t>
      </w:r>
      <w:r w:rsidR="005B3DD3">
        <w:rPr>
          <w:lang w:val="uk-UA"/>
        </w:rPr>
        <w:t>рективи 2008/68</w:t>
      </w:r>
      <w:r>
        <w:rPr>
          <w:lang w:val="uk-UA"/>
        </w:rPr>
        <w:t>, разом з тим містяться певні  неузгодженості.</w:t>
      </w:r>
    </w:p>
    <w:p w:rsidR="005B3DD3" w:rsidRDefault="00150365" w:rsidP="005B3DD3">
      <w:pPr>
        <w:ind w:firstLine="708"/>
        <w:jc w:val="both"/>
        <w:rPr>
          <w:lang w:val="uk-UA"/>
        </w:rPr>
      </w:pPr>
      <w:r>
        <w:rPr>
          <w:lang w:val="uk-UA"/>
        </w:rPr>
        <w:t xml:space="preserve">Зокрема,  варто зазначити, що зміни, які пропонується </w:t>
      </w:r>
      <w:proofErr w:type="spellStart"/>
      <w:r>
        <w:rPr>
          <w:lang w:val="uk-UA"/>
        </w:rPr>
        <w:t>внести</w:t>
      </w:r>
      <w:proofErr w:type="spellEnd"/>
      <w:r>
        <w:rPr>
          <w:lang w:val="uk-UA"/>
        </w:rPr>
        <w:t xml:space="preserve"> до статті 1 Закону України «Про перевезення небезпечних вантажів»  не враховують застосування необхідних визначень, наприклад: «навантажувач», «пакувальник», «наповнювач», «розвантажувач», «контейнерний оператор», «менеджер інфраструктури»</w:t>
      </w:r>
      <w:r w:rsidR="00283D21">
        <w:rPr>
          <w:lang w:val="uk-UA"/>
        </w:rPr>
        <w:t xml:space="preserve">, </w:t>
      </w:r>
      <w:r>
        <w:rPr>
          <w:lang w:val="uk-UA"/>
        </w:rPr>
        <w:t>«суб’єкт, відповідальний за технічне обслуговування»</w:t>
      </w:r>
      <w:r w:rsidR="00283D21">
        <w:rPr>
          <w:lang w:val="uk-UA"/>
        </w:rPr>
        <w:t xml:space="preserve"> та ін.</w:t>
      </w:r>
      <w:r>
        <w:rPr>
          <w:lang w:val="uk-UA"/>
        </w:rPr>
        <w:t xml:space="preserve">. </w:t>
      </w:r>
    </w:p>
    <w:p w:rsidR="00411C11" w:rsidRPr="00411C11" w:rsidRDefault="00150365" w:rsidP="00411C11">
      <w:pPr>
        <w:ind w:firstLine="708"/>
        <w:jc w:val="both"/>
        <w:rPr>
          <w:rFonts w:cs="Times New Roman"/>
          <w:szCs w:val="28"/>
          <w:lang w:val="uk-UA"/>
        </w:rPr>
      </w:pPr>
      <w:r w:rsidRPr="00974037">
        <w:rPr>
          <w:rFonts w:cs="Times New Roman"/>
          <w:szCs w:val="28"/>
          <w:lang w:val="uk-UA"/>
        </w:rPr>
        <w:t>Загальна катего</w:t>
      </w:r>
      <w:r w:rsidR="00283D21">
        <w:rPr>
          <w:rFonts w:cs="Times New Roman"/>
          <w:szCs w:val="28"/>
          <w:lang w:val="uk-UA"/>
        </w:rPr>
        <w:t>ризація класів частково сумісна</w:t>
      </w:r>
      <w:r w:rsidRPr="00974037">
        <w:rPr>
          <w:rFonts w:cs="Times New Roman"/>
          <w:szCs w:val="28"/>
          <w:lang w:val="uk-UA"/>
        </w:rPr>
        <w:t>,</w:t>
      </w:r>
      <w:r w:rsidR="00411C11">
        <w:rPr>
          <w:rFonts w:cs="Times New Roman"/>
          <w:szCs w:val="28"/>
          <w:lang w:val="uk-UA"/>
        </w:rPr>
        <w:t xml:space="preserve"> зокрема </w:t>
      </w:r>
      <w:r w:rsidRPr="00974037">
        <w:rPr>
          <w:rFonts w:cs="Times New Roman"/>
          <w:szCs w:val="28"/>
          <w:lang w:val="uk-UA"/>
        </w:rPr>
        <w:t>Клас 4.1. містить більше найменувань</w:t>
      </w:r>
      <w:r w:rsidR="00411C11">
        <w:rPr>
          <w:rFonts w:cs="Times New Roman"/>
          <w:szCs w:val="28"/>
          <w:lang w:val="uk-UA"/>
        </w:rPr>
        <w:t xml:space="preserve"> (</w:t>
      </w:r>
      <w:proofErr w:type="spellStart"/>
      <w:r w:rsidR="00411C11" w:rsidRPr="00411C11">
        <w:rPr>
          <w:szCs w:val="28"/>
          <w:lang w:val="uk-UA"/>
        </w:rPr>
        <w:t>самореактивні</w:t>
      </w:r>
      <w:proofErr w:type="spellEnd"/>
      <w:r w:rsidR="00411C11" w:rsidRPr="00411C11">
        <w:rPr>
          <w:szCs w:val="28"/>
          <w:lang w:val="uk-UA"/>
        </w:rPr>
        <w:t xml:space="preserve"> речовини, речовини, що полімеризуються, та тверді десенсибілізовані вибухові речовини)</w:t>
      </w:r>
      <w:r w:rsidRPr="00411C11">
        <w:rPr>
          <w:rFonts w:cs="Times New Roman"/>
          <w:szCs w:val="28"/>
          <w:lang w:val="uk-UA"/>
        </w:rPr>
        <w:t>,</w:t>
      </w:r>
      <w:r w:rsidRPr="00974037">
        <w:rPr>
          <w:rFonts w:cs="Times New Roman"/>
          <w:szCs w:val="28"/>
          <w:lang w:val="uk-UA"/>
        </w:rPr>
        <w:t xml:space="preserve"> </w:t>
      </w:r>
      <w:r w:rsidR="00283D21">
        <w:rPr>
          <w:rFonts w:cs="Times New Roman"/>
          <w:szCs w:val="28"/>
          <w:lang w:val="uk-UA"/>
        </w:rPr>
        <w:t>не обмежуючись лише</w:t>
      </w:r>
      <w:r w:rsidR="00283D21" w:rsidRPr="00974037">
        <w:rPr>
          <w:rFonts w:cs="Times New Roman"/>
          <w:szCs w:val="28"/>
          <w:lang w:val="uk-UA"/>
        </w:rPr>
        <w:t xml:space="preserve"> легкозаймист</w:t>
      </w:r>
      <w:r w:rsidR="00283D21">
        <w:rPr>
          <w:rFonts w:cs="Times New Roman"/>
          <w:szCs w:val="28"/>
          <w:lang w:val="uk-UA"/>
        </w:rPr>
        <w:t>ими</w:t>
      </w:r>
      <w:r w:rsidR="00283D21" w:rsidRPr="00974037">
        <w:rPr>
          <w:rFonts w:cs="Times New Roman"/>
          <w:szCs w:val="28"/>
          <w:lang w:val="uk-UA"/>
        </w:rPr>
        <w:t xml:space="preserve"> тверд</w:t>
      </w:r>
      <w:r w:rsidR="00283D21">
        <w:rPr>
          <w:rFonts w:cs="Times New Roman"/>
          <w:szCs w:val="28"/>
          <w:lang w:val="uk-UA"/>
        </w:rPr>
        <w:t>ими</w:t>
      </w:r>
      <w:r w:rsidR="00283D21" w:rsidRPr="00974037">
        <w:rPr>
          <w:rFonts w:cs="Times New Roman"/>
          <w:szCs w:val="28"/>
          <w:lang w:val="uk-UA"/>
        </w:rPr>
        <w:t xml:space="preserve"> речовин</w:t>
      </w:r>
      <w:r w:rsidR="00283D21">
        <w:rPr>
          <w:rFonts w:cs="Times New Roman"/>
          <w:szCs w:val="28"/>
          <w:lang w:val="uk-UA"/>
        </w:rPr>
        <w:t>ами</w:t>
      </w:r>
      <w:r>
        <w:rPr>
          <w:rFonts w:cs="Times New Roman"/>
          <w:szCs w:val="28"/>
          <w:lang w:val="uk-UA"/>
        </w:rPr>
        <w:t xml:space="preserve">. </w:t>
      </w:r>
    </w:p>
    <w:p w:rsidR="00150365" w:rsidRPr="00974037" w:rsidRDefault="00411C11" w:rsidP="00150365">
      <w:pPr>
        <w:ind w:firstLine="708"/>
        <w:jc w:val="both"/>
        <w:rPr>
          <w:lang w:val="uk-UA"/>
        </w:rPr>
      </w:pPr>
      <w:r>
        <w:rPr>
          <w:lang w:val="uk-UA"/>
        </w:rPr>
        <w:t xml:space="preserve">Разом з тим, </w:t>
      </w:r>
      <w:r w:rsidR="00150365">
        <w:rPr>
          <w:rStyle w:val="st1"/>
          <w:lang w:val="uk-UA"/>
        </w:rPr>
        <w:t>відсутн</w:t>
      </w:r>
      <w:r w:rsidR="000435DC">
        <w:rPr>
          <w:rStyle w:val="st1"/>
          <w:lang w:val="uk-UA"/>
        </w:rPr>
        <w:t>ість</w:t>
      </w:r>
      <w:r w:rsidR="00150365">
        <w:rPr>
          <w:rStyle w:val="st1"/>
          <w:lang w:val="uk-UA"/>
        </w:rPr>
        <w:t xml:space="preserve"> </w:t>
      </w:r>
      <w:r w:rsidR="00150365" w:rsidRPr="00974037">
        <w:rPr>
          <w:rStyle w:val="st1"/>
          <w:lang w:val="uk-UA"/>
        </w:rPr>
        <w:t xml:space="preserve"> чітк</w:t>
      </w:r>
      <w:r w:rsidR="00150365">
        <w:rPr>
          <w:rStyle w:val="st1"/>
          <w:lang w:val="uk-UA"/>
        </w:rPr>
        <w:t>их</w:t>
      </w:r>
      <w:r w:rsidR="00150365" w:rsidRPr="00974037">
        <w:rPr>
          <w:rStyle w:val="st1"/>
          <w:lang w:val="uk-UA"/>
        </w:rPr>
        <w:t xml:space="preserve"> критерії</w:t>
      </w:r>
      <w:r w:rsidR="00150365">
        <w:rPr>
          <w:rStyle w:val="st1"/>
          <w:lang w:val="uk-UA"/>
        </w:rPr>
        <w:t>в</w:t>
      </w:r>
      <w:r w:rsidR="00150365" w:rsidRPr="00974037">
        <w:rPr>
          <w:rStyle w:val="st1"/>
          <w:lang w:val="uk-UA"/>
        </w:rPr>
        <w:t xml:space="preserve"> віднесення небезпечних вантажів до категорії саме підви</w:t>
      </w:r>
      <w:r w:rsidR="000435DC">
        <w:rPr>
          <w:rStyle w:val="st1"/>
          <w:lang w:val="uk-UA"/>
        </w:rPr>
        <w:t xml:space="preserve">щеної небезпеки </w:t>
      </w:r>
      <w:r w:rsidR="00150365" w:rsidRPr="00974037">
        <w:rPr>
          <w:rStyle w:val="st1"/>
          <w:lang w:val="uk-UA"/>
        </w:rPr>
        <w:t xml:space="preserve">викликає певні запитання щодо можливості належного правозастосування відповідної норми. </w:t>
      </w:r>
      <w:r w:rsidR="00150365">
        <w:rPr>
          <w:rStyle w:val="st1"/>
          <w:lang w:val="uk-UA"/>
        </w:rPr>
        <w:t>П</w:t>
      </w:r>
      <w:r w:rsidR="00150365" w:rsidRPr="00974037">
        <w:rPr>
          <w:rStyle w:val="st1"/>
          <w:lang w:val="uk-UA"/>
        </w:rPr>
        <w:t>отребує належного обґрунтування пропозиція щодо прив’язки вантажу підвищеної небезпеки виключно до одного критерію – використання в терористичних цілях, принаймні, з огляду на те, що рівень потенційної небезпеки відповідного вантажу залежить, насамперед, від його фізико-хімічних характеристик.</w:t>
      </w:r>
    </w:p>
    <w:p w:rsidR="00150365" w:rsidRDefault="00150365" w:rsidP="00150365">
      <w:pPr>
        <w:jc w:val="both"/>
        <w:rPr>
          <w:lang w:val="uk-UA"/>
        </w:rPr>
      </w:pPr>
      <w:r>
        <w:rPr>
          <w:lang w:val="uk-UA"/>
        </w:rPr>
        <w:tab/>
        <w:t>Варто врахувати також необхідність внесення доповнень до статті 7, 8, 9, в яких йде мова про права та обов’язки відправника, перевізника та одержувача, а також ст. 9</w:t>
      </w:r>
      <w:r w:rsidRPr="008D511C">
        <w:rPr>
          <w:vertAlign w:val="superscript"/>
          <w:lang w:val="uk-UA"/>
        </w:rPr>
        <w:t>1</w:t>
      </w:r>
      <w:r w:rsidR="00D32B4F">
        <w:rPr>
          <w:vertAlign w:val="superscript"/>
          <w:lang w:val="uk-UA"/>
        </w:rPr>
        <w:t xml:space="preserve"> </w:t>
      </w:r>
      <w:r>
        <w:rPr>
          <w:lang w:val="uk-UA"/>
        </w:rPr>
        <w:t>проект</w:t>
      </w:r>
      <w:r w:rsidR="00D32B4F">
        <w:rPr>
          <w:lang w:val="uk-UA"/>
        </w:rPr>
        <w:t>ів</w:t>
      </w:r>
      <w:r>
        <w:rPr>
          <w:lang w:val="uk-UA"/>
        </w:rPr>
        <w:t xml:space="preserve"> </w:t>
      </w:r>
      <w:r w:rsidR="00D32B4F">
        <w:rPr>
          <w:lang w:val="uk-UA"/>
        </w:rPr>
        <w:t>законів</w:t>
      </w:r>
      <w:r>
        <w:rPr>
          <w:lang w:val="uk-UA"/>
        </w:rPr>
        <w:t xml:space="preserve"> щодо відповідного переліку обов</w:t>
      </w:r>
      <w:r w:rsidRPr="008D511C">
        <w:rPr>
          <w:lang w:val="uk-UA"/>
        </w:rPr>
        <w:t>’</w:t>
      </w:r>
      <w:r>
        <w:rPr>
          <w:lang w:val="uk-UA"/>
        </w:rPr>
        <w:t xml:space="preserve">язків вищезазначених та інших учасників перевезень небезпечних вантажів, як того потребує глава 1.4 </w:t>
      </w:r>
      <w:r>
        <w:rPr>
          <w:lang w:val="en-US"/>
        </w:rPr>
        <w:t>ADR</w:t>
      </w:r>
      <w:r w:rsidRPr="008C49EB">
        <w:rPr>
          <w:lang w:val="uk-UA"/>
        </w:rPr>
        <w:t xml:space="preserve">, </w:t>
      </w:r>
      <w:r>
        <w:rPr>
          <w:lang w:val="en-US"/>
        </w:rPr>
        <w:t>RID</w:t>
      </w:r>
      <w:r w:rsidRPr="008C49EB">
        <w:rPr>
          <w:lang w:val="uk-UA"/>
        </w:rPr>
        <w:t xml:space="preserve"> </w:t>
      </w:r>
      <w:r>
        <w:rPr>
          <w:lang w:val="uk-UA"/>
        </w:rPr>
        <w:t xml:space="preserve">та </w:t>
      </w:r>
      <w:r>
        <w:rPr>
          <w:lang w:val="en-US"/>
        </w:rPr>
        <w:t>ADN</w:t>
      </w:r>
      <w:r>
        <w:rPr>
          <w:lang w:val="uk-UA"/>
        </w:rPr>
        <w:t xml:space="preserve">. </w:t>
      </w:r>
    </w:p>
    <w:p w:rsidR="00B428C0" w:rsidRDefault="00B428C0" w:rsidP="00B428C0">
      <w:pPr>
        <w:ind w:firstLine="709"/>
        <w:jc w:val="both"/>
        <w:rPr>
          <w:lang w:val="uk-UA"/>
        </w:rPr>
      </w:pPr>
      <w:r w:rsidRPr="00B428C0">
        <w:rPr>
          <w:lang w:val="uk-UA"/>
        </w:rPr>
        <w:t>Обов'язки завантажувача, пакувальника, наповнювача, розвантажувача, контейнерного оператора, менеджера інфраструктури, суб'єкта, відповідального за технічне обслуговування, не визначені належним чином.</w:t>
      </w:r>
    </w:p>
    <w:p w:rsidR="00150365" w:rsidRPr="008C49EB" w:rsidRDefault="00150365" w:rsidP="00150365">
      <w:pPr>
        <w:ind w:firstLine="709"/>
        <w:jc w:val="both"/>
        <w:rPr>
          <w:rFonts w:cs="Calibri"/>
          <w:bCs/>
          <w:iCs/>
          <w:szCs w:val="28"/>
          <w:lang w:val="uk-UA"/>
        </w:rPr>
      </w:pPr>
      <w:r>
        <w:rPr>
          <w:lang w:val="uk-UA"/>
        </w:rPr>
        <w:t xml:space="preserve">Ще одне питання стосується сертифікації, а саме </w:t>
      </w:r>
      <w:r>
        <w:rPr>
          <w:rFonts w:cs="Calibri"/>
          <w:bCs/>
          <w:iCs/>
          <w:szCs w:val="28"/>
          <w:lang w:val="uk-UA"/>
        </w:rPr>
        <w:t>уточнення на рівні національного законодавства</w:t>
      </w:r>
      <w:r w:rsidRPr="008C49EB">
        <w:rPr>
          <w:rFonts w:cs="Calibri"/>
          <w:bCs/>
          <w:iCs/>
          <w:szCs w:val="28"/>
          <w:lang w:val="uk-UA"/>
        </w:rPr>
        <w:t xml:space="preserve">, який орган є компетентним у наданні сертифікаційних схвалень та призначенні органів, яким ці </w:t>
      </w:r>
      <w:r>
        <w:rPr>
          <w:rFonts w:cs="Calibri"/>
          <w:bCs/>
          <w:iCs/>
          <w:szCs w:val="28"/>
          <w:lang w:val="uk-UA"/>
        </w:rPr>
        <w:t>повноваження</w:t>
      </w:r>
      <w:r w:rsidRPr="008C49EB">
        <w:rPr>
          <w:rFonts w:cs="Calibri"/>
          <w:bCs/>
          <w:iCs/>
          <w:szCs w:val="28"/>
          <w:lang w:val="uk-UA"/>
        </w:rPr>
        <w:t xml:space="preserve"> делеговано</w:t>
      </w:r>
      <w:r>
        <w:rPr>
          <w:rFonts w:cs="Calibri"/>
          <w:bCs/>
          <w:iCs/>
          <w:szCs w:val="28"/>
          <w:lang w:val="uk-UA"/>
        </w:rPr>
        <w:t xml:space="preserve">, а також </w:t>
      </w:r>
      <w:r w:rsidRPr="008C49EB">
        <w:rPr>
          <w:rFonts w:cs="Calibri"/>
          <w:bCs/>
          <w:iCs/>
          <w:szCs w:val="28"/>
          <w:lang w:val="uk-UA"/>
        </w:rPr>
        <w:t xml:space="preserve">спосіб, </w:t>
      </w:r>
      <w:r>
        <w:rPr>
          <w:rFonts w:cs="Calibri"/>
          <w:bCs/>
          <w:iCs/>
          <w:szCs w:val="28"/>
          <w:lang w:val="uk-UA"/>
        </w:rPr>
        <w:t>в рамках якого</w:t>
      </w:r>
      <w:r w:rsidRPr="008C49EB">
        <w:rPr>
          <w:rFonts w:cs="Calibri"/>
          <w:bCs/>
          <w:iCs/>
          <w:szCs w:val="28"/>
          <w:lang w:val="uk-UA"/>
        </w:rPr>
        <w:t xml:space="preserve"> здійснюється нагляд (зокрема, у випадку класифікаційних осіб, цистерн, пакування, тощо)</w:t>
      </w:r>
      <w:r>
        <w:rPr>
          <w:rFonts w:cs="Calibri"/>
          <w:bCs/>
          <w:iCs/>
          <w:szCs w:val="28"/>
          <w:lang w:val="uk-UA"/>
        </w:rPr>
        <w:t>.</w:t>
      </w:r>
    </w:p>
    <w:p w:rsidR="005F2B71" w:rsidRDefault="00150365" w:rsidP="00150365">
      <w:pPr>
        <w:ind w:firstLine="426"/>
        <w:jc w:val="both"/>
        <w:rPr>
          <w:szCs w:val="28"/>
          <w:lang w:val="uk-UA"/>
        </w:rPr>
      </w:pPr>
      <w:r w:rsidRPr="00E832A9">
        <w:rPr>
          <w:szCs w:val="28"/>
          <w:lang w:val="uk-UA"/>
        </w:rPr>
        <w:t>З огляд</w:t>
      </w:r>
      <w:r w:rsidR="005F2B71">
        <w:rPr>
          <w:szCs w:val="28"/>
          <w:lang w:val="uk-UA"/>
        </w:rPr>
        <w:t xml:space="preserve">у на зазначене, запропоновані </w:t>
      </w:r>
      <w:r w:rsidRPr="00E832A9">
        <w:rPr>
          <w:szCs w:val="28"/>
          <w:lang w:val="uk-UA"/>
        </w:rPr>
        <w:t xml:space="preserve">зміни </w:t>
      </w:r>
      <w:r w:rsidR="00CE17BE">
        <w:rPr>
          <w:szCs w:val="28"/>
          <w:lang w:val="uk-UA"/>
        </w:rPr>
        <w:t xml:space="preserve">у проектах законів </w:t>
      </w:r>
      <w:r w:rsidR="00B428C0" w:rsidRPr="00E832A9">
        <w:rPr>
          <w:szCs w:val="28"/>
          <w:lang w:val="uk-UA"/>
        </w:rPr>
        <w:t xml:space="preserve">частково </w:t>
      </w:r>
      <w:r w:rsidRPr="00E832A9">
        <w:rPr>
          <w:szCs w:val="28"/>
          <w:lang w:val="uk-UA"/>
        </w:rPr>
        <w:t xml:space="preserve">враховують деякі </w:t>
      </w:r>
      <w:r w:rsidRPr="003C15D5">
        <w:rPr>
          <w:szCs w:val="28"/>
          <w:lang w:val="uk-UA"/>
        </w:rPr>
        <w:t xml:space="preserve"> аспекти регламентів, викладених у </w:t>
      </w:r>
      <w:r w:rsidRPr="00E832A9">
        <w:rPr>
          <w:szCs w:val="28"/>
          <w:lang w:val="en-US"/>
        </w:rPr>
        <w:t>ADR</w:t>
      </w:r>
      <w:r w:rsidRPr="003C15D5">
        <w:rPr>
          <w:szCs w:val="28"/>
          <w:lang w:val="uk-UA"/>
        </w:rPr>
        <w:t xml:space="preserve">, </w:t>
      </w:r>
      <w:r w:rsidRPr="00E832A9">
        <w:rPr>
          <w:szCs w:val="28"/>
          <w:lang w:val="en-US"/>
        </w:rPr>
        <w:t>RID</w:t>
      </w:r>
      <w:r w:rsidRPr="003C15D5">
        <w:rPr>
          <w:szCs w:val="28"/>
          <w:lang w:val="uk-UA"/>
        </w:rPr>
        <w:t xml:space="preserve"> та </w:t>
      </w:r>
      <w:r>
        <w:rPr>
          <w:lang w:val="en-US"/>
        </w:rPr>
        <w:t>ADN</w:t>
      </w:r>
      <w:r>
        <w:rPr>
          <w:lang w:val="uk-UA"/>
        </w:rPr>
        <w:t xml:space="preserve">. Відсутність </w:t>
      </w:r>
      <w:r>
        <w:rPr>
          <w:szCs w:val="28"/>
          <w:lang w:val="uk-UA"/>
        </w:rPr>
        <w:t>п</w:t>
      </w:r>
      <w:r w:rsidRPr="003C15D5">
        <w:rPr>
          <w:szCs w:val="28"/>
          <w:lang w:val="uk-UA"/>
        </w:rPr>
        <w:t xml:space="preserve">ерехідних положень для транспортних засобів, вагонів, суден та цистерн, які не відповідають вимогам </w:t>
      </w:r>
      <w:r w:rsidRPr="003C15D5">
        <w:rPr>
          <w:szCs w:val="28"/>
          <w:lang w:val="en-US"/>
        </w:rPr>
        <w:t>ADR</w:t>
      </w:r>
      <w:r w:rsidRPr="003C15D5">
        <w:rPr>
          <w:szCs w:val="28"/>
          <w:lang w:val="uk-UA"/>
        </w:rPr>
        <w:t xml:space="preserve">, </w:t>
      </w:r>
      <w:r w:rsidRPr="003C15D5">
        <w:rPr>
          <w:szCs w:val="28"/>
          <w:lang w:val="en-US"/>
        </w:rPr>
        <w:t>RID</w:t>
      </w:r>
      <w:r w:rsidRPr="003C15D5">
        <w:rPr>
          <w:szCs w:val="28"/>
          <w:lang w:val="uk-UA"/>
        </w:rPr>
        <w:t xml:space="preserve"> та </w:t>
      </w:r>
      <w:r w:rsidRPr="003C15D5">
        <w:rPr>
          <w:szCs w:val="28"/>
          <w:lang w:val="en-US"/>
        </w:rPr>
        <w:t>ADN</w:t>
      </w:r>
      <w:r w:rsidRPr="003C15D5">
        <w:rPr>
          <w:szCs w:val="28"/>
          <w:lang w:val="uk-UA"/>
        </w:rPr>
        <w:t>, але були сконструйовані відповідно до національних вимог України та можуть продовжувати використовуватися для національних перевезень</w:t>
      </w:r>
      <w:r>
        <w:rPr>
          <w:szCs w:val="28"/>
          <w:lang w:val="uk-UA"/>
        </w:rPr>
        <w:t>, потребує додаткового обґрунтування</w:t>
      </w:r>
      <w:r w:rsidRPr="003C15D5">
        <w:rPr>
          <w:szCs w:val="28"/>
          <w:lang w:val="uk-UA"/>
        </w:rPr>
        <w:t xml:space="preserve">. </w:t>
      </w:r>
    </w:p>
    <w:p w:rsidR="00150365" w:rsidRPr="003C15D5" w:rsidRDefault="00B428C0" w:rsidP="00150365">
      <w:pPr>
        <w:ind w:firstLine="426"/>
        <w:jc w:val="both"/>
        <w:rPr>
          <w:szCs w:val="28"/>
          <w:lang w:val="uk-UA"/>
        </w:rPr>
      </w:pPr>
      <w:r>
        <w:rPr>
          <w:szCs w:val="28"/>
          <w:lang w:val="uk-UA"/>
        </w:rPr>
        <w:lastRenderedPageBreak/>
        <w:t>Н</w:t>
      </w:r>
      <w:r w:rsidR="00150365">
        <w:rPr>
          <w:szCs w:val="28"/>
          <w:lang w:val="uk-UA"/>
        </w:rPr>
        <w:t xml:space="preserve">еобхідно забезпечити переклад на українську мову правил, які містяться у додатках </w:t>
      </w:r>
      <w:r w:rsidR="00150365">
        <w:rPr>
          <w:lang w:val="uk-UA"/>
        </w:rPr>
        <w:t xml:space="preserve">ADR, RID та ADN, що дозволить посилатися на оновлену версію та перехідні періоди. </w:t>
      </w:r>
    </w:p>
    <w:p w:rsidR="00150365" w:rsidRDefault="00150365" w:rsidP="00150365">
      <w:pPr>
        <w:jc w:val="both"/>
        <w:rPr>
          <w:b/>
          <w:lang w:val="uk-UA"/>
        </w:rPr>
      </w:pPr>
      <w:r>
        <w:rPr>
          <w:b/>
          <w:lang w:val="uk-UA"/>
        </w:rPr>
        <w:t>Висновок К</w:t>
      </w:r>
      <w:r w:rsidRPr="003C64A2">
        <w:rPr>
          <w:b/>
          <w:lang w:val="uk-UA"/>
        </w:rPr>
        <w:t xml:space="preserve">омітету з питань </w:t>
      </w:r>
      <w:r w:rsidR="0027578E">
        <w:rPr>
          <w:b/>
          <w:lang w:val="uk-UA"/>
        </w:rPr>
        <w:t>інтеграції України з ЄС</w:t>
      </w:r>
      <w:r w:rsidRPr="003C64A2">
        <w:rPr>
          <w:b/>
          <w:lang w:val="uk-UA"/>
        </w:rPr>
        <w:t>:</w:t>
      </w:r>
      <w:r>
        <w:rPr>
          <w:b/>
          <w:lang w:val="uk-UA"/>
        </w:rPr>
        <w:t xml:space="preserve"> </w:t>
      </w:r>
    </w:p>
    <w:p w:rsidR="00150365" w:rsidRPr="008B0D72" w:rsidRDefault="00150365" w:rsidP="00150365">
      <w:pPr>
        <w:ind w:firstLine="720"/>
        <w:jc w:val="both"/>
        <w:rPr>
          <w:szCs w:val="28"/>
        </w:rPr>
      </w:pPr>
      <w:r w:rsidRPr="008B0D72">
        <w:rPr>
          <w:szCs w:val="28"/>
        </w:rPr>
        <w:t>Проект</w:t>
      </w:r>
      <w:r w:rsidR="00CE17BE">
        <w:rPr>
          <w:szCs w:val="28"/>
          <w:lang w:val="uk-UA"/>
        </w:rPr>
        <w:t>и</w:t>
      </w:r>
      <w:r w:rsidRPr="008B0D72">
        <w:rPr>
          <w:szCs w:val="28"/>
        </w:rPr>
        <w:t xml:space="preserve"> </w:t>
      </w:r>
      <w:r w:rsidR="00CE17BE">
        <w:rPr>
          <w:szCs w:val="28"/>
          <w:lang w:val="uk-UA"/>
        </w:rPr>
        <w:t>з</w:t>
      </w:r>
      <w:proofErr w:type="spellStart"/>
      <w:r w:rsidRPr="008B0D72">
        <w:rPr>
          <w:szCs w:val="28"/>
        </w:rPr>
        <w:t>акон</w:t>
      </w:r>
      <w:r w:rsidR="00CE17BE">
        <w:rPr>
          <w:szCs w:val="28"/>
          <w:lang w:val="uk-UA"/>
        </w:rPr>
        <w:t>ів</w:t>
      </w:r>
      <w:proofErr w:type="spellEnd"/>
      <w:r w:rsidRPr="008B0D72">
        <w:rPr>
          <w:szCs w:val="28"/>
        </w:rPr>
        <w:t xml:space="preserve"> </w:t>
      </w:r>
      <w:r w:rsidR="005F2B71" w:rsidRPr="00BC3891">
        <w:rPr>
          <w:lang w:val="uk-UA"/>
        </w:rPr>
        <w:t xml:space="preserve">№ 1193 та № 1193-1 </w:t>
      </w:r>
      <w:r w:rsidRPr="008B0D72">
        <w:rPr>
          <w:szCs w:val="28"/>
        </w:rPr>
        <w:t xml:space="preserve">за </w:t>
      </w:r>
      <w:proofErr w:type="spellStart"/>
      <w:r w:rsidRPr="008B0D72">
        <w:rPr>
          <w:szCs w:val="28"/>
        </w:rPr>
        <w:t>своєю</w:t>
      </w:r>
      <w:proofErr w:type="spellEnd"/>
      <w:r w:rsidRPr="008B0D72">
        <w:rPr>
          <w:szCs w:val="28"/>
        </w:rPr>
        <w:t xml:space="preserve"> метою </w:t>
      </w:r>
      <w:r w:rsidRPr="008B0D72">
        <w:rPr>
          <w:b/>
          <w:szCs w:val="28"/>
        </w:rPr>
        <w:t xml:space="preserve">не </w:t>
      </w:r>
      <w:proofErr w:type="spellStart"/>
      <w:r w:rsidRPr="008B0D72">
        <w:rPr>
          <w:b/>
          <w:szCs w:val="28"/>
        </w:rPr>
        <w:t>супереч</w:t>
      </w:r>
      <w:proofErr w:type="spellEnd"/>
      <w:r w:rsidR="00D32B4F">
        <w:rPr>
          <w:b/>
          <w:szCs w:val="28"/>
          <w:lang w:val="uk-UA"/>
        </w:rPr>
        <w:t>а</w:t>
      </w:r>
      <w:proofErr w:type="spellStart"/>
      <w:r w:rsidRPr="008B0D72">
        <w:rPr>
          <w:b/>
          <w:szCs w:val="28"/>
        </w:rPr>
        <w:t>ть</w:t>
      </w:r>
      <w:proofErr w:type="spellEnd"/>
      <w:r w:rsidRPr="008B0D72">
        <w:rPr>
          <w:szCs w:val="28"/>
        </w:rPr>
        <w:t xml:space="preserve"> </w:t>
      </w:r>
      <w:proofErr w:type="spellStart"/>
      <w:r w:rsidRPr="008B0D72">
        <w:rPr>
          <w:szCs w:val="28"/>
        </w:rPr>
        <w:t>міжнародно-правовим</w:t>
      </w:r>
      <w:proofErr w:type="spellEnd"/>
      <w:r w:rsidRPr="008B0D72">
        <w:rPr>
          <w:szCs w:val="28"/>
        </w:rPr>
        <w:t xml:space="preserve"> </w:t>
      </w:r>
      <w:proofErr w:type="spellStart"/>
      <w:r w:rsidRPr="008B0D72">
        <w:rPr>
          <w:szCs w:val="28"/>
        </w:rPr>
        <w:t>зобов’язанням</w:t>
      </w:r>
      <w:proofErr w:type="spellEnd"/>
      <w:r w:rsidRPr="008B0D72">
        <w:rPr>
          <w:szCs w:val="28"/>
        </w:rPr>
        <w:t xml:space="preserve"> України. Разом з </w:t>
      </w:r>
      <w:proofErr w:type="spellStart"/>
      <w:r w:rsidRPr="008B0D72">
        <w:rPr>
          <w:szCs w:val="28"/>
        </w:rPr>
        <w:t>тим</w:t>
      </w:r>
      <w:proofErr w:type="spellEnd"/>
      <w:r w:rsidRPr="008B0D72">
        <w:rPr>
          <w:szCs w:val="28"/>
        </w:rPr>
        <w:t xml:space="preserve">, не в </w:t>
      </w:r>
      <w:proofErr w:type="spellStart"/>
      <w:r w:rsidRPr="008B0D72">
        <w:rPr>
          <w:szCs w:val="28"/>
        </w:rPr>
        <w:t>повному</w:t>
      </w:r>
      <w:proofErr w:type="spellEnd"/>
      <w:r w:rsidRPr="008B0D72">
        <w:rPr>
          <w:szCs w:val="28"/>
        </w:rPr>
        <w:t xml:space="preserve"> </w:t>
      </w:r>
      <w:proofErr w:type="spellStart"/>
      <w:r w:rsidRPr="008B0D72">
        <w:rPr>
          <w:szCs w:val="28"/>
        </w:rPr>
        <w:t>обсязі</w:t>
      </w:r>
      <w:proofErr w:type="spellEnd"/>
      <w:r w:rsidRPr="008B0D72">
        <w:rPr>
          <w:szCs w:val="28"/>
        </w:rPr>
        <w:t xml:space="preserve"> </w:t>
      </w:r>
      <w:proofErr w:type="spellStart"/>
      <w:r w:rsidRPr="008B0D72">
        <w:rPr>
          <w:szCs w:val="28"/>
        </w:rPr>
        <w:t>врахову</w:t>
      </w:r>
      <w:r w:rsidR="005F2B71">
        <w:rPr>
          <w:szCs w:val="28"/>
          <w:lang w:val="uk-UA"/>
        </w:rPr>
        <w:t>ють</w:t>
      </w:r>
      <w:proofErr w:type="spellEnd"/>
      <w:r w:rsidRPr="008B0D72">
        <w:rPr>
          <w:szCs w:val="28"/>
        </w:rPr>
        <w:t xml:space="preserve"> </w:t>
      </w:r>
      <w:r>
        <w:rPr>
          <w:szCs w:val="28"/>
          <w:lang w:val="uk-UA"/>
        </w:rPr>
        <w:t xml:space="preserve">положення </w:t>
      </w:r>
      <w:r w:rsidRPr="00CA07D5">
        <w:rPr>
          <w:lang w:val="uk-UA"/>
        </w:rPr>
        <w:t>Ди</w:t>
      </w:r>
      <w:r>
        <w:rPr>
          <w:lang w:val="uk-UA"/>
        </w:rPr>
        <w:t>рективи 2008/68</w:t>
      </w:r>
      <w:r w:rsidRPr="00A67891">
        <w:rPr>
          <w:lang w:val="uk-UA"/>
        </w:rPr>
        <w:t>/ЄC</w:t>
      </w:r>
      <w:r w:rsidRPr="008B0D72">
        <w:rPr>
          <w:szCs w:val="28"/>
        </w:rPr>
        <w:t>.</w:t>
      </w:r>
    </w:p>
    <w:p w:rsidR="00150365" w:rsidRPr="00194EE9" w:rsidRDefault="00150365" w:rsidP="00150365">
      <w:pPr>
        <w:ind w:firstLine="708"/>
      </w:pPr>
    </w:p>
    <w:p w:rsidR="00150365" w:rsidRPr="00E966FB" w:rsidRDefault="00150365" w:rsidP="00150365">
      <w:pPr>
        <w:ind w:firstLine="708"/>
        <w:rPr>
          <w:lang w:val="uk-UA"/>
        </w:rPr>
      </w:pPr>
    </w:p>
    <w:p w:rsidR="00156303" w:rsidRPr="00150365" w:rsidRDefault="00156303">
      <w:pPr>
        <w:rPr>
          <w:lang w:val="uk-UA"/>
        </w:rPr>
      </w:pPr>
    </w:p>
    <w:sectPr w:rsidR="00156303" w:rsidRPr="001503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A2E7E"/>
    <w:multiLevelType w:val="hybridMultilevel"/>
    <w:tmpl w:val="DB7A8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1"/>
    <w:rsid w:val="000435DC"/>
    <w:rsid w:val="00065364"/>
    <w:rsid w:val="00150365"/>
    <w:rsid w:val="00156303"/>
    <w:rsid w:val="001C2198"/>
    <w:rsid w:val="0027525B"/>
    <w:rsid w:val="0027578E"/>
    <w:rsid w:val="00283D21"/>
    <w:rsid w:val="002F0681"/>
    <w:rsid w:val="003E70A8"/>
    <w:rsid w:val="00411C11"/>
    <w:rsid w:val="00590736"/>
    <w:rsid w:val="005B3DD3"/>
    <w:rsid w:val="005F2B71"/>
    <w:rsid w:val="007E7F40"/>
    <w:rsid w:val="00940273"/>
    <w:rsid w:val="00B428C0"/>
    <w:rsid w:val="00BC3891"/>
    <w:rsid w:val="00CE17BE"/>
    <w:rsid w:val="00D32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4C22"/>
  <w15:chartTrackingRefBased/>
  <w15:docId w15:val="{E7E17D1F-5B29-4E7B-9F0D-13E678E4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65"/>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365"/>
    <w:pPr>
      <w:ind w:left="720"/>
      <w:contextualSpacing/>
    </w:pPr>
  </w:style>
  <w:style w:type="paragraph" w:customStyle="1" w:styleId="1">
    <w:name w:val="Основний текст1"/>
    <w:basedOn w:val="a"/>
    <w:link w:val="a4"/>
    <w:locked/>
    <w:rsid w:val="00150365"/>
    <w:pPr>
      <w:spacing w:after="0" w:line="360" w:lineRule="auto"/>
      <w:ind w:firstLine="709"/>
      <w:jc w:val="both"/>
    </w:pPr>
    <w:rPr>
      <w:rFonts w:ascii="Times New Roman CYR" w:eastAsia="Times New Roman" w:hAnsi="Times New Roman CYR" w:cs="Times New Roman CYR"/>
      <w:color w:val="000000"/>
      <w:spacing w:val="-4"/>
      <w:szCs w:val="28"/>
      <w:lang w:val="uk-UA"/>
    </w:rPr>
  </w:style>
  <w:style w:type="character" w:customStyle="1" w:styleId="a4">
    <w:name w:val="Основний текст_"/>
    <w:link w:val="1"/>
    <w:locked/>
    <w:rsid w:val="00150365"/>
    <w:rPr>
      <w:rFonts w:ascii="Times New Roman CYR" w:eastAsia="Times New Roman" w:hAnsi="Times New Roman CYR" w:cs="Times New Roman CYR"/>
      <w:color w:val="000000"/>
      <w:spacing w:val="-4"/>
      <w:sz w:val="28"/>
      <w:szCs w:val="28"/>
    </w:rPr>
  </w:style>
  <w:style w:type="character" w:customStyle="1" w:styleId="st1">
    <w:name w:val="st1"/>
    <w:rsid w:val="00150365"/>
  </w:style>
  <w:style w:type="paragraph" w:styleId="a5">
    <w:name w:val="Balloon Text"/>
    <w:basedOn w:val="a"/>
    <w:link w:val="a6"/>
    <w:uiPriority w:val="99"/>
    <w:semiHidden/>
    <w:unhideWhenUsed/>
    <w:rsid w:val="0027578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7578E"/>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4916</Words>
  <Characters>2803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Альона Вікторівна Найденко</cp:lastModifiedBy>
  <cp:revision>5</cp:revision>
  <cp:lastPrinted>2019-10-30T15:44:00Z</cp:lastPrinted>
  <dcterms:created xsi:type="dcterms:W3CDTF">2019-10-28T16:19:00Z</dcterms:created>
  <dcterms:modified xsi:type="dcterms:W3CDTF">2019-11-01T08:36:00Z</dcterms:modified>
</cp:coreProperties>
</file>