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1E" w:rsidRDefault="00C0551E" w:rsidP="00C0551E">
      <w:pPr>
        <w:ind w:firstLine="720"/>
        <w:jc w:val="right"/>
        <w:rPr>
          <w:sz w:val="28"/>
        </w:rPr>
      </w:pPr>
      <w:r w:rsidRPr="00C0551E">
        <w:rPr>
          <w:sz w:val="28"/>
        </w:rPr>
        <w:t>Проект</w:t>
      </w:r>
    </w:p>
    <w:p w:rsidR="00C0551E" w:rsidRPr="00C0551E" w:rsidRDefault="00C0551E" w:rsidP="00C0551E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31.03.2021)</w:t>
      </w:r>
    </w:p>
    <w:p w:rsidR="00C0551E" w:rsidRPr="00C0551E" w:rsidRDefault="00C0551E" w:rsidP="00C0551E">
      <w:pPr>
        <w:ind w:firstLine="720"/>
        <w:jc w:val="center"/>
        <w:rPr>
          <w:sz w:val="28"/>
        </w:rPr>
      </w:pPr>
      <w:r w:rsidRPr="00C0551E">
        <w:rPr>
          <w:sz w:val="28"/>
        </w:rPr>
        <w:t>Закон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</w:p>
    <w:p w:rsidR="00C0551E" w:rsidRDefault="00C0551E" w:rsidP="00C0551E">
      <w:pPr>
        <w:ind w:firstLine="720"/>
        <w:jc w:val="center"/>
        <w:rPr>
          <w:sz w:val="28"/>
        </w:rPr>
      </w:pPr>
      <w:r w:rsidRPr="00C0551E">
        <w:rPr>
          <w:sz w:val="28"/>
        </w:rPr>
        <w:t>Про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внесення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змін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деяких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щодо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передачі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повноважень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регулювання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ціноутворення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галузі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</w:t>
      </w:r>
    </w:p>
    <w:p w:rsidR="00C0551E" w:rsidRPr="00C0551E" w:rsidRDefault="00C0551E" w:rsidP="00C0551E">
      <w:pPr>
        <w:ind w:firstLine="720"/>
        <w:jc w:val="center"/>
        <w:rPr>
          <w:sz w:val="28"/>
        </w:rPr>
      </w:pP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Верховна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Рада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л</w:t>
      </w:r>
      <w:r w:rsidRPr="00C0551E">
        <w:rPr>
          <w:sz w:val="28"/>
        </w:rPr>
        <w:t xml:space="preserve"> </w:t>
      </w:r>
      <w:r w:rsidRPr="00C0551E">
        <w:rPr>
          <w:sz w:val="28"/>
        </w:rPr>
        <w:t>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є: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І.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Внести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зміни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таких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України: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1.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Частину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другу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статті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17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«Про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інвестиційну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діяльність»</w:t>
      </w:r>
      <w:r w:rsidRPr="00C0551E">
        <w:rPr>
          <w:sz w:val="28"/>
        </w:rPr>
        <w:t xml:space="preserve"> </w:t>
      </w:r>
      <w:r w:rsidRPr="00C0551E">
        <w:rPr>
          <w:sz w:val="28"/>
        </w:rPr>
        <w:t>(Відомості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Верховної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Ради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1991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47,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646;</w:t>
      </w:r>
      <w:r w:rsidRPr="00C0551E">
        <w:rPr>
          <w:sz w:val="28"/>
        </w:rPr>
        <w:t xml:space="preserve"> </w:t>
      </w:r>
      <w:r w:rsidRPr="00C0551E">
        <w:rPr>
          <w:sz w:val="28"/>
        </w:rPr>
        <w:t>1998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33,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226;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2012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36,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416;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2019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46,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295)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викласти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такій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редакції: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«Вартість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визначається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підставі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органом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забезпечує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політику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сфері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містобудування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архітектури,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кошторисних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ціноутворення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будівництві,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які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обов’язковими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час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здійснення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об’єктів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(крім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користування)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залученням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бюджетних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коштів,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комунальних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підприємств,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установ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організацій,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кредитів,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наданих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гарантії.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Вартість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реконструкції,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ремонту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утримання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визначається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підставі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методик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правил,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органом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забезпечує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політику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сфері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дорожнього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господарства».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2.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Частину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другу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статті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7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«Про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ціноутворення»</w:t>
      </w:r>
      <w:r w:rsidRPr="00C0551E">
        <w:rPr>
          <w:sz w:val="28"/>
        </w:rPr>
        <w:t xml:space="preserve"> </w:t>
      </w:r>
      <w:r w:rsidRPr="00C0551E">
        <w:rPr>
          <w:sz w:val="28"/>
        </w:rPr>
        <w:t>(Відомості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Верховної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Ради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2013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19-20,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190;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2014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1,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4;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2019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р.,</w:t>
      </w:r>
      <w:r w:rsidRPr="00C0551E">
        <w:rPr>
          <w:sz w:val="28"/>
        </w:rPr>
        <w:t xml:space="preserve"> </w:t>
      </w:r>
      <w:r w:rsidRPr="00C0551E">
        <w:rPr>
          <w:sz w:val="28"/>
        </w:rPr>
        <w:t>№</w:t>
      </w:r>
      <w:r w:rsidRPr="00C0551E">
        <w:rPr>
          <w:sz w:val="28"/>
        </w:rPr>
        <w:t xml:space="preserve"> </w:t>
      </w:r>
      <w:r w:rsidRPr="00C0551E">
        <w:rPr>
          <w:sz w:val="28"/>
        </w:rPr>
        <w:t>46,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ст.</w:t>
      </w:r>
      <w:r w:rsidRPr="00C0551E">
        <w:rPr>
          <w:sz w:val="28"/>
        </w:rPr>
        <w:t xml:space="preserve"> </w:t>
      </w:r>
      <w:r w:rsidRPr="00C0551E">
        <w:rPr>
          <w:sz w:val="28"/>
        </w:rPr>
        <w:t>295)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викласти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такій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редакції: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«2.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розроблення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кошторисних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ціноутворення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будівництві,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порядку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їх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застосування,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перевірка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дотримання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обчисленні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вартості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об’єктів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(крім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користування),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будуються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залученням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бюджетних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коштів,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комунальних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підприємств,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установ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організацій,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кредитів,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наданих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під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гарантії,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здійснюються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органом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забезпечує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політику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сфері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містобудування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архітектури.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Розроблення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вартості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реконструкції,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ремонту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утримання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порядку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їх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застосування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здійснює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центральний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забезпечує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політику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сфері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дорожнього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господарства».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bookmarkStart w:id="0" w:name="_GoBack"/>
      <w:bookmarkEnd w:id="0"/>
      <w:r w:rsidRPr="00C0551E">
        <w:rPr>
          <w:sz w:val="28"/>
        </w:rPr>
        <w:t>ІІ.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Прикінцеві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положення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lastRenderedPageBreak/>
        <w:t>1.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Цей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набирає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чинності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дня,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наступного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днем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його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опублікування.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2.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Кошторисні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ціноутворення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будівництві,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набрання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чинності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Законом,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чинними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застосовуються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для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вартості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реконструкції,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ремонту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затвердження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органом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що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забезпечує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формування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реалізує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державну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політику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сфері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дорожнього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господарства,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методик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правил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визначення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вартості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будівництва,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реконструкції,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ремонту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утримання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автомобільних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доріг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загального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користування,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але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не</w:t>
      </w:r>
      <w:r w:rsidRPr="00C0551E">
        <w:rPr>
          <w:sz w:val="28"/>
        </w:rPr>
        <w:t xml:space="preserve"> </w:t>
      </w:r>
      <w:r w:rsidRPr="00C0551E">
        <w:rPr>
          <w:sz w:val="28"/>
        </w:rPr>
        <w:t>більше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трьох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років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набрання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чинності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Законом.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3.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Кабінету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Міністрів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тримісячний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строк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набрання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чинності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Законом: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забезпечити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прийняття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нормативно-правових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актів,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необхідних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для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реалізації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положень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цього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Закону;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привести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свої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нормативно-правові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акти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відповідність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Законом;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забезпечити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приведення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міністерствами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та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іншими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центральними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органами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виконавчої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влади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їх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нормативно-правових</w:t>
      </w:r>
      <w:r w:rsidRPr="00C0551E">
        <w:rPr>
          <w:sz w:val="28"/>
        </w:rPr>
        <w:t xml:space="preserve"> </w:t>
      </w:r>
      <w:r w:rsidRPr="00C0551E">
        <w:rPr>
          <w:sz w:val="28"/>
        </w:rPr>
        <w:t>актів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відповідність</w:t>
      </w:r>
      <w:r w:rsidRPr="00C0551E">
        <w:rPr>
          <w:sz w:val="28"/>
        </w:rPr>
        <w:t xml:space="preserve"> </w:t>
      </w:r>
      <w:r w:rsidRPr="00C0551E">
        <w:rPr>
          <w:sz w:val="28"/>
        </w:rPr>
        <w:t>із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цим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Законом.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4.</w:t>
      </w:r>
      <w:r w:rsidRPr="00C0551E">
        <w:rPr>
          <w:sz w:val="28"/>
        </w:rPr>
        <w:t xml:space="preserve"> </w:t>
      </w:r>
      <w:r w:rsidRPr="00C0551E">
        <w:rPr>
          <w:sz w:val="28"/>
        </w:rPr>
        <w:t>Кабінету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Міністрів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2022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році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поінформувати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Верховну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Раду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про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стан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виконання</w:t>
      </w:r>
      <w:r w:rsidRPr="00C0551E">
        <w:rPr>
          <w:sz w:val="28"/>
        </w:rPr>
        <w:t xml:space="preserve"> </w:t>
      </w:r>
      <w:r w:rsidRPr="00C0551E">
        <w:rPr>
          <w:sz w:val="28"/>
        </w:rPr>
        <w:t>цього</w:t>
      </w:r>
      <w:r w:rsidRPr="00C0551E">
        <w:rPr>
          <w:sz w:val="28"/>
        </w:rPr>
        <w:t xml:space="preserve"> </w:t>
      </w:r>
      <w:r w:rsidRPr="00C0551E">
        <w:rPr>
          <w:sz w:val="28"/>
        </w:rPr>
        <w:t>Закону.</w:t>
      </w:r>
    </w:p>
    <w:p w:rsidR="00C0551E" w:rsidRPr="00C0551E" w:rsidRDefault="00C0551E" w:rsidP="00C0551E">
      <w:pPr>
        <w:ind w:firstLine="720"/>
        <w:jc w:val="both"/>
        <w:rPr>
          <w:sz w:val="28"/>
        </w:rPr>
      </w:pPr>
    </w:p>
    <w:p w:rsidR="00C0551E" w:rsidRPr="00C0551E" w:rsidRDefault="00C0551E" w:rsidP="00C0551E">
      <w:pPr>
        <w:ind w:firstLine="720"/>
        <w:jc w:val="both"/>
        <w:rPr>
          <w:sz w:val="28"/>
        </w:rPr>
      </w:pPr>
      <w:r w:rsidRPr="00C0551E">
        <w:rPr>
          <w:sz w:val="28"/>
        </w:rPr>
        <w:t>Голова</w:t>
      </w:r>
      <w:r w:rsidRPr="00C0551E">
        <w:rPr>
          <w:sz w:val="28"/>
        </w:rPr>
        <w:t xml:space="preserve"> </w:t>
      </w:r>
      <w:r w:rsidRPr="00C0551E">
        <w:rPr>
          <w:sz w:val="28"/>
        </w:rPr>
        <w:t>Верховної</w:t>
      </w:r>
      <w:r w:rsidRPr="00C0551E">
        <w:rPr>
          <w:sz w:val="28"/>
        </w:rPr>
        <w:t xml:space="preserve"> </w:t>
      </w:r>
      <w:r w:rsidRPr="00C0551E">
        <w:rPr>
          <w:sz w:val="28"/>
        </w:rPr>
        <w:t>Ради</w:t>
      </w:r>
      <w:r w:rsidRPr="00C0551E">
        <w:rPr>
          <w:sz w:val="28"/>
        </w:rPr>
        <w:t xml:space="preserve"> </w:t>
      </w:r>
      <w:r w:rsidRPr="00C0551E">
        <w:rPr>
          <w:sz w:val="28"/>
        </w:rPr>
        <w:t>України</w:t>
      </w:r>
    </w:p>
    <w:p w:rsidR="00595064" w:rsidRPr="00C0551E" w:rsidRDefault="00595064" w:rsidP="00C0551E">
      <w:pPr>
        <w:ind w:firstLine="720"/>
        <w:jc w:val="both"/>
        <w:rPr>
          <w:sz w:val="28"/>
        </w:rPr>
      </w:pPr>
    </w:p>
    <w:sectPr w:rsidR="00595064" w:rsidRPr="00C0551E" w:rsidSect="00C0551E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1E" w:rsidRDefault="00C0551E">
      <w:r>
        <w:separator/>
      </w:r>
    </w:p>
  </w:endnote>
  <w:endnote w:type="continuationSeparator" w:id="0">
    <w:p w:rsidR="00C0551E" w:rsidRDefault="00C0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1E" w:rsidRDefault="00C0551E" w:rsidP="0096264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C0551E" w:rsidRDefault="00C055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1E" w:rsidRDefault="00C0551E" w:rsidP="0096264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C0551E" w:rsidRDefault="00C05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1E" w:rsidRDefault="00C0551E">
      <w:r>
        <w:separator/>
      </w:r>
    </w:p>
  </w:footnote>
  <w:footnote w:type="continuationSeparator" w:id="0">
    <w:p w:rsidR="00C0551E" w:rsidRDefault="00C0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51E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0551E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7E61"/>
  <w15:chartTrackingRefBased/>
  <w15:docId w15:val="{F9DB1FCD-F8E5-4BDE-93E1-D8440EA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C055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C0551E"/>
    <w:rPr>
      <w:sz w:val="28"/>
    </w:rPr>
  </w:style>
  <w:style w:type="character" w:styleId="aa">
    <w:name w:val="page number"/>
    <w:basedOn w:val="a1"/>
    <w:rsid w:val="00C0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2</Pages>
  <Words>480</Words>
  <Characters>3200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2021-04-01T09:43:00Z</dcterms:created>
  <dcterms:modified xsi:type="dcterms:W3CDTF">2021-04-01T09:44:00Z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