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85" w:rsidRDefault="000A6885"/>
    <w:p w:rsidR="000A6885" w:rsidRDefault="000A6885"/>
    <w:p w:rsidR="000A6885" w:rsidRDefault="000A6885"/>
    <w:p w:rsidR="000A6885" w:rsidRDefault="000A6885"/>
    <w:p w:rsidR="000A6885" w:rsidRDefault="000A6885"/>
    <w:p w:rsidR="000A6885" w:rsidRDefault="000A6885"/>
    <w:p w:rsidR="000A6885" w:rsidRDefault="000A6885"/>
    <w:p w:rsidR="000A6885" w:rsidRDefault="000A6885"/>
    <w:p w:rsidR="000A6885" w:rsidRDefault="000A6885"/>
    <w:p w:rsidR="000A6885" w:rsidRDefault="000A6885"/>
    <w:p w:rsidR="000A6885" w:rsidRDefault="000A6885"/>
    <w:p w:rsidR="000A6885" w:rsidRDefault="000A6885" w:rsidP="00E8434B">
      <w:pPr>
        <w:ind w:firstLine="0"/>
        <w:jc w:val="center"/>
      </w:pPr>
      <w:r>
        <w:t>В И С Н О В О К</w:t>
      </w:r>
    </w:p>
    <w:p w:rsidR="000A6885" w:rsidRDefault="000A6885" w:rsidP="00E8434B">
      <w:pPr>
        <w:ind w:firstLine="0"/>
        <w:jc w:val="center"/>
      </w:pPr>
      <w:r>
        <w:t>на проект Закону України «Про внесення змін до</w:t>
      </w:r>
    </w:p>
    <w:p w:rsidR="000A6885" w:rsidRDefault="000A6885" w:rsidP="00E8434B">
      <w:pPr>
        <w:ind w:firstLine="0"/>
        <w:jc w:val="center"/>
      </w:pPr>
      <w:r>
        <w:t xml:space="preserve">Закону України «Про соціальний і правовий захист </w:t>
      </w:r>
    </w:p>
    <w:p w:rsidR="000A6885" w:rsidRDefault="000A6885" w:rsidP="00E8434B">
      <w:pPr>
        <w:ind w:firstLine="0"/>
        <w:jc w:val="center"/>
      </w:pPr>
      <w:r>
        <w:t>військовослужбовців  та членів їх сімей»</w:t>
      </w:r>
      <w:r w:rsidR="00E8434B">
        <w:t>»</w:t>
      </w:r>
    </w:p>
    <w:p w:rsidR="009E5C74" w:rsidRDefault="000A6885" w:rsidP="00E8434B">
      <w:pPr>
        <w:ind w:firstLine="0"/>
        <w:jc w:val="center"/>
      </w:pPr>
      <w:r>
        <w:t>(</w:t>
      </w:r>
      <w:r w:rsidR="0028180C">
        <w:t>№ 2343</w:t>
      </w:r>
      <w:r>
        <w:t xml:space="preserve"> від 29.10.2019 р.)</w:t>
      </w:r>
    </w:p>
    <w:p w:rsidR="000A6885" w:rsidRDefault="000A6885" w:rsidP="00E8434B">
      <w:pPr>
        <w:ind w:firstLine="0"/>
        <w:jc w:val="center"/>
      </w:pPr>
    </w:p>
    <w:p w:rsidR="000A6885" w:rsidRDefault="000A6885" w:rsidP="000A6885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rPr>
          <w:szCs w:val="28"/>
        </w:rPr>
      </w:pPr>
      <w:r>
        <w:t>У законопроекті</w:t>
      </w:r>
      <w:r w:rsidR="004F5FB8">
        <w:t>,</w:t>
      </w:r>
      <w:r>
        <w:t xml:space="preserve"> як зазначено у </w:t>
      </w:r>
      <w:r w:rsidR="004F5FB8">
        <w:t>п</w:t>
      </w:r>
      <w:r>
        <w:t xml:space="preserve">ояснювальній записці </w:t>
      </w:r>
      <w:r w:rsidR="004F5FB8">
        <w:t xml:space="preserve">до нього, </w:t>
      </w:r>
      <w:r w:rsidR="00E8434B">
        <w:t xml:space="preserve"> «передбачається </w:t>
      </w:r>
      <w:r w:rsidRPr="005540E1">
        <w:rPr>
          <w:szCs w:val="28"/>
        </w:rPr>
        <w:t>врегулювати</w:t>
      </w:r>
      <w:r>
        <w:rPr>
          <w:szCs w:val="28"/>
        </w:rPr>
        <w:t xml:space="preserve"> </w:t>
      </w:r>
      <w:r w:rsidR="00E8434B">
        <w:rPr>
          <w:szCs w:val="28"/>
        </w:rPr>
        <w:t xml:space="preserve">питання щодо: впорядкування питань, пов’язаних з </w:t>
      </w:r>
      <w:r w:rsidRPr="005540E1">
        <w:rPr>
          <w:szCs w:val="28"/>
        </w:rPr>
        <w:t>надання</w:t>
      </w:r>
      <w:r w:rsidR="00E8434B">
        <w:rPr>
          <w:szCs w:val="28"/>
        </w:rPr>
        <w:t>м</w:t>
      </w:r>
      <w:r w:rsidRPr="005540E1">
        <w:rPr>
          <w:szCs w:val="28"/>
        </w:rPr>
        <w:t xml:space="preserve"> відпусток військовослужбовцям;</w:t>
      </w:r>
      <w:r>
        <w:rPr>
          <w:szCs w:val="28"/>
        </w:rPr>
        <w:t xml:space="preserve"> </w:t>
      </w:r>
      <w:r w:rsidR="00E8434B">
        <w:rPr>
          <w:szCs w:val="28"/>
        </w:rPr>
        <w:t xml:space="preserve">уточнення окремих питань </w:t>
      </w:r>
      <w:r w:rsidRPr="005540E1">
        <w:rPr>
          <w:szCs w:val="28"/>
        </w:rPr>
        <w:t>реалізації права військовослужбовців на забезпечення житлом;</w:t>
      </w:r>
      <w:r>
        <w:rPr>
          <w:szCs w:val="28"/>
        </w:rPr>
        <w:t xml:space="preserve"> </w:t>
      </w:r>
      <w:r w:rsidR="004F5FB8">
        <w:rPr>
          <w:szCs w:val="28"/>
        </w:rPr>
        <w:t>приве</w:t>
      </w:r>
      <w:r w:rsidR="00E8434B">
        <w:rPr>
          <w:szCs w:val="28"/>
        </w:rPr>
        <w:t xml:space="preserve">дення </w:t>
      </w:r>
      <w:r w:rsidR="004F5FB8">
        <w:rPr>
          <w:szCs w:val="28"/>
        </w:rPr>
        <w:t xml:space="preserve"> термінологі</w:t>
      </w:r>
      <w:r w:rsidR="00E8434B">
        <w:rPr>
          <w:szCs w:val="28"/>
        </w:rPr>
        <w:t>ї</w:t>
      </w:r>
      <w:r w:rsidRPr="005540E1">
        <w:rPr>
          <w:szCs w:val="28"/>
        </w:rPr>
        <w:t xml:space="preserve"> Закону України </w:t>
      </w:r>
      <w:r w:rsidR="004F5FB8">
        <w:rPr>
          <w:szCs w:val="28"/>
        </w:rPr>
        <w:t>«</w:t>
      </w:r>
      <w:r w:rsidRPr="005540E1">
        <w:rPr>
          <w:szCs w:val="28"/>
        </w:rPr>
        <w:t>Про соціальний і правовий захист військо</w:t>
      </w:r>
      <w:r w:rsidR="004F5FB8">
        <w:rPr>
          <w:szCs w:val="28"/>
        </w:rPr>
        <w:t>вослужбовців та членів їх сімей»</w:t>
      </w:r>
      <w:r w:rsidRPr="005540E1">
        <w:rPr>
          <w:szCs w:val="28"/>
        </w:rPr>
        <w:t xml:space="preserve"> </w:t>
      </w:r>
      <w:r w:rsidR="00E8434B">
        <w:rPr>
          <w:szCs w:val="28"/>
        </w:rPr>
        <w:t xml:space="preserve">(далі – Закон) </w:t>
      </w:r>
      <w:r w:rsidRPr="005540E1">
        <w:rPr>
          <w:szCs w:val="28"/>
        </w:rPr>
        <w:t xml:space="preserve">у відповідність до Законів України </w:t>
      </w:r>
      <w:r w:rsidR="004F5FB8">
        <w:rPr>
          <w:szCs w:val="28"/>
        </w:rPr>
        <w:t>«</w:t>
      </w:r>
      <w:r w:rsidRPr="005540E1">
        <w:rPr>
          <w:szCs w:val="28"/>
        </w:rPr>
        <w:t>Про освіту</w:t>
      </w:r>
      <w:r w:rsidR="004F5FB8">
        <w:rPr>
          <w:szCs w:val="28"/>
        </w:rPr>
        <w:t>»</w:t>
      </w:r>
      <w:r w:rsidRPr="005540E1">
        <w:rPr>
          <w:szCs w:val="28"/>
        </w:rPr>
        <w:t xml:space="preserve">, </w:t>
      </w:r>
      <w:r w:rsidR="004F5FB8">
        <w:rPr>
          <w:szCs w:val="28"/>
        </w:rPr>
        <w:t>«</w:t>
      </w:r>
      <w:r w:rsidRPr="005540E1">
        <w:rPr>
          <w:szCs w:val="28"/>
        </w:rPr>
        <w:t>Про вищу освіту</w:t>
      </w:r>
      <w:r w:rsidR="004F5FB8">
        <w:rPr>
          <w:szCs w:val="28"/>
        </w:rPr>
        <w:t>»</w:t>
      </w:r>
      <w:r w:rsidRPr="005540E1">
        <w:rPr>
          <w:szCs w:val="28"/>
        </w:rPr>
        <w:t xml:space="preserve"> та інших законів України</w:t>
      </w:r>
      <w:r>
        <w:rPr>
          <w:szCs w:val="28"/>
        </w:rPr>
        <w:t xml:space="preserve">; </w:t>
      </w:r>
      <w:r w:rsidR="004F5FB8">
        <w:rPr>
          <w:szCs w:val="28"/>
        </w:rPr>
        <w:t>уточн</w:t>
      </w:r>
      <w:r w:rsidR="00E8434B">
        <w:rPr>
          <w:szCs w:val="28"/>
        </w:rPr>
        <w:t>ення</w:t>
      </w:r>
      <w:r w:rsidRPr="005540E1">
        <w:rPr>
          <w:szCs w:val="28"/>
        </w:rPr>
        <w:t xml:space="preserve"> джерел фінансового забезпечення заходів</w:t>
      </w:r>
      <w:r w:rsidRPr="005540E1">
        <w:rPr>
          <w:color w:val="000000"/>
          <w:szCs w:val="28"/>
        </w:rPr>
        <w:t xml:space="preserve">, пов’язаних з реалізацією </w:t>
      </w:r>
      <w:r w:rsidRPr="005540E1">
        <w:rPr>
          <w:szCs w:val="28"/>
        </w:rPr>
        <w:t>прав та соціальних гарантій військовослужбовців</w:t>
      </w:r>
      <w:r w:rsidR="00E8434B">
        <w:rPr>
          <w:szCs w:val="28"/>
        </w:rPr>
        <w:t>»</w:t>
      </w:r>
      <w:r>
        <w:rPr>
          <w:szCs w:val="28"/>
        </w:rPr>
        <w:t>.</w:t>
      </w:r>
      <w:r w:rsidRPr="005540E1">
        <w:rPr>
          <w:szCs w:val="28"/>
        </w:rPr>
        <w:t xml:space="preserve"> </w:t>
      </w:r>
    </w:p>
    <w:p w:rsidR="000A6885" w:rsidRDefault="000A6885" w:rsidP="000A6885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Головне науково-експертне управління, розглянувши поданий законопроект, вважає за доцільне </w:t>
      </w:r>
      <w:r w:rsidR="00785323">
        <w:rPr>
          <w:szCs w:val="28"/>
        </w:rPr>
        <w:t>висловити щодо його змісту н</w:t>
      </w:r>
      <w:r>
        <w:rPr>
          <w:szCs w:val="28"/>
        </w:rPr>
        <w:t>аступн</w:t>
      </w:r>
      <w:r w:rsidR="00785323">
        <w:rPr>
          <w:szCs w:val="28"/>
        </w:rPr>
        <w:t>і зауваження та пропозиції</w:t>
      </w:r>
      <w:r>
        <w:rPr>
          <w:szCs w:val="28"/>
        </w:rPr>
        <w:t>.</w:t>
      </w:r>
    </w:p>
    <w:p w:rsidR="00107080" w:rsidRPr="00EC6402" w:rsidRDefault="00107080" w:rsidP="00107080">
      <w:pPr>
        <w:pStyle w:val="Nazva"/>
        <w:ind w:firstLine="709"/>
        <w:jc w:val="both"/>
        <w:rPr>
          <w:b w:val="0"/>
        </w:rPr>
      </w:pPr>
      <w:r>
        <w:rPr>
          <w:b w:val="0"/>
        </w:rPr>
        <w:t xml:space="preserve">1. Вважаємо, що до ст. 5 Закону слід вносити не лише зміни, якими у назві закону про вибори Президента слова «Української РСР» замінюються на слово «України» (як це пропонується у проекті), але й уточнити назви органів до яких військовослужбовці обирають та можуть бути обраними.  </w:t>
      </w:r>
    </w:p>
    <w:p w:rsidR="00340699" w:rsidRPr="00107080" w:rsidRDefault="00107080" w:rsidP="00107080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</w:pPr>
      <w:r>
        <w:t>2</w:t>
      </w:r>
      <w:r w:rsidR="00340699">
        <w:t xml:space="preserve">. </w:t>
      </w:r>
      <w:r w:rsidR="00340699" w:rsidRPr="00EC6402">
        <w:t xml:space="preserve">Не заперечуючи </w:t>
      </w:r>
      <w:r w:rsidR="00E8434B" w:rsidRPr="00107080">
        <w:t xml:space="preserve">щодо </w:t>
      </w:r>
      <w:r w:rsidR="00340699" w:rsidRPr="00107080">
        <w:t>посилення соціального захисту військовослужбовців та членів їхніх сімей</w:t>
      </w:r>
      <w:r>
        <w:t xml:space="preserve"> </w:t>
      </w:r>
      <w:r w:rsidR="00E8434B" w:rsidRPr="00107080">
        <w:t xml:space="preserve">шляхом </w:t>
      </w:r>
      <w:r w:rsidR="00340699" w:rsidRPr="00107080">
        <w:t>законодавчого закріплення мінімального розміру посадового окладу військовослужбовця (крім військовослужбовця строкової служби) на рівні не меншому розміру двох прожиткових мінімумів для працездатних осіб, установленого на 1 січня календарного року, а мінімального розміру окладу за військовим званням – одного розміру такого прожиткового мінімуму</w:t>
      </w:r>
      <w:r w:rsidR="00E8434B" w:rsidRPr="00107080">
        <w:t xml:space="preserve"> (зміни до статті 9 Закону)</w:t>
      </w:r>
      <w:r w:rsidR="00340699" w:rsidRPr="00107080">
        <w:t xml:space="preserve">, </w:t>
      </w:r>
      <w:r w:rsidR="00E8434B" w:rsidRPr="00107080">
        <w:t xml:space="preserve">вважаємо за доцільне </w:t>
      </w:r>
      <w:r w:rsidR="00340699" w:rsidRPr="00107080">
        <w:t>звернути увагу на наступне.</w:t>
      </w:r>
    </w:p>
    <w:p w:rsidR="00340699" w:rsidRPr="007C1237" w:rsidRDefault="00340699" w:rsidP="00340699">
      <w:pPr>
        <w:pStyle w:val="Nazva"/>
        <w:ind w:firstLine="709"/>
        <w:jc w:val="both"/>
        <w:rPr>
          <w:b w:val="0"/>
        </w:rPr>
      </w:pPr>
      <w:r w:rsidRPr="00FE2C34">
        <w:rPr>
          <w:b w:val="0"/>
        </w:rPr>
        <w:t>На сьогодні грошов</w:t>
      </w:r>
      <w:r w:rsidR="006F7FDC">
        <w:rPr>
          <w:b w:val="0"/>
        </w:rPr>
        <w:t>е</w:t>
      </w:r>
      <w:r w:rsidRPr="00FE2C34">
        <w:rPr>
          <w:b w:val="0"/>
        </w:rPr>
        <w:t xml:space="preserve"> забезпечення військовослужбовців </w:t>
      </w:r>
      <w:r w:rsidR="006F7FDC">
        <w:rPr>
          <w:b w:val="0"/>
        </w:rPr>
        <w:t xml:space="preserve">виплачується у розмірах, що встановлюються Кабінетом Міністрів України (абзац 1 </w:t>
      </w:r>
      <w:r w:rsidR="00D618C0">
        <w:rPr>
          <w:b w:val="0"/>
        </w:rPr>
        <w:t xml:space="preserve">пункту </w:t>
      </w:r>
      <w:r w:rsidR="006F7FDC">
        <w:rPr>
          <w:b w:val="0"/>
        </w:rPr>
        <w:t>4 статті 9 Закону)</w:t>
      </w:r>
      <w:r w:rsidR="00107080">
        <w:rPr>
          <w:b w:val="0"/>
        </w:rPr>
        <w:t>,</w:t>
      </w:r>
      <w:r w:rsidR="006F7FDC">
        <w:rPr>
          <w:b w:val="0"/>
        </w:rPr>
        <w:t xml:space="preserve"> та включає до себе: </w:t>
      </w:r>
      <w:r w:rsidR="006F7FDC" w:rsidRPr="006F7FDC">
        <w:rPr>
          <w:b w:val="0"/>
        </w:rPr>
        <w:t xml:space="preserve">посадовий оклад, оклад за військовим званням; щомісячні додаткові види грошового забезпечення (підвищення </w:t>
      </w:r>
      <w:r w:rsidR="006F7FDC" w:rsidRPr="006F7FDC">
        <w:rPr>
          <w:b w:val="0"/>
        </w:rPr>
        <w:lastRenderedPageBreak/>
        <w:t>посадового окладу, надбавки, доплати, винагороди, які мають постійний характер, премія);</w:t>
      </w:r>
      <w:r w:rsidR="006F7FDC" w:rsidRPr="006F7FDC">
        <w:t xml:space="preserve"> </w:t>
      </w:r>
      <w:r w:rsidR="006F7FDC" w:rsidRPr="006F7FDC">
        <w:rPr>
          <w:b w:val="0"/>
        </w:rPr>
        <w:t>одноразові додаткові види грошового забезпечення</w:t>
      </w:r>
      <w:r w:rsidR="00107080">
        <w:rPr>
          <w:b w:val="0"/>
        </w:rPr>
        <w:t xml:space="preserve"> (пункт 2 цієї статті)</w:t>
      </w:r>
      <w:r w:rsidR="006F7FDC" w:rsidRPr="006F7FDC">
        <w:rPr>
          <w:b w:val="0"/>
        </w:rPr>
        <w:t>.</w:t>
      </w:r>
      <w:r w:rsidR="006F7FDC">
        <w:rPr>
          <w:b w:val="0"/>
        </w:rPr>
        <w:t xml:space="preserve"> </w:t>
      </w:r>
      <w:r>
        <w:rPr>
          <w:b w:val="0"/>
        </w:rPr>
        <w:t>При цьому в</w:t>
      </w:r>
      <w:r w:rsidRPr="007C1237">
        <w:rPr>
          <w:b w:val="0"/>
        </w:rPr>
        <w:t xml:space="preserve"> основу визначення розміру посадового окладу та окладу за військовими (спеціальними) званнями покладено </w:t>
      </w:r>
      <w:r>
        <w:rPr>
          <w:b w:val="0"/>
        </w:rPr>
        <w:t xml:space="preserve">розмір прожиткового </w:t>
      </w:r>
      <w:r w:rsidRPr="007C1237">
        <w:rPr>
          <w:b w:val="0"/>
        </w:rPr>
        <w:t>мінімуму для працездатних осіб, встановлен</w:t>
      </w:r>
      <w:r>
        <w:rPr>
          <w:b w:val="0"/>
        </w:rPr>
        <w:t>ий</w:t>
      </w:r>
      <w:r w:rsidRPr="007C1237">
        <w:rPr>
          <w:b w:val="0"/>
        </w:rPr>
        <w:t xml:space="preserve"> законом на 1 січня 2018 р</w:t>
      </w:r>
      <w:r w:rsidR="00107080">
        <w:rPr>
          <w:b w:val="0"/>
        </w:rPr>
        <w:t>оку</w:t>
      </w:r>
      <w:r w:rsidRPr="007C1237">
        <w:rPr>
          <w:b w:val="0"/>
        </w:rPr>
        <w:t>,</w:t>
      </w:r>
      <w:r>
        <w:rPr>
          <w:b w:val="0"/>
        </w:rPr>
        <w:t xml:space="preserve"> </w:t>
      </w:r>
      <w:r w:rsidRPr="007C1237">
        <w:rPr>
          <w:b w:val="0"/>
        </w:rPr>
        <w:t>з</w:t>
      </w:r>
      <w:r>
        <w:rPr>
          <w:b w:val="0"/>
        </w:rPr>
        <w:t xml:space="preserve"> урахуванням </w:t>
      </w:r>
      <w:r w:rsidRPr="007C1237">
        <w:rPr>
          <w:b w:val="0"/>
        </w:rPr>
        <w:t>Тарифної сітки розрядів і коефіцієнтів посадових окладів військовослужбовців з числа осіб рядового, сержантського і старшинського складу, офіцерського складу (крім військовослужбовців строкової військової служби), осіб рядового і начальницького складу (</w:t>
      </w:r>
      <w:r w:rsidR="006F7FDC">
        <w:rPr>
          <w:b w:val="0"/>
        </w:rPr>
        <w:t>п</w:t>
      </w:r>
      <w:r w:rsidRPr="007C1237">
        <w:rPr>
          <w:b w:val="0"/>
        </w:rPr>
        <w:t>останова К</w:t>
      </w:r>
      <w:r w:rsidR="006F7FDC">
        <w:rPr>
          <w:b w:val="0"/>
        </w:rPr>
        <w:t xml:space="preserve">абінету </w:t>
      </w:r>
      <w:r w:rsidRPr="007C1237">
        <w:rPr>
          <w:b w:val="0"/>
        </w:rPr>
        <w:t>М</w:t>
      </w:r>
      <w:r w:rsidR="006F7FDC">
        <w:rPr>
          <w:b w:val="0"/>
        </w:rPr>
        <w:t xml:space="preserve">іністрів </w:t>
      </w:r>
      <w:r w:rsidRPr="007C1237">
        <w:rPr>
          <w:b w:val="0"/>
        </w:rPr>
        <w:t>У</w:t>
      </w:r>
      <w:r w:rsidR="006F7FDC">
        <w:rPr>
          <w:b w:val="0"/>
        </w:rPr>
        <w:t>країни</w:t>
      </w:r>
      <w:r w:rsidRPr="007C1237">
        <w:rPr>
          <w:b w:val="0"/>
        </w:rPr>
        <w:t xml:space="preserve"> </w:t>
      </w:r>
      <w:r w:rsidR="00EC4F9E">
        <w:rPr>
          <w:b w:val="0"/>
        </w:rPr>
        <w:t>«</w:t>
      </w:r>
      <w:r w:rsidR="00EC4F9E" w:rsidRPr="00EC4F9E">
        <w:rPr>
          <w:b w:val="0"/>
          <w:bCs/>
        </w:rPr>
        <w:t>Про грошове забезпечення військовослужбовців, осіб рядового і начальницького складу та деяких інших осіб</w:t>
      </w:r>
      <w:r w:rsidR="00EC4F9E">
        <w:rPr>
          <w:b w:val="0"/>
          <w:bCs/>
        </w:rPr>
        <w:t xml:space="preserve">» </w:t>
      </w:r>
      <w:r w:rsidRPr="007C1237">
        <w:rPr>
          <w:b w:val="0"/>
        </w:rPr>
        <w:t>від 30 серпня 2017 р</w:t>
      </w:r>
      <w:r w:rsidR="00107080">
        <w:rPr>
          <w:b w:val="0"/>
        </w:rPr>
        <w:t>оку</w:t>
      </w:r>
      <w:r w:rsidRPr="007C1237">
        <w:rPr>
          <w:b w:val="0"/>
        </w:rPr>
        <w:t xml:space="preserve"> № 704</w:t>
      </w:r>
      <w:r w:rsidR="006F7FDC">
        <w:rPr>
          <w:b w:val="0"/>
        </w:rPr>
        <w:t xml:space="preserve"> </w:t>
      </w:r>
      <w:r w:rsidRPr="007C1237">
        <w:rPr>
          <w:b w:val="0"/>
        </w:rPr>
        <w:t>)</w:t>
      </w:r>
      <w:r>
        <w:rPr>
          <w:b w:val="0"/>
        </w:rPr>
        <w:t xml:space="preserve">. </w:t>
      </w:r>
    </w:p>
    <w:p w:rsidR="00187BA4" w:rsidRDefault="00340699" w:rsidP="00340699">
      <w:pPr>
        <w:pStyle w:val="Nazva"/>
        <w:ind w:firstLine="709"/>
        <w:jc w:val="both"/>
        <w:rPr>
          <w:b w:val="0"/>
        </w:rPr>
      </w:pPr>
      <w:r>
        <w:rPr>
          <w:b w:val="0"/>
        </w:rPr>
        <w:t>В</w:t>
      </w:r>
      <w:r w:rsidRPr="00EC6402">
        <w:rPr>
          <w:b w:val="0"/>
        </w:rPr>
        <w:t xml:space="preserve"> цьому контексті слід звернути увагу на необхідність регулювання </w:t>
      </w:r>
      <w:r w:rsidR="00107080">
        <w:rPr>
          <w:b w:val="0"/>
        </w:rPr>
        <w:t xml:space="preserve">відповідних </w:t>
      </w:r>
      <w:r w:rsidRPr="00EC6402">
        <w:rPr>
          <w:b w:val="0"/>
        </w:rPr>
        <w:t>суспільних відносин на об’єктивних і системних підходах</w:t>
      </w:r>
      <w:r w:rsidR="00187BA4">
        <w:rPr>
          <w:b w:val="0"/>
        </w:rPr>
        <w:t>, які мають бути однаковими для оплати праці як для працівників, які працюють за трудовим договором, так і для військовослужбовців та інших відповідних категорій</w:t>
      </w:r>
      <w:r w:rsidRPr="00EC6402">
        <w:rPr>
          <w:b w:val="0"/>
        </w:rPr>
        <w:t xml:space="preserve">. Як вже неодноразового наголошувалося Головним управлінням, заміна категорії </w:t>
      </w:r>
      <w:r w:rsidRPr="00630197">
        <w:rPr>
          <w:b w:val="0"/>
          <w:u w:val="single"/>
        </w:rPr>
        <w:t xml:space="preserve">мінімальної заробітної плати, </w:t>
      </w:r>
      <w:r w:rsidR="00187BA4">
        <w:rPr>
          <w:b w:val="0"/>
          <w:u w:val="single"/>
        </w:rPr>
        <w:t>яка</w:t>
      </w:r>
      <w:r w:rsidRPr="00630197">
        <w:rPr>
          <w:b w:val="0"/>
          <w:u w:val="single"/>
        </w:rPr>
        <w:t xml:space="preserve"> є ключовим соціальним стандартом у формуванні усієї системи оплати прац</w:t>
      </w:r>
      <w:r w:rsidRPr="00EC6402">
        <w:rPr>
          <w:b w:val="0"/>
        </w:rPr>
        <w:t>і, на категорію прожиткового мінімуму, що сьогодні є базою при розрахунку оплати праці працівників</w:t>
      </w:r>
      <w:r>
        <w:rPr>
          <w:b w:val="0"/>
        </w:rPr>
        <w:t xml:space="preserve"> як </w:t>
      </w:r>
      <w:r w:rsidRPr="00EC6402">
        <w:rPr>
          <w:b w:val="0"/>
        </w:rPr>
        <w:t xml:space="preserve"> на основі Єдиної тарифної сітки розрядів і коефіцієнтів з оплати праці працівників установ, закладів та організацій окремих галузей бюджетної сфери, </w:t>
      </w:r>
      <w:r>
        <w:rPr>
          <w:b w:val="0"/>
        </w:rPr>
        <w:t xml:space="preserve">так і Тарифної сітки </w:t>
      </w:r>
      <w:r w:rsidRPr="00E0664F">
        <w:rPr>
          <w:b w:val="0"/>
        </w:rPr>
        <w:t>розрядів і коефіцієнтів посадових окладів військовослужбовців з числа осіб рядового, сержантського і старшинського складу, офіцерського складу (крім військовослужбовців строкової військової служби), осіб рядового і начальницького складу</w:t>
      </w:r>
      <w:r w:rsidR="00187BA4">
        <w:rPr>
          <w:b w:val="0"/>
        </w:rPr>
        <w:t>, є штучною</w:t>
      </w:r>
      <w:r w:rsidR="00107080">
        <w:rPr>
          <w:b w:val="0"/>
        </w:rPr>
        <w:t>, а тому вся система оплати праці має відповідним чином відкоригована</w:t>
      </w:r>
      <w:r w:rsidRPr="00EC6402">
        <w:rPr>
          <w:b w:val="0"/>
        </w:rPr>
        <w:t xml:space="preserve">. </w:t>
      </w:r>
    </w:p>
    <w:p w:rsidR="00D618C0" w:rsidRDefault="006D7183" w:rsidP="00D61AB3">
      <w:pPr>
        <w:pStyle w:val="Nazva"/>
        <w:ind w:firstLine="709"/>
        <w:jc w:val="both"/>
        <w:rPr>
          <w:b w:val="0"/>
        </w:rPr>
      </w:pPr>
      <w:r>
        <w:rPr>
          <w:b w:val="0"/>
        </w:rPr>
        <w:t>3</w:t>
      </w:r>
      <w:r w:rsidR="00641CE0" w:rsidRPr="004B07D9">
        <w:rPr>
          <w:b w:val="0"/>
        </w:rPr>
        <w:t xml:space="preserve">. </w:t>
      </w:r>
      <w:r w:rsidR="00174476" w:rsidRPr="004B07D9">
        <w:rPr>
          <w:b w:val="0"/>
        </w:rPr>
        <w:t xml:space="preserve">На наш погляд, </w:t>
      </w:r>
      <w:r w:rsidR="00551D8A">
        <w:rPr>
          <w:b w:val="0"/>
        </w:rPr>
        <w:t xml:space="preserve">окремі </w:t>
      </w:r>
      <w:r w:rsidR="00174476" w:rsidRPr="004B07D9">
        <w:rPr>
          <w:b w:val="0"/>
        </w:rPr>
        <w:t xml:space="preserve">положення </w:t>
      </w:r>
      <w:r w:rsidR="00C22E02" w:rsidRPr="004B07D9">
        <w:rPr>
          <w:b w:val="0"/>
        </w:rPr>
        <w:t xml:space="preserve">законопроекту </w:t>
      </w:r>
      <w:r w:rsidR="00174476" w:rsidRPr="004B07D9">
        <w:rPr>
          <w:b w:val="0"/>
        </w:rPr>
        <w:t xml:space="preserve">не узгоджуються із вимогами частини </w:t>
      </w:r>
      <w:r w:rsidR="00551D8A">
        <w:rPr>
          <w:b w:val="0"/>
        </w:rPr>
        <w:t xml:space="preserve">2 </w:t>
      </w:r>
      <w:r w:rsidR="00174476" w:rsidRPr="004B07D9">
        <w:rPr>
          <w:b w:val="0"/>
        </w:rPr>
        <w:t>ст</w:t>
      </w:r>
      <w:r w:rsidR="00551D8A">
        <w:rPr>
          <w:b w:val="0"/>
        </w:rPr>
        <w:t xml:space="preserve">атті </w:t>
      </w:r>
      <w:r w:rsidR="00174476" w:rsidRPr="004B07D9">
        <w:rPr>
          <w:b w:val="0"/>
        </w:rPr>
        <w:t>22 Конституції України, де йдеться</w:t>
      </w:r>
      <w:r w:rsidR="00762E5E" w:rsidRPr="004B07D9">
        <w:rPr>
          <w:b w:val="0"/>
        </w:rPr>
        <w:t xml:space="preserve"> про те</w:t>
      </w:r>
      <w:r w:rsidR="00174476" w:rsidRPr="004B07D9">
        <w:rPr>
          <w:b w:val="0"/>
        </w:rPr>
        <w:t xml:space="preserve">, що </w:t>
      </w:r>
      <w:r w:rsidR="00174476" w:rsidRPr="00107080">
        <w:rPr>
          <w:b w:val="0"/>
          <w:i/>
        </w:rPr>
        <w:t>«при прийнятті нових законів або внесенні змін до чинних законів не допускається звуження змісту та обсягу існуючих прав і свобод»</w:t>
      </w:r>
      <w:r w:rsidR="00174476" w:rsidRPr="004B07D9">
        <w:rPr>
          <w:b w:val="0"/>
        </w:rPr>
        <w:t>. Зокрема</w:t>
      </w:r>
      <w:r w:rsidR="00762E5E" w:rsidRPr="004B07D9">
        <w:rPr>
          <w:b w:val="0"/>
        </w:rPr>
        <w:t>,</w:t>
      </w:r>
      <w:r w:rsidR="00174476" w:rsidRPr="004B07D9">
        <w:rPr>
          <w:b w:val="0"/>
        </w:rPr>
        <w:t xml:space="preserve"> це стосується </w:t>
      </w:r>
      <w:r w:rsidR="00480E9A" w:rsidRPr="004B07D9">
        <w:rPr>
          <w:b w:val="0"/>
        </w:rPr>
        <w:t xml:space="preserve">пропозиції законопроекту </w:t>
      </w:r>
      <w:r w:rsidR="00551D8A">
        <w:rPr>
          <w:b w:val="0"/>
        </w:rPr>
        <w:t xml:space="preserve">про </w:t>
      </w:r>
      <w:r w:rsidR="00480E9A" w:rsidRPr="004B07D9">
        <w:rPr>
          <w:b w:val="0"/>
        </w:rPr>
        <w:t>ви</w:t>
      </w:r>
      <w:r w:rsidR="00D81710">
        <w:rPr>
          <w:b w:val="0"/>
        </w:rPr>
        <w:t>к</w:t>
      </w:r>
      <w:r w:rsidR="00480E9A" w:rsidRPr="004B07D9">
        <w:rPr>
          <w:b w:val="0"/>
        </w:rPr>
        <w:t>л</w:t>
      </w:r>
      <w:r w:rsidR="00D81710">
        <w:rPr>
          <w:b w:val="0"/>
        </w:rPr>
        <w:t>ю</w:t>
      </w:r>
      <w:r w:rsidR="00480E9A" w:rsidRPr="004B07D9">
        <w:rPr>
          <w:b w:val="0"/>
        </w:rPr>
        <w:t>ч</w:t>
      </w:r>
      <w:r w:rsidR="00551D8A">
        <w:rPr>
          <w:b w:val="0"/>
        </w:rPr>
        <w:t>ення</w:t>
      </w:r>
      <w:r w:rsidR="00480E9A" w:rsidRPr="004B07D9">
        <w:rPr>
          <w:b w:val="0"/>
        </w:rPr>
        <w:t xml:space="preserve"> із Закону України «Про соціальний і правовий захист військовослужбовців та членів їх сімей» </w:t>
      </w:r>
      <w:r w:rsidR="00762E5E" w:rsidRPr="004B07D9">
        <w:rPr>
          <w:b w:val="0"/>
        </w:rPr>
        <w:t xml:space="preserve">(далі – Закон) </w:t>
      </w:r>
      <w:r w:rsidR="00480E9A" w:rsidRPr="004B07D9">
        <w:rPr>
          <w:b w:val="0"/>
        </w:rPr>
        <w:t>положення</w:t>
      </w:r>
      <w:r w:rsidR="005E7FEE" w:rsidRPr="004B07D9">
        <w:rPr>
          <w:b w:val="0"/>
        </w:rPr>
        <w:t xml:space="preserve"> щодо</w:t>
      </w:r>
      <w:r w:rsidR="00D81710">
        <w:rPr>
          <w:b w:val="0"/>
        </w:rPr>
        <w:t>:</w:t>
      </w:r>
      <w:r w:rsidR="005E7FEE" w:rsidRPr="004B07D9">
        <w:rPr>
          <w:b w:val="0"/>
        </w:rPr>
        <w:t xml:space="preserve"> надання права на дострокове звільнення з військової служби військовослужбовцям строкової служби</w:t>
      </w:r>
      <w:r w:rsidR="00551D8A">
        <w:rPr>
          <w:b w:val="0"/>
        </w:rPr>
        <w:t>,</w:t>
      </w:r>
      <w:r w:rsidR="005E7FEE" w:rsidRPr="004B07D9">
        <w:rPr>
          <w:b w:val="0"/>
        </w:rPr>
        <w:t xml:space="preserve">  сім'ї яких втратили годувальника і не мають інших працездатних членів та членів сім'ї з самостійним заробітком (</w:t>
      </w:r>
      <w:r w:rsidR="00551D8A">
        <w:rPr>
          <w:b w:val="0"/>
        </w:rPr>
        <w:t xml:space="preserve">зміни до </w:t>
      </w:r>
      <w:r w:rsidR="00966DB7">
        <w:rPr>
          <w:b w:val="0"/>
        </w:rPr>
        <w:t>пункту</w:t>
      </w:r>
      <w:r w:rsidR="00D618C0">
        <w:rPr>
          <w:b w:val="0"/>
        </w:rPr>
        <w:t xml:space="preserve"> 3 </w:t>
      </w:r>
      <w:r w:rsidR="00480E9A" w:rsidRPr="004B07D9">
        <w:rPr>
          <w:b w:val="0"/>
        </w:rPr>
        <w:t>ст</w:t>
      </w:r>
      <w:r w:rsidR="00D618C0">
        <w:rPr>
          <w:b w:val="0"/>
        </w:rPr>
        <w:t>атті</w:t>
      </w:r>
      <w:r w:rsidR="005E7FEE" w:rsidRPr="004B07D9">
        <w:rPr>
          <w:b w:val="0"/>
        </w:rPr>
        <w:t xml:space="preserve"> 8)</w:t>
      </w:r>
      <w:r w:rsidR="00480E9A" w:rsidRPr="004B07D9">
        <w:rPr>
          <w:b w:val="0"/>
        </w:rPr>
        <w:t>;</w:t>
      </w:r>
      <w:r w:rsidR="005E7FEE" w:rsidRPr="004B07D9">
        <w:rPr>
          <w:b w:val="0"/>
        </w:rPr>
        <w:t xml:space="preserve"> </w:t>
      </w:r>
      <w:r w:rsidR="00D618C0">
        <w:rPr>
          <w:b w:val="0"/>
        </w:rPr>
        <w:t xml:space="preserve">скорочення часу, необхідного у межах України до </w:t>
      </w:r>
      <w:r w:rsidR="00107080">
        <w:rPr>
          <w:b w:val="0"/>
        </w:rPr>
        <w:t xml:space="preserve">проїзду до </w:t>
      </w:r>
      <w:r w:rsidR="00D618C0">
        <w:rPr>
          <w:b w:val="0"/>
        </w:rPr>
        <w:t xml:space="preserve">місця проведення відпустки та назад, з двох діб в  один кінець до однієї доби, крім тих військовослужбовців, </w:t>
      </w:r>
      <w:r w:rsidR="00174476" w:rsidRPr="004B07D9">
        <w:rPr>
          <w:b w:val="0"/>
        </w:rPr>
        <w:t>що беруть безпосередню участь у бойових діях, в антитерористичній операції, у здійсненні заходів із забезпечення національної безпеки і оборони, відсічі і стримування збройної агресії проти України (</w:t>
      </w:r>
      <w:r w:rsidR="00966DB7">
        <w:rPr>
          <w:b w:val="0"/>
        </w:rPr>
        <w:t xml:space="preserve">пункт </w:t>
      </w:r>
      <w:r w:rsidR="00D618C0">
        <w:rPr>
          <w:b w:val="0"/>
        </w:rPr>
        <w:t xml:space="preserve">1 </w:t>
      </w:r>
      <w:r w:rsidR="00966DB7">
        <w:rPr>
          <w:b w:val="0"/>
        </w:rPr>
        <w:t xml:space="preserve">нової редакції </w:t>
      </w:r>
      <w:r w:rsidR="00D618C0">
        <w:rPr>
          <w:b w:val="0"/>
        </w:rPr>
        <w:t>статті 10</w:t>
      </w:r>
      <w:r w:rsidR="00D618C0">
        <w:rPr>
          <w:b w:val="0"/>
          <w:vertAlign w:val="superscript"/>
        </w:rPr>
        <w:t>1</w:t>
      </w:r>
      <w:r w:rsidR="00D618C0">
        <w:rPr>
          <w:b w:val="0"/>
        </w:rPr>
        <w:t>) тощо.</w:t>
      </w:r>
    </w:p>
    <w:p w:rsidR="00D61AB3" w:rsidRPr="004B07D9" w:rsidRDefault="006D7183" w:rsidP="00D61AB3">
      <w:pPr>
        <w:pStyle w:val="Nazva"/>
        <w:ind w:firstLine="709"/>
        <w:jc w:val="both"/>
        <w:rPr>
          <w:b w:val="0"/>
        </w:rPr>
      </w:pPr>
      <w:r>
        <w:rPr>
          <w:b w:val="0"/>
        </w:rPr>
        <w:t>4</w:t>
      </w:r>
      <w:r w:rsidR="00C22E02" w:rsidRPr="004B07D9">
        <w:rPr>
          <w:b w:val="0"/>
        </w:rPr>
        <w:t xml:space="preserve">. </w:t>
      </w:r>
      <w:r w:rsidR="00D61AB3" w:rsidRPr="004B07D9">
        <w:rPr>
          <w:b w:val="0"/>
        </w:rPr>
        <w:t xml:space="preserve">Визначення переліку видів відпусток в </w:t>
      </w:r>
      <w:r w:rsidR="00D61AB3" w:rsidRPr="004B07D9">
        <w:rPr>
          <w:b w:val="0"/>
          <w:i/>
        </w:rPr>
        <w:t>особливий період</w:t>
      </w:r>
      <w:r w:rsidR="00D61AB3" w:rsidRPr="004B07D9">
        <w:rPr>
          <w:b w:val="0"/>
        </w:rPr>
        <w:t xml:space="preserve"> з моменту оголошення мобілізації (крім строку, на який введено правовий режим воєнного стану, або до оголошення демобілізації) вбачається зайвим (п. 17 </w:t>
      </w:r>
      <w:r w:rsidR="00966DB7">
        <w:rPr>
          <w:b w:val="0"/>
        </w:rPr>
        <w:t xml:space="preserve">нової редакції </w:t>
      </w:r>
      <w:r w:rsidR="00D61AB3" w:rsidRPr="004B07D9">
        <w:rPr>
          <w:b w:val="0"/>
        </w:rPr>
        <w:t>ст. 10</w:t>
      </w:r>
      <w:r w:rsidR="00966DB7">
        <w:rPr>
          <w:b w:val="0"/>
          <w:vertAlign w:val="superscript"/>
        </w:rPr>
        <w:t>1</w:t>
      </w:r>
      <w:r w:rsidR="00D61AB3" w:rsidRPr="004B07D9">
        <w:rPr>
          <w:b w:val="0"/>
        </w:rPr>
        <w:t xml:space="preserve"> </w:t>
      </w:r>
      <w:r w:rsidR="00762E5E" w:rsidRPr="004B07D9">
        <w:rPr>
          <w:b w:val="0"/>
        </w:rPr>
        <w:t>Закону</w:t>
      </w:r>
      <w:r w:rsidR="00D61AB3" w:rsidRPr="004B07D9">
        <w:rPr>
          <w:b w:val="0"/>
        </w:rPr>
        <w:t>)</w:t>
      </w:r>
      <w:r w:rsidR="00966DB7">
        <w:rPr>
          <w:b w:val="0"/>
        </w:rPr>
        <w:t xml:space="preserve">, оскільки, зокрема, </w:t>
      </w:r>
      <w:r w:rsidR="00D61AB3" w:rsidRPr="004B07D9">
        <w:rPr>
          <w:b w:val="0"/>
        </w:rPr>
        <w:t xml:space="preserve"> </w:t>
      </w:r>
      <w:r w:rsidR="00D61AB3" w:rsidRPr="00512EE4">
        <w:rPr>
          <w:b w:val="0"/>
          <w:i/>
        </w:rPr>
        <w:t>особливий період</w:t>
      </w:r>
      <w:r w:rsidR="00D61AB3" w:rsidRPr="004B07D9">
        <w:rPr>
          <w:b w:val="0"/>
        </w:rPr>
        <w:t xml:space="preserve"> діє в Україні </w:t>
      </w:r>
      <w:r w:rsidR="00762E5E" w:rsidRPr="004B07D9">
        <w:rPr>
          <w:b w:val="0"/>
        </w:rPr>
        <w:t>з 17</w:t>
      </w:r>
      <w:r w:rsidR="00107080">
        <w:rPr>
          <w:b w:val="0"/>
        </w:rPr>
        <w:t xml:space="preserve"> березня </w:t>
      </w:r>
      <w:r w:rsidR="00D61AB3" w:rsidRPr="004B07D9">
        <w:rPr>
          <w:b w:val="0"/>
        </w:rPr>
        <w:lastRenderedPageBreak/>
        <w:t>2014</w:t>
      </w:r>
      <w:r w:rsidR="00762E5E" w:rsidRPr="004B07D9">
        <w:rPr>
          <w:b w:val="0"/>
        </w:rPr>
        <w:t xml:space="preserve"> р</w:t>
      </w:r>
      <w:r w:rsidR="00107080">
        <w:rPr>
          <w:b w:val="0"/>
        </w:rPr>
        <w:t>оку</w:t>
      </w:r>
      <w:r w:rsidR="00D61AB3" w:rsidRPr="004B07D9">
        <w:rPr>
          <w:b w:val="0"/>
        </w:rPr>
        <w:t xml:space="preserve"> після оприлюднення Указу Президента України № 303/2014 «Про часткову мобілізацію». Президент України </w:t>
      </w:r>
      <w:r w:rsidR="00E40946">
        <w:rPr>
          <w:b w:val="0"/>
        </w:rPr>
        <w:t xml:space="preserve">спеціального </w:t>
      </w:r>
      <w:r w:rsidR="00D61AB3" w:rsidRPr="004B07D9">
        <w:rPr>
          <w:b w:val="0"/>
        </w:rPr>
        <w:t xml:space="preserve">рішення про переведення державних інституцій на функціонування в умовах мирного часу не приймав, отже особливий </w:t>
      </w:r>
      <w:r w:rsidR="00762E5E" w:rsidRPr="004B07D9">
        <w:rPr>
          <w:b w:val="0"/>
        </w:rPr>
        <w:t>період в Україні</w:t>
      </w:r>
      <w:r w:rsidR="00D61AB3" w:rsidRPr="004B07D9">
        <w:rPr>
          <w:b w:val="0"/>
        </w:rPr>
        <w:t xml:space="preserve"> продовжує діяти</w:t>
      </w:r>
      <w:r w:rsidR="004B07D9">
        <w:rPr>
          <w:rStyle w:val="ac"/>
          <w:b w:val="0"/>
        </w:rPr>
        <w:footnoteReference w:id="1"/>
      </w:r>
      <w:r w:rsidR="00762E5E" w:rsidRPr="004B07D9">
        <w:rPr>
          <w:b w:val="0"/>
        </w:rPr>
        <w:t>.</w:t>
      </w:r>
    </w:p>
    <w:p w:rsidR="00C22E02" w:rsidRPr="004B07D9" w:rsidRDefault="00D61AB3" w:rsidP="00E66CC2">
      <w:pPr>
        <w:pStyle w:val="Nazva"/>
        <w:ind w:firstLine="709"/>
        <w:jc w:val="both"/>
        <w:rPr>
          <w:b w:val="0"/>
        </w:rPr>
      </w:pPr>
      <w:r w:rsidRPr="004B07D9">
        <w:rPr>
          <w:b w:val="0"/>
        </w:rPr>
        <w:t xml:space="preserve">Оскільки правовий режим цього стану продовжується вже чимало років і </w:t>
      </w:r>
      <w:r w:rsidR="00BD6049">
        <w:rPr>
          <w:b w:val="0"/>
        </w:rPr>
        <w:t xml:space="preserve"> </w:t>
      </w:r>
      <w:r w:rsidR="00D81710">
        <w:rPr>
          <w:b w:val="0"/>
        </w:rPr>
        <w:t>щодо прав</w:t>
      </w:r>
      <w:r w:rsidR="00BD6049">
        <w:rPr>
          <w:b w:val="0"/>
        </w:rPr>
        <w:t>а</w:t>
      </w:r>
      <w:r w:rsidR="00D81710">
        <w:rPr>
          <w:b w:val="0"/>
        </w:rPr>
        <w:t xml:space="preserve"> громадян </w:t>
      </w:r>
      <w:r w:rsidR="00BD6049">
        <w:rPr>
          <w:b w:val="0"/>
        </w:rPr>
        <w:t xml:space="preserve">на відпочинок майже </w:t>
      </w:r>
      <w:r w:rsidRPr="004B07D9">
        <w:rPr>
          <w:b w:val="0"/>
        </w:rPr>
        <w:t>не відрізняється від правового режиму мирного часу, вважаємо недоцільним запроваджувати обмеження щодо надання відпусток військовослужбовцям у цей період</w:t>
      </w:r>
      <w:r w:rsidR="00BD6049">
        <w:rPr>
          <w:b w:val="0"/>
        </w:rPr>
        <w:t xml:space="preserve"> (крім території проведення операції Об’єднаних </w:t>
      </w:r>
      <w:r w:rsidR="000C6F44">
        <w:rPr>
          <w:b w:val="0"/>
        </w:rPr>
        <w:t>с</w:t>
      </w:r>
      <w:r w:rsidR="00BD6049">
        <w:rPr>
          <w:b w:val="0"/>
        </w:rPr>
        <w:t>ил)</w:t>
      </w:r>
      <w:r w:rsidRPr="004B07D9">
        <w:rPr>
          <w:b w:val="0"/>
        </w:rPr>
        <w:t xml:space="preserve">. </w:t>
      </w:r>
    </w:p>
    <w:p w:rsidR="00E40946" w:rsidRDefault="006D7183" w:rsidP="00DA08D7">
      <w:pPr>
        <w:shd w:val="clear" w:color="auto" w:fill="FFFFFF"/>
        <w:ind w:firstLine="720"/>
        <w:rPr>
          <w:color w:val="000000"/>
          <w:szCs w:val="28"/>
        </w:rPr>
      </w:pPr>
      <w:r>
        <w:t>5</w:t>
      </w:r>
      <w:r w:rsidR="00B46C7D">
        <w:t xml:space="preserve">. </w:t>
      </w:r>
      <w:r w:rsidR="00966DB7">
        <w:t>У п. 9 нової редакції ст. 10</w:t>
      </w:r>
      <w:r w:rsidR="00966DB7">
        <w:rPr>
          <w:vertAlign w:val="superscript"/>
        </w:rPr>
        <w:t>1</w:t>
      </w:r>
      <w:r w:rsidR="00966DB7">
        <w:t xml:space="preserve"> Закону передбачається </w:t>
      </w:r>
      <w:r w:rsidR="00326858">
        <w:t>нада</w:t>
      </w:r>
      <w:r w:rsidR="00966DB7">
        <w:t>ння</w:t>
      </w:r>
      <w:r w:rsidR="00326858">
        <w:t xml:space="preserve"> </w:t>
      </w:r>
      <w:r w:rsidR="00326858">
        <w:rPr>
          <w:color w:val="000000"/>
          <w:szCs w:val="28"/>
          <w:shd w:val="clear" w:color="auto" w:fill="FFFFFF"/>
        </w:rPr>
        <w:t>Міністерству оборони України, центральним</w:t>
      </w:r>
      <w:r w:rsidR="00641CE0" w:rsidRPr="009D3378">
        <w:rPr>
          <w:color w:val="000000"/>
          <w:szCs w:val="28"/>
          <w:shd w:val="clear" w:color="auto" w:fill="FFFFFF"/>
        </w:rPr>
        <w:t xml:space="preserve"> органами виконавчої влади, що здійснюють керівництво утвореними відповідно до законів України військовими формуваннями, керівникам правоохоронних та розві</w:t>
      </w:r>
      <w:r w:rsidR="00326858">
        <w:rPr>
          <w:color w:val="000000"/>
          <w:szCs w:val="28"/>
          <w:shd w:val="clear" w:color="auto" w:fill="FFFFFF"/>
        </w:rPr>
        <w:t>дувальних органів, Адміністрації</w:t>
      </w:r>
      <w:r w:rsidR="00641CE0" w:rsidRPr="009D3378">
        <w:rPr>
          <w:color w:val="000000"/>
          <w:szCs w:val="28"/>
          <w:shd w:val="clear" w:color="auto" w:fill="FFFFFF"/>
        </w:rPr>
        <w:t xml:space="preserve"> Державної служби спеціального зв’язку та захисту інформації України</w:t>
      </w:r>
      <w:r w:rsidR="00641CE0">
        <w:rPr>
          <w:color w:val="000000"/>
          <w:szCs w:val="28"/>
          <w:shd w:val="clear" w:color="auto" w:fill="FFFFFF"/>
        </w:rPr>
        <w:t xml:space="preserve"> </w:t>
      </w:r>
      <w:r w:rsidR="00966DB7">
        <w:t>повноваже</w:t>
      </w:r>
      <w:r w:rsidR="00E40946">
        <w:t xml:space="preserve">нь </w:t>
      </w:r>
      <w:r w:rsidR="00BD6049">
        <w:t xml:space="preserve">щодо </w:t>
      </w:r>
      <w:r w:rsidR="00326858">
        <w:t>визнач</w:t>
      </w:r>
      <w:r w:rsidR="00BD6049">
        <w:t>ення</w:t>
      </w:r>
      <w:r w:rsidR="00326858" w:rsidRPr="009D3378">
        <w:rPr>
          <w:szCs w:val="28"/>
        </w:rPr>
        <w:t xml:space="preserve"> </w:t>
      </w:r>
      <w:r w:rsidR="00E40946">
        <w:rPr>
          <w:szCs w:val="28"/>
        </w:rPr>
        <w:t>п</w:t>
      </w:r>
      <w:r w:rsidR="00641CE0" w:rsidRPr="009D3378">
        <w:rPr>
          <w:szCs w:val="28"/>
        </w:rPr>
        <w:t>орядк</w:t>
      </w:r>
      <w:r w:rsidR="00BD6049">
        <w:rPr>
          <w:szCs w:val="28"/>
        </w:rPr>
        <w:t>у</w:t>
      </w:r>
      <w:r w:rsidR="00641CE0" w:rsidRPr="009D3378">
        <w:rPr>
          <w:szCs w:val="28"/>
        </w:rPr>
        <w:t xml:space="preserve"> відкликання військовослужбовців з відпустки, а також порядк</w:t>
      </w:r>
      <w:r w:rsidR="00BD6049">
        <w:rPr>
          <w:szCs w:val="28"/>
        </w:rPr>
        <w:t>у</w:t>
      </w:r>
      <w:r w:rsidR="00641CE0" w:rsidRPr="009D3378">
        <w:rPr>
          <w:szCs w:val="28"/>
        </w:rPr>
        <w:t xml:space="preserve"> надання військовослужбовцям </w:t>
      </w:r>
      <w:r w:rsidR="00641CE0" w:rsidRPr="009D3378">
        <w:rPr>
          <w:color w:val="000000"/>
          <w:szCs w:val="28"/>
        </w:rPr>
        <w:t>відпустки за минулий рік, якщо раніше її не було надано з поважних причин, та порядк</w:t>
      </w:r>
      <w:r w:rsidR="00BD6049">
        <w:rPr>
          <w:color w:val="000000"/>
          <w:szCs w:val="28"/>
        </w:rPr>
        <w:t>у</w:t>
      </w:r>
      <w:r w:rsidR="00641CE0" w:rsidRPr="009D3378">
        <w:rPr>
          <w:color w:val="000000"/>
          <w:szCs w:val="28"/>
        </w:rPr>
        <w:t xml:space="preserve"> розрахунку додаткового часу, необхідного для проїзду військовослужбовців до місця проведення відпустки та назад</w:t>
      </w:r>
      <w:r w:rsidR="00641CE0">
        <w:rPr>
          <w:color w:val="000000"/>
          <w:szCs w:val="28"/>
        </w:rPr>
        <w:t xml:space="preserve">. </w:t>
      </w:r>
      <w:r w:rsidR="00E40946">
        <w:rPr>
          <w:color w:val="000000"/>
          <w:szCs w:val="28"/>
        </w:rPr>
        <w:t xml:space="preserve"> Проте, на нашу думку, з метою забезпечення єдиного підходу до правового регулювання вказаних питань доцільніше закріпити відповідні повноваження за Кабінетом Міністрів України</w:t>
      </w:r>
      <w:r>
        <w:rPr>
          <w:color w:val="000000"/>
          <w:szCs w:val="28"/>
        </w:rPr>
        <w:t>, як це зроблено, зокрема, щодо визначення порядку виплати військовослужбовцям грошової компенсації замість частини основної відпустки (п. 5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 xml:space="preserve"> нової редакції ст. 10 Закону) </w:t>
      </w:r>
      <w:r w:rsidR="00E40946">
        <w:rPr>
          <w:color w:val="000000"/>
          <w:szCs w:val="28"/>
        </w:rPr>
        <w:t>.</w:t>
      </w:r>
    </w:p>
    <w:p w:rsidR="00785323" w:rsidRDefault="00DA08D7" w:rsidP="00DA08D7">
      <w:pPr>
        <w:spacing w:after="12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Узагальнюючий висновок:</w:t>
      </w:r>
      <w:r>
        <w:rPr>
          <w:rFonts w:eastAsia="Times New Roman" w:cs="Times New Roman"/>
          <w:szCs w:val="28"/>
          <w:lang w:eastAsia="ru-RU"/>
        </w:rPr>
        <w:t xml:space="preserve"> з</w:t>
      </w:r>
      <w:r w:rsidRPr="006D2980">
        <w:rPr>
          <w:rFonts w:eastAsia="Times New Roman" w:cs="Times New Roman"/>
          <w:szCs w:val="28"/>
          <w:lang w:eastAsia="ru-RU"/>
        </w:rPr>
        <w:t xml:space="preserve">а результатами розгляду в першому читанні  законопроект </w:t>
      </w:r>
      <w:r w:rsidR="006D7183">
        <w:rPr>
          <w:rFonts w:eastAsia="Times New Roman" w:cs="Times New Roman"/>
          <w:szCs w:val="28"/>
          <w:lang w:eastAsia="ru-RU"/>
        </w:rPr>
        <w:t xml:space="preserve">може </w:t>
      </w:r>
      <w:bookmarkStart w:id="0" w:name="_GoBack"/>
      <w:bookmarkEnd w:id="0"/>
      <w:r w:rsidR="00785323">
        <w:rPr>
          <w:rFonts w:eastAsia="Times New Roman" w:cs="Times New Roman"/>
          <w:szCs w:val="28"/>
          <w:lang w:eastAsia="ru-RU"/>
        </w:rPr>
        <w:t>бути прийнятий за основу з наступним урахуванням висловлених зауважень та пропозицій.</w:t>
      </w:r>
    </w:p>
    <w:p w:rsidR="00DA08D7" w:rsidRPr="006D2980" w:rsidRDefault="00DA08D7" w:rsidP="00DA08D7">
      <w:pPr>
        <w:spacing w:after="120"/>
        <w:ind w:firstLine="720"/>
        <w:rPr>
          <w:rFonts w:eastAsia="Times New Roman" w:cs="Times New Roman"/>
          <w:szCs w:val="28"/>
          <w:lang w:eastAsia="ru-RU"/>
        </w:rPr>
      </w:pPr>
      <w:r w:rsidRPr="006D2980">
        <w:rPr>
          <w:rFonts w:eastAsia="Times New Roman" w:cs="Times New Roman"/>
          <w:szCs w:val="28"/>
          <w:lang w:eastAsia="ru-RU"/>
        </w:rPr>
        <w:t xml:space="preserve"> </w:t>
      </w:r>
      <w:bookmarkStart w:id="1" w:name="n36"/>
      <w:bookmarkEnd w:id="1"/>
    </w:p>
    <w:p w:rsidR="00DA08D7" w:rsidRPr="006D2980" w:rsidRDefault="00DA08D7" w:rsidP="00DA08D7">
      <w:pPr>
        <w:tabs>
          <w:tab w:val="left" w:pos="6946"/>
        </w:tabs>
        <w:ind w:firstLine="720"/>
        <w:rPr>
          <w:rFonts w:eastAsia="Times New Roman" w:cs="Times New Roman"/>
          <w:szCs w:val="28"/>
          <w:lang w:eastAsia="ru-RU"/>
        </w:rPr>
      </w:pPr>
    </w:p>
    <w:p w:rsidR="00DA08D7" w:rsidRPr="006D2980" w:rsidRDefault="00DA08D7" w:rsidP="00DA08D7">
      <w:pPr>
        <w:tabs>
          <w:tab w:val="left" w:pos="6946"/>
        </w:tabs>
        <w:ind w:firstLine="720"/>
        <w:rPr>
          <w:rFonts w:eastAsia="Times New Roman" w:cs="Times New Roman"/>
          <w:szCs w:val="28"/>
          <w:lang w:eastAsia="ru-RU"/>
        </w:rPr>
      </w:pPr>
    </w:p>
    <w:p w:rsidR="00DA08D7" w:rsidRPr="00C256FE" w:rsidRDefault="00DA08D7" w:rsidP="00DA08D7">
      <w:pPr>
        <w:rPr>
          <w:rFonts w:eastAsia="Times New Roman" w:cs="Times New Roman"/>
          <w:szCs w:val="28"/>
          <w:lang w:eastAsia="ru-RU"/>
        </w:rPr>
      </w:pPr>
      <w:r w:rsidRPr="00C256FE">
        <w:rPr>
          <w:rFonts w:eastAsia="Times New Roman" w:cs="Times New Roman"/>
          <w:szCs w:val="28"/>
          <w:lang w:eastAsia="ru-RU"/>
        </w:rPr>
        <w:t>Керівник Головного управл</w:t>
      </w:r>
      <w:r>
        <w:rPr>
          <w:rFonts w:eastAsia="Times New Roman" w:cs="Times New Roman"/>
          <w:szCs w:val="28"/>
          <w:lang w:eastAsia="ru-RU"/>
        </w:rPr>
        <w:t xml:space="preserve">іння                          </w:t>
      </w:r>
      <w:r w:rsidRPr="00C256FE">
        <w:rPr>
          <w:rFonts w:eastAsia="Times New Roman" w:cs="Times New Roman"/>
          <w:szCs w:val="28"/>
          <w:lang w:eastAsia="ru-RU"/>
        </w:rPr>
        <w:t xml:space="preserve">                     С.А. </w:t>
      </w:r>
      <w:r w:rsidRPr="00C256FE">
        <w:rPr>
          <w:rFonts w:eastAsia="Times New Roman" w:cs="Times New Roman"/>
          <w:bCs/>
          <w:szCs w:val="28"/>
          <w:lang w:eastAsia="ru-RU"/>
        </w:rPr>
        <w:t>Тихонюк</w:t>
      </w:r>
    </w:p>
    <w:p w:rsidR="00DA08D7" w:rsidRPr="00C256FE" w:rsidRDefault="00DA08D7" w:rsidP="00DA08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40699" w:rsidRDefault="00340699" w:rsidP="00340699">
      <w:pPr>
        <w:pStyle w:val="a7"/>
        <w:spacing w:after="0" w:line="240" w:lineRule="auto"/>
        <w:ind w:left="0" w:firstLine="709"/>
        <w:jc w:val="both"/>
        <w:rPr>
          <w:rStyle w:val="a9"/>
          <w:b w:val="0"/>
          <w:color w:val="000000"/>
          <w:sz w:val="24"/>
          <w:szCs w:val="24"/>
        </w:rPr>
      </w:pPr>
    </w:p>
    <w:p w:rsidR="00340699" w:rsidRDefault="00340699" w:rsidP="00340699">
      <w:pPr>
        <w:pStyle w:val="a7"/>
        <w:spacing w:after="0" w:line="240" w:lineRule="auto"/>
        <w:ind w:left="0" w:firstLine="709"/>
        <w:jc w:val="both"/>
        <w:rPr>
          <w:rStyle w:val="a9"/>
          <w:b w:val="0"/>
          <w:color w:val="000000"/>
          <w:sz w:val="24"/>
          <w:szCs w:val="24"/>
        </w:rPr>
      </w:pPr>
    </w:p>
    <w:p w:rsidR="00340699" w:rsidRDefault="00340699" w:rsidP="00340699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  <w:r w:rsidRPr="00604F85">
        <w:rPr>
          <w:rStyle w:val="a9"/>
          <w:b w:val="0"/>
          <w:color w:val="000000"/>
          <w:sz w:val="24"/>
          <w:szCs w:val="24"/>
        </w:rPr>
        <w:t xml:space="preserve">Вик.:  </w:t>
      </w:r>
      <w:r>
        <w:rPr>
          <w:rStyle w:val="a9"/>
          <w:b w:val="0"/>
          <w:color w:val="000000"/>
          <w:sz w:val="24"/>
          <w:szCs w:val="24"/>
        </w:rPr>
        <w:t xml:space="preserve">Т.М. Макійчук, </w:t>
      </w:r>
      <w:r w:rsidRPr="00604F85">
        <w:rPr>
          <w:rStyle w:val="a9"/>
          <w:b w:val="0"/>
          <w:color w:val="000000"/>
          <w:sz w:val="24"/>
          <w:szCs w:val="24"/>
        </w:rPr>
        <w:t>Л.</w:t>
      </w:r>
      <w:r>
        <w:rPr>
          <w:rStyle w:val="a9"/>
          <w:b w:val="0"/>
          <w:color w:val="000000"/>
          <w:sz w:val="24"/>
          <w:szCs w:val="24"/>
        </w:rPr>
        <w:t xml:space="preserve">А. </w:t>
      </w:r>
      <w:r w:rsidRPr="00604F85">
        <w:rPr>
          <w:rStyle w:val="a9"/>
          <w:b w:val="0"/>
          <w:color w:val="000000"/>
          <w:sz w:val="24"/>
          <w:szCs w:val="24"/>
        </w:rPr>
        <w:t>Демчук,</w:t>
      </w:r>
      <w:r w:rsidR="00C22E02">
        <w:rPr>
          <w:rStyle w:val="a9"/>
          <w:b w:val="0"/>
          <w:color w:val="000000"/>
          <w:sz w:val="24"/>
          <w:szCs w:val="24"/>
        </w:rPr>
        <w:t xml:space="preserve"> О.П.</w:t>
      </w:r>
      <w:r w:rsidR="0015559E">
        <w:rPr>
          <w:rStyle w:val="a9"/>
          <w:b w:val="0"/>
          <w:color w:val="000000"/>
          <w:sz w:val="24"/>
          <w:szCs w:val="24"/>
        </w:rPr>
        <w:t xml:space="preserve"> </w:t>
      </w:r>
      <w:r w:rsidR="00C22E02">
        <w:rPr>
          <w:rStyle w:val="a9"/>
          <w:b w:val="0"/>
          <w:color w:val="000000"/>
          <w:sz w:val="24"/>
          <w:szCs w:val="24"/>
        </w:rPr>
        <w:t>Петриченко</w:t>
      </w:r>
      <w:r w:rsidRPr="00604F85">
        <w:rPr>
          <w:rStyle w:val="a9"/>
          <w:b w:val="0"/>
          <w:color w:val="000000"/>
          <w:sz w:val="24"/>
          <w:szCs w:val="24"/>
        </w:rPr>
        <w:t xml:space="preserve"> </w:t>
      </w:r>
      <w:r w:rsidRPr="00604F85">
        <w:rPr>
          <w:sz w:val="24"/>
          <w:szCs w:val="24"/>
        </w:rPr>
        <w:t xml:space="preserve"> </w:t>
      </w:r>
    </w:p>
    <w:p w:rsidR="00340699" w:rsidRDefault="00340699"/>
    <w:sectPr w:rsidR="00340699" w:rsidSect="00D81710">
      <w:headerReference w:type="default" r:id="rId7"/>
      <w:headerReference w:type="first" r:id="rId8"/>
      <w:pgSz w:w="11906" w:h="16838"/>
      <w:pgMar w:top="850" w:right="850" w:bottom="1134" w:left="1417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13" w:rsidRDefault="00F93013" w:rsidP="000A6885">
      <w:r>
        <w:separator/>
      </w:r>
    </w:p>
  </w:endnote>
  <w:endnote w:type="continuationSeparator" w:id="0">
    <w:p w:rsidR="00F93013" w:rsidRDefault="00F93013" w:rsidP="000A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13" w:rsidRDefault="00F93013" w:rsidP="000A6885">
      <w:r>
        <w:separator/>
      </w:r>
    </w:p>
  </w:footnote>
  <w:footnote w:type="continuationSeparator" w:id="0">
    <w:p w:rsidR="00F93013" w:rsidRDefault="00F93013" w:rsidP="000A6885">
      <w:r>
        <w:continuationSeparator/>
      </w:r>
    </w:p>
  </w:footnote>
  <w:footnote w:id="1">
    <w:p w:rsidR="004B07D9" w:rsidRPr="00E66CC2" w:rsidRDefault="004B07D9" w:rsidP="004B07D9">
      <w:pPr>
        <w:pStyle w:val="aa"/>
        <w:rPr>
          <w:lang w:val="en-US"/>
        </w:rPr>
      </w:pPr>
      <w:r>
        <w:rPr>
          <w:rStyle w:val="ac"/>
        </w:rPr>
        <w:footnoteRef/>
      </w:r>
      <w:r>
        <w:t xml:space="preserve"> Лист </w:t>
      </w:r>
      <w:r w:rsidRPr="00E66CC2">
        <w:t>Верховн</w:t>
      </w:r>
      <w:r>
        <w:t>ого</w:t>
      </w:r>
      <w:r w:rsidRPr="00E66CC2">
        <w:t xml:space="preserve"> Суд</w:t>
      </w:r>
      <w:r>
        <w:t xml:space="preserve">у України </w:t>
      </w:r>
      <w:r w:rsidRPr="00E66CC2">
        <w:t>від 13.07.2018 р. № 60-1543/0/2-18</w:t>
      </w:r>
      <w:r>
        <w:t xml:space="preserve">. </w:t>
      </w:r>
      <w:r>
        <w:rPr>
          <w:lang w:val="en-US"/>
        </w:rPr>
        <w:t>URL:</w:t>
      </w:r>
      <w:r w:rsidRPr="00E66CC2">
        <w:t xml:space="preserve"> </w:t>
      </w:r>
      <w:r w:rsidRPr="00E66CC2">
        <w:rPr>
          <w:lang w:val="en-US"/>
        </w:rPr>
        <w:t>https://medoc.ua/uk/blog/osoblivij-period-v-ukrani-di-verhovnij-sud</w:t>
      </w:r>
    </w:p>
    <w:p w:rsidR="004B07D9" w:rsidRPr="004B07D9" w:rsidRDefault="004B07D9">
      <w:pPr>
        <w:pStyle w:val="aa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85" w:rsidRDefault="000A68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05F2">
      <w:rPr>
        <w:noProof/>
      </w:rPr>
      <w:t>3</w:t>
    </w:r>
    <w:r>
      <w:fldChar w:fldCharType="end"/>
    </w:r>
  </w:p>
  <w:p w:rsidR="000A6885" w:rsidRDefault="000A68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85" w:rsidRDefault="000A6885" w:rsidP="000A6885">
    <w:pPr>
      <w:pStyle w:val="a3"/>
      <w:jc w:val="right"/>
      <w:rPr>
        <w:sz w:val="24"/>
        <w:szCs w:val="24"/>
      </w:rPr>
    </w:pPr>
    <w:r>
      <w:rPr>
        <w:sz w:val="24"/>
        <w:szCs w:val="24"/>
      </w:rPr>
      <w:t>До № 2343 від 29.10.2019 р.,</w:t>
    </w:r>
  </w:p>
  <w:p w:rsidR="000A6885" w:rsidRPr="000A6885" w:rsidRDefault="000A6885" w:rsidP="000A6885">
    <w:pPr>
      <w:pStyle w:val="a3"/>
      <w:jc w:val="right"/>
      <w:rPr>
        <w:sz w:val="24"/>
        <w:szCs w:val="24"/>
      </w:rPr>
    </w:pPr>
    <w:r>
      <w:rPr>
        <w:sz w:val="24"/>
        <w:szCs w:val="24"/>
      </w:rPr>
      <w:t>М.Ю.</w:t>
    </w:r>
    <w:r w:rsidR="0054258E">
      <w:rPr>
        <w:sz w:val="24"/>
        <w:szCs w:val="24"/>
      </w:rPr>
      <w:t xml:space="preserve"> </w:t>
    </w:r>
    <w:r>
      <w:rPr>
        <w:sz w:val="24"/>
        <w:szCs w:val="24"/>
      </w:rPr>
      <w:t>Березін та інші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0C"/>
    <w:rsid w:val="000A6885"/>
    <w:rsid w:val="000C6F44"/>
    <w:rsid w:val="000F563D"/>
    <w:rsid w:val="00107080"/>
    <w:rsid w:val="0015559E"/>
    <w:rsid w:val="00170C45"/>
    <w:rsid w:val="00174476"/>
    <w:rsid w:val="00187BA4"/>
    <w:rsid w:val="001A5218"/>
    <w:rsid w:val="0028180C"/>
    <w:rsid w:val="00295437"/>
    <w:rsid w:val="00304929"/>
    <w:rsid w:val="00326858"/>
    <w:rsid w:val="00334CF6"/>
    <w:rsid w:val="00340699"/>
    <w:rsid w:val="00393C80"/>
    <w:rsid w:val="003B4F90"/>
    <w:rsid w:val="004105F2"/>
    <w:rsid w:val="00480E9A"/>
    <w:rsid w:val="004B07D9"/>
    <w:rsid w:val="004F5FB8"/>
    <w:rsid w:val="00512EE4"/>
    <w:rsid w:val="0054258E"/>
    <w:rsid w:val="00551D8A"/>
    <w:rsid w:val="005E7FEE"/>
    <w:rsid w:val="00641CE0"/>
    <w:rsid w:val="006D7183"/>
    <w:rsid w:val="006E6D7F"/>
    <w:rsid w:val="006F7FDC"/>
    <w:rsid w:val="00762E5E"/>
    <w:rsid w:val="00785323"/>
    <w:rsid w:val="0080772A"/>
    <w:rsid w:val="008E044C"/>
    <w:rsid w:val="0094298F"/>
    <w:rsid w:val="00966DB7"/>
    <w:rsid w:val="009C73E4"/>
    <w:rsid w:val="009E5C74"/>
    <w:rsid w:val="00A965C3"/>
    <w:rsid w:val="00B46C7D"/>
    <w:rsid w:val="00B86092"/>
    <w:rsid w:val="00BD6049"/>
    <w:rsid w:val="00C22E02"/>
    <w:rsid w:val="00C53A3C"/>
    <w:rsid w:val="00C84586"/>
    <w:rsid w:val="00CB18ED"/>
    <w:rsid w:val="00D618C0"/>
    <w:rsid w:val="00D61AB3"/>
    <w:rsid w:val="00D81710"/>
    <w:rsid w:val="00DA08D7"/>
    <w:rsid w:val="00E40946"/>
    <w:rsid w:val="00E4148B"/>
    <w:rsid w:val="00E51EE4"/>
    <w:rsid w:val="00E66CC2"/>
    <w:rsid w:val="00E8434B"/>
    <w:rsid w:val="00EC4F9E"/>
    <w:rsid w:val="00F049E3"/>
    <w:rsid w:val="00F93013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786172-CB49-43A7-89DD-94CF5277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885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A6885"/>
  </w:style>
  <w:style w:type="paragraph" w:styleId="a5">
    <w:name w:val="footer"/>
    <w:basedOn w:val="a"/>
    <w:link w:val="a6"/>
    <w:uiPriority w:val="99"/>
    <w:unhideWhenUsed/>
    <w:rsid w:val="000A6885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0A6885"/>
  </w:style>
  <w:style w:type="paragraph" w:styleId="a7">
    <w:name w:val="Body Text Indent"/>
    <w:basedOn w:val="a"/>
    <w:link w:val="a8"/>
    <w:rsid w:val="00340699"/>
    <w:pPr>
      <w:spacing w:after="120" w:line="276" w:lineRule="auto"/>
      <w:ind w:left="283" w:firstLine="0"/>
      <w:jc w:val="left"/>
    </w:pPr>
    <w:rPr>
      <w:rFonts w:cs="Times New Roman"/>
    </w:rPr>
  </w:style>
  <w:style w:type="character" w:customStyle="1" w:styleId="a8">
    <w:name w:val="Основний текст з відступом Знак"/>
    <w:link w:val="a7"/>
    <w:rsid w:val="00340699"/>
    <w:rPr>
      <w:rFonts w:eastAsia="Calibri" w:cs="Times New Roman"/>
    </w:rPr>
  </w:style>
  <w:style w:type="character" w:styleId="a9">
    <w:name w:val="Strong"/>
    <w:qFormat/>
    <w:rsid w:val="00340699"/>
    <w:rPr>
      <w:b/>
    </w:rPr>
  </w:style>
  <w:style w:type="paragraph" w:customStyle="1" w:styleId="Nazva">
    <w:name w:val="Nazva"/>
    <w:basedOn w:val="a"/>
    <w:rsid w:val="00340699"/>
    <w:pPr>
      <w:ind w:firstLine="0"/>
      <w:jc w:val="center"/>
    </w:pPr>
    <w:rPr>
      <w:rFonts w:cs="Times New Roman"/>
      <w:b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66CC2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E66CC2"/>
    <w:rPr>
      <w:sz w:val="20"/>
      <w:szCs w:val="20"/>
    </w:rPr>
  </w:style>
  <w:style w:type="character" w:styleId="ac">
    <w:name w:val="footnote reference"/>
    <w:uiPriority w:val="99"/>
    <w:semiHidden/>
    <w:unhideWhenUsed/>
    <w:rsid w:val="00E66CC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85323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7853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DAF4-A150-4A3A-8A95-E4C206F7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4649</Words>
  <Characters>2650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Макійчук Тетяна Миколаївна</dc:creator>
  <cp:keywords/>
  <dc:description/>
  <cp:lastModifiedBy>Кисельова Юлія Анатоліївна</cp:lastModifiedBy>
  <cp:revision>2</cp:revision>
  <cp:lastPrinted>2019-11-12T16:06:00Z</cp:lastPrinted>
  <dcterms:created xsi:type="dcterms:W3CDTF">2019-11-13T09:28:00Z</dcterms:created>
  <dcterms:modified xsi:type="dcterms:W3CDTF">2019-11-13T09:28:00Z</dcterms:modified>
</cp:coreProperties>
</file>