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F9" w:rsidRPr="00C92BAB" w:rsidRDefault="008E77F9" w:rsidP="008E77F9">
      <w:pPr>
        <w:ind w:firstLine="567"/>
        <w:jc w:val="center"/>
        <w:outlineLvl w:val="4"/>
        <w:rPr>
          <w:b/>
          <w:bCs/>
        </w:rPr>
      </w:pPr>
      <w:r w:rsidRPr="00C92BAB">
        <w:rPr>
          <w:b/>
          <w:bCs/>
        </w:rPr>
        <w:t>ВИСНОВОК</w:t>
      </w:r>
    </w:p>
    <w:p w:rsidR="008E77F9" w:rsidRPr="00C92BAB" w:rsidRDefault="008E77F9" w:rsidP="008E77F9">
      <w:pPr>
        <w:ind w:firstLine="567"/>
        <w:jc w:val="center"/>
        <w:outlineLvl w:val="4"/>
        <w:rPr>
          <w:b/>
          <w:bCs/>
        </w:rPr>
      </w:pPr>
      <w:r w:rsidRPr="00C92BAB">
        <w:rPr>
          <w:b/>
          <w:bCs/>
        </w:rPr>
        <w:t xml:space="preserve">Комітету Верховної Ради України з питань </w:t>
      </w:r>
      <w:r w:rsidRPr="00C92BAB">
        <w:rPr>
          <w:b/>
        </w:rPr>
        <w:t xml:space="preserve">інтеграції України з Європейським Союзом </w:t>
      </w:r>
      <w:r w:rsidRPr="00C92BAB">
        <w:rPr>
          <w:b/>
          <w:bCs/>
        </w:rPr>
        <w:t xml:space="preserve">щодо проекту Закону України </w:t>
      </w:r>
    </w:p>
    <w:p w:rsidR="008E77F9" w:rsidRPr="00C92BAB" w:rsidRDefault="008E77F9" w:rsidP="008E77F9">
      <w:pPr>
        <w:ind w:firstLine="567"/>
        <w:jc w:val="center"/>
        <w:outlineLvl w:val="4"/>
        <w:rPr>
          <w:b/>
          <w:bCs/>
        </w:rPr>
      </w:pPr>
      <w:r w:rsidRPr="00C92BAB">
        <w:rPr>
          <w:b/>
          <w:bCs/>
        </w:rPr>
        <w:t xml:space="preserve">«Про </w:t>
      </w:r>
      <w:r w:rsidR="005F6A18" w:rsidRPr="00C92BAB">
        <w:rPr>
          <w:b/>
          <w:bCs/>
        </w:rPr>
        <w:t>батареї і акумулятори</w:t>
      </w:r>
      <w:r w:rsidRPr="00C92BAB">
        <w:rPr>
          <w:b/>
          <w:bCs/>
        </w:rPr>
        <w:t xml:space="preserve">» </w:t>
      </w:r>
    </w:p>
    <w:p w:rsidR="008E77F9" w:rsidRPr="00C92BAB" w:rsidRDefault="008E77F9" w:rsidP="008E77F9">
      <w:pPr>
        <w:ind w:firstLine="567"/>
        <w:jc w:val="center"/>
        <w:outlineLvl w:val="4"/>
        <w:rPr>
          <w:b/>
          <w:bCs/>
        </w:rPr>
      </w:pPr>
      <w:r w:rsidRPr="00C92BAB">
        <w:rPr>
          <w:b/>
          <w:bCs/>
        </w:rPr>
        <w:t>(реєстр. № 235</w:t>
      </w:r>
      <w:r w:rsidR="005F6A18" w:rsidRPr="00C92BAB">
        <w:rPr>
          <w:b/>
          <w:bCs/>
        </w:rPr>
        <w:t>2</w:t>
      </w:r>
      <w:r w:rsidRPr="00C92BAB">
        <w:rPr>
          <w:b/>
          <w:bCs/>
        </w:rPr>
        <w:t xml:space="preserve"> від 30.10.2019 р., </w:t>
      </w:r>
      <w:proofErr w:type="spellStart"/>
      <w:r w:rsidRPr="00C92BAB">
        <w:rPr>
          <w:b/>
          <w:bCs/>
        </w:rPr>
        <w:t>н.д</w:t>
      </w:r>
      <w:proofErr w:type="spellEnd"/>
      <w:r w:rsidRPr="00C92BAB">
        <w:rPr>
          <w:b/>
          <w:bCs/>
        </w:rPr>
        <w:t xml:space="preserve">. О. </w:t>
      </w:r>
      <w:proofErr w:type="spellStart"/>
      <w:r w:rsidRPr="00C92BAB">
        <w:rPr>
          <w:b/>
          <w:bCs/>
        </w:rPr>
        <w:t>Маріковський</w:t>
      </w:r>
      <w:proofErr w:type="spellEnd"/>
      <w:r w:rsidRPr="00C92BAB">
        <w:rPr>
          <w:b/>
          <w:bCs/>
        </w:rPr>
        <w:t xml:space="preserve"> та інші) </w:t>
      </w:r>
    </w:p>
    <w:p w:rsidR="008E77F9" w:rsidRPr="00C92BAB" w:rsidRDefault="008E77F9" w:rsidP="008E77F9">
      <w:pPr>
        <w:spacing w:before="240"/>
        <w:ind w:firstLine="567"/>
        <w:jc w:val="both"/>
        <w:rPr>
          <w:b/>
        </w:rPr>
      </w:pPr>
      <w:r w:rsidRPr="00C92BAB">
        <w:rPr>
          <w:b/>
        </w:rPr>
        <w:t>1. Загальна характеристика законопроекту.</w:t>
      </w:r>
    </w:p>
    <w:p w:rsidR="008E77F9" w:rsidRPr="00C92BAB" w:rsidRDefault="008E77F9" w:rsidP="008E77F9">
      <w:pPr>
        <w:pStyle w:val="rvps2"/>
        <w:tabs>
          <w:tab w:val="left" w:pos="851"/>
        </w:tabs>
        <w:spacing w:before="6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92BAB">
        <w:rPr>
          <w:sz w:val="28"/>
          <w:szCs w:val="28"/>
          <w:lang w:val="uk-UA"/>
        </w:rPr>
        <w:t xml:space="preserve">Метою проекту Закону є визначення правових, економічних і організаційних засад </w:t>
      </w:r>
      <w:r w:rsidR="005F6A18" w:rsidRPr="00C92BAB">
        <w:rPr>
          <w:sz w:val="28"/>
          <w:szCs w:val="28"/>
          <w:lang w:val="uk-UA"/>
        </w:rPr>
        <w:t xml:space="preserve">введення в обіг та надання на ринку </w:t>
      </w:r>
      <w:proofErr w:type="spellStart"/>
      <w:r w:rsidR="005F6A18" w:rsidRPr="00C92BAB">
        <w:rPr>
          <w:sz w:val="28"/>
          <w:szCs w:val="28"/>
          <w:lang w:val="uk-UA"/>
        </w:rPr>
        <w:t>батарей</w:t>
      </w:r>
      <w:proofErr w:type="spellEnd"/>
      <w:r w:rsidR="005F6A18" w:rsidRPr="00C92BAB">
        <w:rPr>
          <w:sz w:val="28"/>
          <w:szCs w:val="28"/>
          <w:lang w:val="uk-UA"/>
        </w:rPr>
        <w:t xml:space="preserve"> і акумуляторів, управління відходами </w:t>
      </w:r>
      <w:proofErr w:type="spellStart"/>
      <w:r w:rsidR="005F6A18" w:rsidRPr="00C92BAB">
        <w:rPr>
          <w:sz w:val="28"/>
          <w:szCs w:val="28"/>
          <w:lang w:val="uk-UA"/>
        </w:rPr>
        <w:t>батарей</w:t>
      </w:r>
      <w:proofErr w:type="spellEnd"/>
      <w:r w:rsidR="005F6A18" w:rsidRPr="00C92BAB">
        <w:rPr>
          <w:sz w:val="28"/>
          <w:szCs w:val="28"/>
          <w:lang w:val="uk-UA"/>
        </w:rPr>
        <w:t xml:space="preserve"> і акумуляторів для забезпечення екологічної безпеки, запобігання негативного впливу цих відходів на здоров’я людей та навколишнє природне середовище шляхом запровадження системи розширеної відповідальності виробника та вимог високого рівня збору та </w:t>
      </w:r>
      <w:proofErr w:type="spellStart"/>
      <w:r w:rsidR="005F6A18" w:rsidRPr="00C92BAB">
        <w:rPr>
          <w:sz w:val="28"/>
          <w:szCs w:val="28"/>
          <w:lang w:val="uk-UA"/>
        </w:rPr>
        <w:t>рецинклінгу</w:t>
      </w:r>
      <w:proofErr w:type="spellEnd"/>
      <w:r w:rsidR="005F6A18" w:rsidRPr="00C92BAB">
        <w:rPr>
          <w:sz w:val="28"/>
          <w:szCs w:val="28"/>
          <w:lang w:val="uk-UA"/>
        </w:rPr>
        <w:t xml:space="preserve"> відходів </w:t>
      </w:r>
      <w:proofErr w:type="spellStart"/>
      <w:r w:rsidR="005F6A18" w:rsidRPr="00C92BAB">
        <w:rPr>
          <w:sz w:val="28"/>
          <w:szCs w:val="28"/>
          <w:lang w:val="uk-UA"/>
        </w:rPr>
        <w:t>батарей</w:t>
      </w:r>
      <w:proofErr w:type="spellEnd"/>
      <w:r w:rsidR="005F6A18" w:rsidRPr="00C92BAB">
        <w:rPr>
          <w:sz w:val="28"/>
          <w:szCs w:val="28"/>
          <w:lang w:val="uk-UA"/>
        </w:rPr>
        <w:t xml:space="preserve"> та акумуляторів, повернення в економічний обіг вторинної сировини для переробної промисловості.</w:t>
      </w:r>
    </w:p>
    <w:p w:rsidR="008E77F9" w:rsidRPr="00C92BAB" w:rsidRDefault="008E77F9" w:rsidP="008E77F9">
      <w:pPr>
        <w:spacing w:before="240"/>
        <w:ind w:firstLine="567"/>
        <w:jc w:val="both"/>
        <w:rPr>
          <w:b/>
          <w:bCs/>
        </w:rPr>
      </w:pPr>
      <w:r w:rsidRPr="00C92BAB">
        <w:rPr>
          <w:rFonts w:eastAsia="Verdana"/>
          <w:b/>
          <w:bCs/>
        </w:rPr>
        <w:t>2.  </w:t>
      </w:r>
      <w:r w:rsidRPr="00C92BAB">
        <w:rPr>
          <w:b/>
          <w:bCs/>
        </w:rPr>
        <w:t>Належність законопроекту за предметом правового регулювання до сфери дії права Європейського Союзу.</w:t>
      </w:r>
    </w:p>
    <w:p w:rsidR="008E77F9" w:rsidRPr="00C92BAB" w:rsidRDefault="008E77F9" w:rsidP="008E77F9">
      <w:pPr>
        <w:spacing w:before="60" w:after="60"/>
        <w:ind w:firstLine="567"/>
        <w:jc w:val="both"/>
      </w:pPr>
      <w:r w:rsidRPr="00C92BAB">
        <w:t>Предмет правового регулювання законопроекту охоплюється положеннями Глави 6 «Навколишнє середовище» Розділу V «Економічне та галузеве співробітництво» та Додатку ХХХ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асоціацію).</w:t>
      </w:r>
    </w:p>
    <w:p w:rsidR="008E77F9" w:rsidRPr="00C92BAB" w:rsidRDefault="008E77F9" w:rsidP="008E77F9">
      <w:pPr>
        <w:ind w:firstLine="567"/>
        <w:jc w:val="both"/>
      </w:pPr>
      <w:r w:rsidRPr="00C92BAB">
        <w:t>Правовідносини, які є предметом правового регулювання законопроекту, в Європейському Союзі регулюються:</w:t>
      </w:r>
    </w:p>
    <w:p w:rsidR="008E77F9" w:rsidRPr="00C92BAB" w:rsidRDefault="008E77F9" w:rsidP="008E77F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C92BAB">
        <w:rPr>
          <w:i/>
          <w:color w:val="000000" w:themeColor="text1"/>
        </w:rPr>
        <w:t>Директивою 2008/98/ЄС Європейського Парламенту та Ради від 19 листопада 2008 року про відходи та скасування окремих директив</w:t>
      </w:r>
      <w:r w:rsidRPr="00C92BAB">
        <w:rPr>
          <w:color w:val="000000" w:themeColor="text1"/>
        </w:rPr>
        <w:t xml:space="preserve"> (</w:t>
      </w:r>
      <w:proofErr w:type="spellStart"/>
      <w:r w:rsidRPr="00C92BAB">
        <w:rPr>
          <w:color w:val="000000" w:themeColor="text1"/>
        </w:rPr>
        <w:t>Official</w:t>
      </w:r>
      <w:proofErr w:type="spellEnd"/>
      <w:r w:rsidRPr="00C92BAB">
        <w:rPr>
          <w:color w:val="000000" w:themeColor="text1"/>
        </w:rPr>
        <w:t xml:space="preserve"> </w:t>
      </w:r>
      <w:proofErr w:type="spellStart"/>
      <w:r w:rsidRPr="00C92BAB">
        <w:rPr>
          <w:color w:val="000000" w:themeColor="text1"/>
        </w:rPr>
        <w:t>Journal</w:t>
      </w:r>
      <w:proofErr w:type="spellEnd"/>
      <w:r w:rsidRPr="00C92BAB">
        <w:rPr>
          <w:color w:val="000000" w:themeColor="text1"/>
        </w:rPr>
        <w:t xml:space="preserve"> L 312, 22.11.2008, р. 3–30) (далі – Директива 2008/98/ЄС);      </w:t>
      </w:r>
    </w:p>
    <w:p w:rsidR="008E77F9" w:rsidRPr="00C92BAB" w:rsidRDefault="008E77F9" w:rsidP="008E77F9">
      <w:pPr>
        <w:pStyle w:val="a5"/>
        <w:numPr>
          <w:ilvl w:val="0"/>
          <w:numId w:val="1"/>
        </w:numPr>
        <w:tabs>
          <w:tab w:val="left" w:pos="851"/>
        </w:tabs>
        <w:spacing w:before="60" w:after="60"/>
        <w:ind w:left="0" w:firstLine="567"/>
        <w:jc w:val="both"/>
        <w:rPr>
          <w:color w:val="000000" w:themeColor="text1"/>
        </w:rPr>
      </w:pPr>
      <w:r w:rsidRPr="00C92BAB">
        <w:rPr>
          <w:i/>
          <w:color w:val="000000" w:themeColor="text1"/>
        </w:rPr>
        <w:t>Директивою 2018/851/ЄС Європейського Парламенту та Ради від 30 травня 2018 року про внесення змін до Директиви 2008/98/ЄС про</w:t>
      </w:r>
      <w:r w:rsidRPr="00C92BAB">
        <w:rPr>
          <w:b/>
          <w:bCs/>
          <w:i/>
          <w:color w:val="000000" w:themeColor="text1"/>
        </w:rPr>
        <w:t xml:space="preserve"> </w:t>
      </w:r>
      <w:r w:rsidRPr="00C92BAB">
        <w:rPr>
          <w:bCs/>
          <w:i/>
          <w:color w:val="000000" w:themeColor="text1"/>
        </w:rPr>
        <w:t>відходи</w:t>
      </w:r>
      <w:r w:rsidRPr="00C92BAB">
        <w:rPr>
          <w:bCs/>
          <w:color w:val="000000" w:themeColor="text1"/>
        </w:rPr>
        <w:t xml:space="preserve"> </w:t>
      </w:r>
      <w:r w:rsidRPr="00C92BAB">
        <w:rPr>
          <w:color w:val="000000" w:themeColor="text1"/>
        </w:rPr>
        <w:t>(</w:t>
      </w:r>
      <w:proofErr w:type="spellStart"/>
      <w:r w:rsidRPr="00C92BAB">
        <w:rPr>
          <w:color w:val="000000" w:themeColor="text1"/>
        </w:rPr>
        <w:t>Official</w:t>
      </w:r>
      <w:proofErr w:type="spellEnd"/>
      <w:r w:rsidRPr="00C92BAB">
        <w:rPr>
          <w:color w:val="000000" w:themeColor="text1"/>
        </w:rPr>
        <w:t xml:space="preserve"> </w:t>
      </w:r>
      <w:proofErr w:type="spellStart"/>
      <w:r w:rsidRPr="00C92BAB">
        <w:rPr>
          <w:color w:val="000000" w:themeColor="text1"/>
        </w:rPr>
        <w:t>Journal</w:t>
      </w:r>
      <w:proofErr w:type="spellEnd"/>
      <w:r w:rsidRPr="00C92BAB">
        <w:rPr>
          <w:color w:val="000000" w:themeColor="text1"/>
        </w:rPr>
        <w:t xml:space="preserve"> L 150, 14.06.2018, р. 109 – 140) (далі – Директива 2018/851/ЄС);</w:t>
      </w:r>
    </w:p>
    <w:p w:rsidR="008E77F9" w:rsidRPr="00C92BAB" w:rsidRDefault="008E77F9" w:rsidP="008E77F9">
      <w:pPr>
        <w:pStyle w:val="a5"/>
        <w:numPr>
          <w:ilvl w:val="0"/>
          <w:numId w:val="1"/>
        </w:numPr>
        <w:tabs>
          <w:tab w:val="left" w:pos="851"/>
        </w:tabs>
        <w:spacing w:before="60" w:after="60"/>
        <w:ind w:left="0" w:firstLine="567"/>
        <w:jc w:val="both"/>
      </w:pPr>
      <w:r w:rsidRPr="00C92BAB">
        <w:rPr>
          <w:i/>
        </w:rPr>
        <w:t xml:space="preserve">Директивою 2006/66/ЄС Європейського Парламенту та Ради від 6 вересня 2006 року про батарейки і акумулятори та відпрацьовані батарейки і акумулятори та про скасування Директиви 91/157/ЄЕС </w:t>
      </w:r>
      <w:r w:rsidRPr="00C92BAB">
        <w:t>(</w:t>
      </w:r>
      <w:proofErr w:type="spellStart"/>
      <w:r w:rsidRPr="00C92BAB">
        <w:t>Official</w:t>
      </w:r>
      <w:proofErr w:type="spellEnd"/>
      <w:r w:rsidRPr="00C92BAB">
        <w:t xml:space="preserve"> </w:t>
      </w:r>
      <w:proofErr w:type="spellStart"/>
      <w:r w:rsidRPr="00C92BAB">
        <w:t>Journal</w:t>
      </w:r>
      <w:proofErr w:type="spellEnd"/>
      <w:r w:rsidRPr="00C92BAB">
        <w:t xml:space="preserve"> L 266, 26.09.2006, р. 1–14) (далі – Директива 2006/66/ЄС).</w:t>
      </w:r>
    </w:p>
    <w:p w:rsidR="008E77F9" w:rsidRPr="00C92BAB" w:rsidRDefault="008E77F9" w:rsidP="008E77F9">
      <w:pPr>
        <w:spacing w:before="60" w:after="60"/>
        <w:ind w:firstLine="567"/>
        <w:jc w:val="both"/>
      </w:pPr>
      <w:r w:rsidRPr="00C92BAB">
        <w:rPr>
          <w:color w:val="000000" w:themeColor="text1"/>
        </w:rPr>
        <w:t xml:space="preserve">Міжнародно-правовим актом з питань, які є предметом регулювання законопроекту є </w:t>
      </w:r>
      <w:r w:rsidRPr="00C92BAB">
        <w:rPr>
          <w:i/>
        </w:rPr>
        <w:t>Базельська конвенція про контроль за транскордонним перевезенням небезпечних відходів та їх видаленням</w:t>
      </w:r>
      <w:r w:rsidRPr="00C92BAB">
        <w:t xml:space="preserve"> (Україна приєдналася згідно із Законом України від 1 липня 1999 року № 803-ХIV.</w:t>
      </w:r>
    </w:p>
    <w:p w:rsidR="008E77F9" w:rsidRPr="00C92BAB" w:rsidRDefault="008E77F9" w:rsidP="008E77F9">
      <w:pPr>
        <w:spacing w:before="60" w:after="60"/>
        <w:ind w:firstLine="567"/>
        <w:jc w:val="both"/>
      </w:pPr>
    </w:p>
    <w:p w:rsidR="008E77F9" w:rsidRPr="00C92BAB" w:rsidRDefault="008E77F9" w:rsidP="008E77F9">
      <w:pPr>
        <w:ind w:firstLine="567"/>
        <w:jc w:val="both"/>
        <w:rPr>
          <w:b/>
        </w:rPr>
      </w:pPr>
      <w:r w:rsidRPr="00C92BAB">
        <w:rPr>
          <w:rFonts w:eastAsia="Verdana"/>
          <w:b/>
          <w:bCs/>
        </w:rPr>
        <w:t>3.  </w:t>
      </w:r>
      <w:r w:rsidRPr="00C92BAB">
        <w:rPr>
          <w:b/>
        </w:rPr>
        <w:t>Відповідність законопроекту праву ЄС.</w:t>
      </w:r>
    </w:p>
    <w:p w:rsidR="008E77F9" w:rsidRPr="00C92BAB" w:rsidRDefault="008E77F9" w:rsidP="008E77F9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2B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результатами правового аналізу проекту Закону щодо його відповідності </w:t>
      </w:r>
      <w:proofErr w:type="spellStart"/>
      <w:r w:rsidRPr="00C92BAB">
        <w:rPr>
          <w:rFonts w:ascii="Times New Roman" w:eastAsia="Times New Roman" w:hAnsi="Times New Roman"/>
          <w:sz w:val="28"/>
          <w:szCs w:val="28"/>
          <w:lang w:val="uk-UA" w:eastAsia="ru-RU"/>
        </w:rPr>
        <w:t>aquis</w:t>
      </w:r>
      <w:proofErr w:type="spellEnd"/>
      <w:r w:rsidRPr="00C92B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ЄС та Угоді про асоціацію слід зазначити таке.</w:t>
      </w:r>
    </w:p>
    <w:p w:rsidR="008E77F9" w:rsidRPr="00C92BAB" w:rsidRDefault="008E77F9" w:rsidP="008E77F9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2B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C92BA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Статтею 361 Угоди про асоціацію</w:t>
      </w:r>
      <w:r w:rsidRPr="00C92B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передбачено, що співробітництво має на меті збереження, захист, поліпшення і відтворення якості навколишнього </w:t>
      </w:r>
      <w:r w:rsidRPr="00C92BA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середовища, розсудливе та раціональне використання природних ресурсів та заохочення заходів на міжнародному рівні, спрямованих на вирішення регіональних і глобальних проблем навколишнього середовища, зокрема, у сфері управління відходами та ресурсами. </w:t>
      </w:r>
    </w:p>
    <w:p w:rsidR="008E77F9" w:rsidRPr="00C92BAB" w:rsidRDefault="008E77F9" w:rsidP="008E77F9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2B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Pr="00C92BA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статті 363 Угоди про асоціацію</w:t>
      </w:r>
      <w:r w:rsidRPr="00C92B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зазначено, що поступове наближення законодавства України до права та політики ЄЄ у сфері охорони навколишнього природного середовища здійснюється відповідно до Додатка XXX до цієї Угоди.</w:t>
      </w:r>
    </w:p>
    <w:p w:rsidR="0095272A" w:rsidRPr="00C92BAB" w:rsidRDefault="0095272A" w:rsidP="0095272A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2BA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Проект Закону в цілому не суперечить Директиві 2008/98/ЄС та спрямований на імплементацію Директиви 2006/66/ЄС, однак не в повній мірі враховує її положення</w:t>
      </w:r>
      <w:r w:rsidRPr="00C92B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8E77F9" w:rsidRPr="00C92BAB" w:rsidRDefault="008E77F9" w:rsidP="008E77F9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92B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Крім того, оскільки </w:t>
      </w:r>
      <w:r w:rsidRPr="00C92BA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цей законопроект є спеціальним у сфері поводження з відходами, його розгляду має передувати прийняття рамкового Закону України про управління відходами. Адже необхідним є узгодження рамкового та спеціального закону для забезпечення цілісності та комплексності системи управління відходами</w:t>
      </w:r>
      <w:r w:rsidRPr="00C92BAB">
        <w:rPr>
          <w:rStyle w:val="a6"/>
          <w:rFonts w:ascii="Times New Roman" w:eastAsia="Times New Roman" w:hAnsi="Times New Roman"/>
          <w:sz w:val="28"/>
          <w:szCs w:val="28"/>
          <w:u w:val="single"/>
          <w:lang w:val="uk-UA" w:eastAsia="ru-RU"/>
        </w:rPr>
        <w:footnoteReference w:id="1"/>
      </w:r>
      <w:r w:rsidRPr="00C92B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C92BA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Більше того, в статті 1  проекту Закону зазначено, що «т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ерміни «збирання відходів», «</w:t>
      </w:r>
      <w:proofErr w:type="spellStart"/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рециклінг</w:t>
      </w:r>
      <w:proofErr w:type="spellEnd"/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», «відновлення відходів», «видалення відходів», «оброблення відходів», «управління відходами», «суб’єкт господарювання у сфері управління відходами», вживаються у значенні, наведеному в Законі України «Про управління відходами». У зв’язку з цим слід зазначити, що станом на лютий 2020 року в законодавстві відсутній нормативно-правовий акт, до якого відсилає вищенаведене положення законопроекту</w:t>
      </w:r>
      <w:r w:rsidRPr="00C92BAB">
        <w:rPr>
          <w:rStyle w:val="a6"/>
          <w:rFonts w:ascii="Times New Roman" w:hAnsi="Times New Roman"/>
          <w:color w:val="000000" w:themeColor="text1"/>
          <w:sz w:val="28"/>
          <w:szCs w:val="28"/>
          <w:lang w:val="uk-UA"/>
        </w:rPr>
        <w:footnoteReference w:id="2"/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Отже, на сьогодні відсутня можливість узгодити цей спеціальний законопроект із рамковим законом.     </w:t>
      </w:r>
    </w:p>
    <w:p w:rsidR="008E77F9" w:rsidRPr="00C92BAB" w:rsidRDefault="008E77F9" w:rsidP="008E77F9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частині понятійного апарату слід </w:t>
      </w:r>
      <w:r w:rsidR="000E560B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звернути увагу, що запропонований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проектом Закону терміни «розповсюджувач»</w:t>
      </w:r>
      <w:r w:rsidR="000E560B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частково відповіда</w:t>
      </w:r>
      <w:r w:rsidR="00011650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є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аналогічн</w:t>
      </w:r>
      <w:r w:rsidR="00011650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ому визначенню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, передбачен</w:t>
      </w:r>
      <w:r w:rsidR="00011650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ому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92BA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статтею 3 Директиви 20</w:t>
      </w:r>
      <w:r w:rsidR="00011650" w:rsidRPr="00C92BA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06</w:t>
      </w:r>
      <w:r w:rsidRPr="00C92BA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/</w:t>
      </w:r>
      <w:r w:rsidR="00011650" w:rsidRPr="00C92BA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66</w:t>
      </w:r>
      <w:r w:rsidRPr="00C92BA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/ЄС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5F061E" w:rsidRPr="00C92BAB" w:rsidRDefault="008E77F9" w:rsidP="005F061E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Так, у пункті 25 частини 1 статті 1 законопроекту «розповсюджувач» визначається як «суб’єкт господарювання в ланцюгу постачання, </w:t>
      </w:r>
      <w:r w:rsidRPr="00C92BA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інший, ніж виробник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, який надає на рин</w:t>
      </w:r>
      <w:r w:rsidR="00011650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 України </w:t>
      </w:r>
      <w:r w:rsidR="00011650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батареї чи акумулятори в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процесі своєї професійної діяльності». Водночас, </w:t>
      </w:r>
      <w:r w:rsidRPr="00C92BA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пунктом (</w:t>
      </w:r>
      <w:r w:rsidR="00011650" w:rsidRPr="00C92BA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13</w:t>
      </w:r>
      <w:r w:rsidRPr="00C92BA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) частини 1 статті 3 Директиви </w:t>
      </w:r>
      <w:r w:rsidR="00D42948" w:rsidRPr="00C92BA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2006/66/</w:t>
      </w:r>
      <w:r w:rsidRPr="00C92BA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ЄС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передбачено, що термін «дистриб’ютор</w:t>
      </w:r>
      <w:r w:rsidR="00D42948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(розповсюджувач)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» означає будь-яку особу</w:t>
      </w:r>
      <w:r w:rsidR="00D42948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, яка на професійній основі постачає батареї й акумулятори кінцевому споживачеві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7970C5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Отже, 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наведен</w:t>
      </w:r>
      <w:r w:rsidR="00FA797D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е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положення Директиви </w:t>
      </w:r>
      <w:r w:rsidR="007970C5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2006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="007970C5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66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/ЄС</w:t>
      </w:r>
      <w:r w:rsidR="00FA797D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містить виключення про те, що </w:t>
      </w:r>
      <w:r w:rsidR="007970C5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розповсюджувач </w:t>
      </w:r>
      <w:r w:rsidR="00FA797D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 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може бути виробником. </w:t>
      </w:r>
    </w:p>
    <w:p w:rsidR="00EA4B50" w:rsidRPr="00C92BAB" w:rsidRDefault="005F061E" w:rsidP="00EA4B50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Крім того, слід зазначити, що </w:t>
      </w:r>
      <w:r w:rsidR="00EA4B50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 до </w:t>
      </w:r>
      <w:r w:rsidR="00EA4B50" w:rsidRPr="00C92BA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частини 3 статті 21 Директиви 2006/66/ЄС </w:t>
      </w:r>
      <w:r w:rsidR="00EA4B50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держави-члени забезпечують, щоб усі батареї, акумулятори та ґудзикові батарейки, які містять більш ніж 0,0005 % ртуті, більш ніж 0,002 % кадмію або більш ніж 0,004 % свинцю були </w:t>
      </w:r>
      <w:r w:rsidR="00021B5A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марковані відповідними хімічними знаками: </w:t>
      </w:r>
      <w:proofErr w:type="spellStart"/>
      <w:r w:rsidR="00EA4B50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Hg</w:t>
      </w:r>
      <w:proofErr w:type="spellEnd"/>
      <w:r w:rsidR="00EA4B50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A4B50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Cd</w:t>
      </w:r>
      <w:proofErr w:type="spellEnd"/>
      <w:r w:rsidR="00EA4B50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EA4B50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Рb</w:t>
      </w:r>
      <w:proofErr w:type="spellEnd"/>
      <w:r w:rsidR="00EA4B50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F061E" w:rsidRPr="00C92BAB" w:rsidRDefault="00021B5A" w:rsidP="005F061E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Проте, в</w:t>
      </w:r>
      <w:r w:rsidR="005F061E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пунктах 2 – 4 частині 1 статті 20 проекту Закону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батарей</w:t>
      </w:r>
      <w:proofErr w:type="spellEnd"/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акумуляторів та ґудзикових </w:t>
      </w:r>
      <w:proofErr w:type="spellStart"/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батарей</w:t>
      </w:r>
      <w:proofErr w:type="spellEnd"/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F061E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передбачено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окреме застосування маркування, а саме</w:t>
      </w:r>
      <w:r w:rsidR="005F061E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на ґудзикові батареї для слухових апаратів, які містять більш ніж 0,0005 відсотки ртуті, наноситься хімічний символ </w:t>
      </w:r>
      <w:proofErr w:type="spellStart"/>
      <w:r w:rsidR="005F061E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Hg</w:t>
      </w:r>
      <w:proofErr w:type="spellEnd"/>
      <w:r w:rsidR="005F061E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 на портативні батареї і акумулятори, які використовуються в системах безпеки та аварійного сповіщення, включаючи аварійне освітлення та медичне обладнання, які містять більш ніж 0,002 відсотки кадмію, наноситься хімічний символ </w:t>
      </w:r>
      <w:proofErr w:type="spellStart"/>
      <w:r w:rsidR="005F061E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Cd</w:t>
      </w:r>
      <w:proofErr w:type="spellEnd"/>
      <w:r w:rsidR="005F061E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 на батареї і акумулятори, які містять більш ніж 0,004 відсотки свинцю, наноситься хімічний символ </w:t>
      </w:r>
      <w:proofErr w:type="spellStart"/>
      <w:r w:rsidR="005F061E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Рb</w:t>
      </w:r>
      <w:proofErr w:type="spellEnd"/>
      <w:r w:rsidR="005F061E"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BC4B3D" w:rsidRPr="00C92BAB" w:rsidRDefault="00021B5A" w:rsidP="00BC4B3D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Вочевидь, такий підхід не узгоджується з положеннями </w:t>
      </w:r>
      <w:r w:rsidRPr="00C92BA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статті 21 Директиви 2006/66/ЄС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в якій аналогічні вимоги щодо маркування стосуються всіх </w:t>
      </w:r>
      <w:proofErr w:type="spellStart"/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батарей</w:t>
      </w:r>
      <w:proofErr w:type="spellEnd"/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акумуляторів.</w:t>
      </w:r>
    </w:p>
    <w:p w:rsidR="00BC4B3D" w:rsidRPr="00C92BAB" w:rsidRDefault="00BC4B3D" w:rsidP="00BC4B3D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Також відповідно до пункту 7 частини 1 статті 14 проекту Закону виробники мають право показувати кінцевим споживачам окремо вартість управління відходами </w:t>
      </w:r>
      <w:proofErr w:type="spellStart"/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батарей</w:t>
      </w:r>
      <w:proofErr w:type="spellEnd"/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акумуляторів під час продажу. Водночас в законопроекті відсутнє уточнення, передбачене </w:t>
      </w:r>
      <w:r w:rsidRPr="00C92BA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частиною 4 статті 16 Директиви 2006/66/ЄС</w:t>
      </w:r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стосовно того, що витрати на збирання, оброблення та </w:t>
      </w:r>
      <w:proofErr w:type="spellStart"/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рециклінг</w:t>
      </w:r>
      <w:proofErr w:type="spellEnd"/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повинні відображатися окремо для кінцевих споживачів під час продажу нових портативних </w:t>
      </w:r>
      <w:proofErr w:type="spellStart"/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батарей</w:t>
      </w:r>
      <w:proofErr w:type="spellEnd"/>
      <w:r w:rsidRPr="00C92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акумуляторів.</w:t>
      </w:r>
    </w:p>
    <w:p w:rsidR="008E77F9" w:rsidRPr="00C92BAB" w:rsidRDefault="008E77F9" w:rsidP="008E77F9">
      <w:pPr>
        <w:spacing w:before="240"/>
        <w:ind w:firstLine="567"/>
        <w:jc w:val="both"/>
        <w:rPr>
          <w:bCs/>
        </w:rPr>
      </w:pPr>
      <w:bookmarkStart w:id="0" w:name="bookmark2"/>
      <w:r w:rsidRPr="00C92BAB">
        <w:rPr>
          <w:rFonts w:eastAsia="Verdana"/>
          <w:b/>
          <w:bCs/>
        </w:rPr>
        <w:t>4.</w:t>
      </w:r>
      <w:r w:rsidRPr="00C92BAB">
        <w:rPr>
          <w:rFonts w:eastAsia="Verdana"/>
          <w:bCs/>
        </w:rPr>
        <w:t>   </w:t>
      </w:r>
      <w:r w:rsidRPr="00C92BAB">
        <w:rPr>
          <w:b/>
        </w:rPr>
        <w:t xml:space="preserve">Висновок Комітету з питань інтеграції України з Європейським Союзом. </w:t>
      </w:r>
    </w:p>
    <w:bookmarkEnd w:id="0"/>
    <w:p w:rsidR="008E77F9" w:rsidRPr="00C92BAB" w:rsidRDefault="008E77F9" w:rsidP="008E77F9">
      <w:pPr>
        <w:spacing w:before="120"/>
        <w:ind w:firstLine="567"/>
        <w:jc w:val="both"/>
        <w:rPr>
          <w:color w:val="000000" w:themeColor="text1"/>
        </w:rPr>
      </w:pPr>
      <w:r w:rsidRPr="00C92BAB">
        <w:rPr>
          <w:color w:val="000000" w:themeColor="text1"/>
        </w:rPr>
        <w:t xml:space="preserve">Проект Закону </w:t>
      </w:r>
      <w:r w:rsidR="0095272A" w:rsidRPr="00C92BAB">
        <w:t>в цілому відповідає</w:t>
      </w:r>
      <w:r w:rsidR="0095272A" w:rsidRPr="00C92BAB">
        <w:rPr>
          <w:color w:val="000000" w:themeColor="text1"/>
        </w:rPr>
        <w:t xml:space="preserve"> </w:t>
      </w:r>
      <w:r w:rsidRPr="00C92BAB">
        <w:rPr>
          <w:color w:val="000000" w:themeColor="text1"/>
        </w:rPr>
        <w:t xml:space="preserve">зобов’язанням України відповідно до Угоди про асоціацію та праву Європейського Союзу. Водночас, потребує </w:t>
      </w:r>
      <w:r w:rsidR="00B22852">
        <w:rPr>
          <w:color w:val="000000" w:themeColor="text1"/>
        </w:rPr>
        <w:t xml:space="preserve">суттєвого </w:t>
      </w:r>
      <w:bookmarkStart w:id="1" w:name="_GoBack"/>
      <w:bookmarkEnd w:id="1"/>
      <w:r w:rsidRPr="00C92BAB">
        <w:rPr>
          <w:color w:val="000000" w:themeColor="text1"/>
        </w:rPr>
        <w:t xml:space="preserve">доопрацювання з метою </w:t>
      </w:r>
      <w:r w:rsidR="00C440C1" w:rsidRPr="00C92BAB">
        <w:rPr>
          <w:color w:val="000000" w:themeColor="text1"/>
        </w:rPr>
        <w:t xml:space="preserve">повного </w:t>
      </w:r>
      <w:r w:rsidRPr="00C92BAB">
        <w:rPr>
          <w:color w:val="000000" w:themeColor="text1"/>
        </w:rPr>
        <w:t xml:space="preserve">врахування та належної імплементації положень </w:t>
      </w:r>
      <w:r w:rsidR="000322DA" w:rsidRPr="00C92BAB">
        <w:rPr>
          <w:color w:val="000000" w:themeColor="text1"/>
        </w:rPr>
        <w:t>Директиви</w:t>
      </w:r>
      <w:r w:rsidR="00D13A47" w:rsidRPr="00C92BAB">
        <w:rPr>
          <w:color w:val="000000" w:themeColor="text1"/>
        </w:rPr>
        <w:t> </w:t>
      </w:r>
      <w:r w:rsidR="000322DA" w:rsidRPr="00C92BAB">
        <w:rPr>
          <w:color w:val="000000" w:themeColor="text1"/>
        </w:rPr>
        <w:t>2006/66/ЄС</w:t>
      </w:r>
      <w:r w:rsidRPr="00C92BAB">
        <w:rPr>
          <w:color w:val="000000" w:themeColor="text1"/>
        </w:rPr>
        <w:t xml:space="preserve">. </w:t>
      </w:r>
    </w:p>
    <w:p w:rsidR="008E77F9" w:rsidRPr="00C92BAB" w:rsidRDefault="008E77F9" w:rsidP="008E77F9">
      <w:pPr>
        <w:spacing w:before="120"/>
        <w:ind w:firstLine="567"/>
        <w:jc w:val="both"/>
        <w:rPr>
          <w:color w:val="000000" w:themeColor="text1"/>
        </w:rPr>
      </w:pPr>
    </w:p>
    <w:p w:rsidR="0095272A" w:rsidRPr="00C92BAB" w:rsidRDefault="0095272A" w:rsidP="008E77F9">
      <w:pPr>
        <w:spacing w:before="120"/>
        <w:ind w:firstLine="567"/>
        <w:jc w:val="both"/>
      </w:pPr>
    </w:p>
    <w:p w:rsidR="0095272A" w:rsidRPr="00C92BAB" w:rsidRDefault="0095272A" w:rsidP="008E77F9">
      <w:pPr>
        <w:spacing w:before="120"/>
        <w:ind w:firstLine="567"/>
        <w:jc w:val="both"/>
      </w:pPr>
    </w:p>
    <w:sectPr w:rsidR="0095272A" w:rsidRPr="00C92BAB" w:rsidSect="00A45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850" w:left="1418" w:header="708" w:footer="35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63" w:rsidRDefault="001C1B63" w:rsidP="0046012D">
      <w:r>
        <w:separator/>
      </w:r>
    </w:p>
  </w:endnote>
  <w:endnote w:type="continuationSeparator" w:id="0">
    <w:p w:rsidR="001C1B63" w:rsidRDefault="001C1B63" w:rsidP="0046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4" w:rsidRDefault="00304C8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177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964C0" w:rsidRPr="00E1148D" w:rsidRDefault="00BD2022">
        <w:pPr>
          <w:pStyle w:val="a3"/>
          <w:jc w:val="center"/>
          <w:rPr>
            <w:sz w:val="24"/>
            <w:szCs w:val="24"/>
          </w:rPr>
        </w:pPr>
        <w:r w:rsidRPr="00E1148D">
          <w:rPr>
            <w:sz w:val="24"/>
            <w:szCs w:val="24"/>
          </w:rPr>
          <w:fldChar w:fldCharType="begin"/>
        </w:r>
        <w:r w:rsidRPr="00E1148D">
          <w:rPr>
            <w:sz w:val="24"/>
            <w:szCs w:val="24"/>
          </w:rPr>
          <w:instrText>PAGE   \* MERGEFORMAT</w:instrText>
        </w:r>
        <w:r w:rsidRPr="00E1148D">
          <w:rPr>
            <w:sz w:val="24"/>
            <w:szCs w:val="24"/>
          </w:rPr>
          <w:fldChar w:fldCharType="separate"/>
        </w:r>
        <w:r w:rsidR="00B22852">
          <w:rPr>
            <w:noProof/>
            <w:sz w:val="24"/>
            <w:szCs w:val="24"/>
          </w:rPr>
          <w:t>2</w:t>
        </w:r>
        <w:r w:rsidRPr="00E1148D">
          <w:rPr>
            <w:sz w:val="24"/>
            <w:szCs w:val="24"/>
          </w:rPr>
          <w:fldChar w:fldCharType="end"/>
        </w:r>
      </w:p>
    </w:sdtContent>
  </w:sdt>
  <w:p w:rsidR="001964C0" w:rsidRDefault="001964C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4" w:rsidRDefault="00304C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63" w:rsidRDefault="001C1B63" w:rsidP="0046012D">
      <w:r>
        <w:separator/>
      </w:r>
    </w:p>
  </w:footnote>
  <w:footnote w:type="continuationSeparator" w:id="0">
    <w:p w:rsidR="001C1B63" w:rsidRDefault="001C1B63" w:rsidP="0046012D">
      <w:r>
        <w:continuationSeparator/>
      </w:r>
    </w:p>
  </w:footnote>
  <w:footnote w:id="1">
    <w:p w:rsidR="008E77F9" w:rsidRPr="007E7610" w:rsidRDefault="008E77F9" w:rsidP="008E77F9">
      <w:pPr>
        <w:pStyle w:val="a7"/>
        <w:jc w:val="both"/>
        <w:rPr>
          <w:rStyle w:val="rvts0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E7610">
        <w:rPr>
          <w:sz w:val="24"/>
          <w:szCs w:val="24"/>
        </w:rPr>
        <w:t xml:space="preserve">Пунктом </w:t>
      </w:r>
      <w:r w:rsidRPr="007E7610">
        <w:rPr>
          <w:color w:val="000000" w:themeColor="text1"/>
          <w:sz w:val="24"/>
          <w:szCs w:val="24"/>
        </w:rPr>
        <w:t>1</w:t>
      </w:r>
      <w:r w:rsidR="007E7610" w:rsidRPr="007E7610">
        <w:rPr>
          <w:color w:val="000000" w:themeColor="text1"/>
          <w:sz w:val="24"/>
          <w:szCs w:val="24"/>
        </w:rPr>
        <w:t>13</w:t>
      </w:r>
      <w:r w:rsidRPr="007E7610">
        <w:rPr>
          <w:color w:val="000000" w:themeColor="text1"/>
          <w:sz w:val="24"/>
          <w:szCs w:val="24"/>
        </w:rPr>
        <w:t xml:space="preserve"> </w:t>
      </w:r>
      <w:r w:rsidRPr="007E7610">
        <w:rPr>
          <w:rStyle w:val="rvts9"/>
          <w:sz w:val="24"/>
          <w:szCs w:val="24"/>
        </w:rPr>
        <w:t xml:space="preserve">Національного плану управління відходами до 2030 року, затвердженого розпорядженням Кабінету Міністрів України від 20.02.2019 р. № 117-р, передбачено розроблення та подання Кабінетові Міністрів України законопроекту про </w:t>
      </w:r>
      <w:r w:rsidR="007E7610" w:rsidRPr="007E7610">
        <w:rPr>
          <w:rStyle w:val="rvts0"/>
          <w:sz w:val="24"/>
          <w:szCs w:val="24"/>
        </w:rPr>
        <w:t xml:space="preserve">батарейки, батареї і акумулятори </w:t>
      </w:r>
      <w:r w:rsidRPr="007E7610">
        <w:rPr>
          <w:rStyle w:val="rvts0"/>
          <w:sz w:val="24"/>
          <w:szCs w:val="24"/>
        </w:rPr>
        <w:t xml:space="preserve">у шестимісячний строк після прийняття закону про </w:t>
      </w:r>
      <w:r w:rsidR="007E7610">
        <w:rPr>
          <w:rStyle w:val="rvts0"/>
          <w:sz w:val="24"/>
          <w:szCs w:val="24"/>
        </w:rPr>
        <w:t xml:space="preserve">управління </w:t>
      </w:r>
      <w:r w:rsidRPr="007E7610">
        <w:rPr>
          <w:rStyle w:val="rvts0"/>
          <w:sz w:val="24"/>
          <w:szCs w:val="24"/>
        </w:rPr>
        <w:t>відход</w:t>
      </w:r>
      <w:r w:rsidR="007E7610">
        <w:rPr>
          <w:rStyle w:val="rvts0"/>
          <w:sz w:val="24"/>
          <w:szCs w:val="24"/>
        </w:rPr>
        <w:t>ами</w:t>
      </w:r>
      <w:r w:rsidRPr="007E7610">
        <w:rPr>
          <w:rStyle w:val="rvts0"/>
          <w:sz w:val="24"/>
          <w:szCs w:val="24"/>
        </w:rPr>
        <w:t xml:space="preserve"> та утворення центрального органу виконавчої влади з питань управління відходами (відповідальні за виконання – </w:t>
      </w:r>
      <w:proofErr w:type="spellStart"/>
      <w:r w:rsidRPr="007E7610">
        <w:rPr>
          <w:rStyle w:val="rvts0"/>
          <w:sz w:val="24"/>
          <w:szCs w:val="24"/>
        </w:rPr>
        <w:t>Мінприрод</w:t>
      </w:r>
      <w:r w:rsidR="007E7610" w:rsidRPr="007E7610">
        <w:rPr>
          <w:rStyle w:val="rvts0"/>
          <w:sz w:val="24"/>
          <w:szCs w:val="24"/>
        </w:rPr>
        <w:t>и</w:t>
      </w:r>
      <w:proofErr w:type="spellEnd"/>
      <w:r w:rsidR="007E7610" w:rsidRPr="007E7610">
        <w:rPr>
          <w:rStyle w:val="rvts0"/>
          <w:sz w:val="24"/>
          <w:szCs w:val="24"/>
        </w:rPr>
        <w:t xml:space="preserve">, </w:t>
      </w:r>
      <w:proofErr w:type="spellStart"/>
      <w:r w:rsidR="007E7610" w:rsidRPr="007E7610">
        <w:rPr>
          <w:rStyle w:val="rvts0"/>
          <w:sz w:val="24"/>
          <w:szCs w:val="24"/>
        </w:rPr>
        <w:t>Мінрегіон</w:t>
      </w:r>
      <w:proofErr w:type="spellEnd"/>
      <w:r w:rsidR="007E7610" w:rsidRPr="007E7610">
        <w:rPr>
          <w:rStyle w:val="rvts0"/>
          <w:sz w:val="24"/>
          <w:szCs w:val="24"/>
        </w:rPr>
        <w:t xml:space="preserve">, </w:t>
      </w:r>
      <w:proofErr w:type="spellStart"/>
      <w:r w:rsidR="007E7610" w:rsidRPr="007E7610">
        <w:rPr>
          <w:rStyle w:val="rvts0"/>
          <w:sz w:val="24"/>
          <w:szCs w:val="24"/>
        </w:rPr>
        <w:t>Мінекономрозвитку</w:t>
      </w:r>
      <w:proofErr w:type="spellEnd"/>
      <w:r w:rsidRPr="007E7610">
        <w:rPr>
          <w:rStyle w:val="rvts0"/>
          <w:sz w:val="24"/>
          <w:szCs w:val="24"/>
        </w:rPr>
        <w:t>).</w:t>
      </w:r>
    </w:p>
  </w:footnote>
  <w:footnote w:id="2">
    <w:p w:rsidR="008E77F9" w:rsidRDefault="008E77F9" w:rsidP="008E77F9">
      <w:pPr>
        <w:pStyle w:val="a7"/>
        <w:jc w:val="both"/>
      </w:pPr>
      <w:r>
        <w:rPr>
          <w:rStyle w:val="a6"/>
        </w:rPr>
        <w:footnoteRef/>
      </w:r>
      <w:r>
        <w:t xml:space="preserve"> </w:t>
      </w:r>
      <w:r w:rsidRPr="00631CC7">
        <w:rPr>
          <w:sz w:val="24"/>
          <w:szCs w:val="24"/>
        </w:rPr>
        <w:t>Чинний Закон України «Про відходи» є застарілим та не в повній мірі відповідає праву ЄС.</w:t>
      </w:r>
      <w:r>
        <w:rPr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4" w:rsidRDefault="00304C8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4" w:rsidRDefault="00304C8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4" w:rsidRDefault="00304C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135B"/>
    <w:multiLevelType w:val="multilevel"/>
    <w:tmpl w:val="954AC8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361AC9"/>
    <w:multiLevelType w:val="hybridMultilevel"/>
    <w:tmpl w:val="B060CF10"/>
    <w:lvl w:ilvl="0" w:tplc="0E94C8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7FD70B6"/>
    <w:multiLevelType w:val="hybridMultilevel"/>
    <w:tmpl w:val="8828E1C0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2D"/>
    <w:rsid w:val="00011650"/>
    <w:rsid w:val="00021B5A"/>
    <w:rsid w:val="000322DA"/>
    <w:rsid w:val="000E560B"/>
    <w:rsid w:val="001964C0"/>
    <w:rsid w:val="001C1B63"/>
    <w:rsid w:val="00304C84"/>
    <w:rsid w:val="00312F08"/>
    <w:rsid w:val="0046012D"/>
    <w:rsid w:val="004A1DB2"/>
    <w:rsid w:val="0057235C"/>
    <w:rsid w:val="005F061E"/>
    <w:rsid w:val="005F6A18"/>
    <w:rsid w:val="0072517D"/>
    <w:rsid w:val="007970C5"/>
    <w:rsid w:val="007E7610"/>
    <w:rsid w:val="007F6972"/>
    <w:rsid w:val="008E4CB0"/>
    <w:rsid w:val="008E77F9"/>
    <w:rsid w:val="0095272A"/>
    <w:rsid w:val="00A45663"/>
    <w:rsid w:val="00B22852"/>
    <w:rsid w:val="00B316DB"/>
    <w:rsid w:val="00B6095F"/>
    <w:rsid w:val="00B65638"/>
    <w:rsid w:val="00BB5DCA"/>
    <w:rsid w:val="00BC4B3D"/>
    <w:rsid w:val="00BD2022"/>
    <w:rsid w:val="00C440C1"/>
    <w:rsid w:val="00C92BAB"/>
    <w:rsid w:val="00CF1D55"/>
    <w:rsid w:val="00D13A47"/>
    <w:rsid w:val="00D42948"/>
    <w:rsid w:val="00DA4803"/>
    <w:rsid w:val="00DE050F"/>
    <w:rsid w:val="00E9123F"/>
    <w:rsid w:val="00EA4B50"/>
    <w:rsid w:val="00FA797D"/>
    <w:rsid w:val="00FC07A8"/>
    <w:rsid w:val="00FC3B24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765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qFormat/>
    <w:rsid w:val="004601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footer"/>
    <w:basedOn w:val="a"/>
    <w:link w:val="a4"/>
    <w:rsid w:val="0046012D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4601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46012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46012D"/>
    <w:pPr>
      <w:ind w:left="720"/>
      <w:contextualSpacing/>
    </w:pPr>
  </w:style>
  <w:style w:type="character" w:styleId="a6">
    <w:name w:val="footnote reference"/>
    <w:basedOn w:val="a0"/>
    <w:unhideWhenUsed/>
    <w:rsid w:val="0046012D"/>
    <w:rPr>
      <w:vertAlign w:val="superscript"/>
    </w:rPr>
  </w:style>
  <w:style w:type="character" w:customStyle="1" w:styleId="12">
    <w:name w:val="Основной текст (12)_"/>
    <w:basedOn w:val="a0"/>
    <w:link w:val="120"/>
    <w:rsid w:val="004601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6012D"/>
    <w:pPr>
      <w:widowControl w:val="0"/>
      <w:shd w:val="clear" w:color="auto" w:fill="FFFFFF"/>
      <w:spacing w:line="310" w:lineRule="exact"/>
      <w:jc w:val="right"/>
    </w:pPr>
    <w:rPr>
      <w:lang w:eastAsia="en-US"/>
    </w:rPr>
  </w:style>
  <w:style w:type="character" w:customStyle="1" w:styleId="214pt">
    <w:name w:val="Основной текст (2) + 14 pt"/>
    <w:basedOn w:val="a0"/>
    <w:rsid w:val="0046012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7">
    <w:name w:val="footnote text"/>
    <w:basedOn w:val="a"/>
    <w:link w:val="a8"/>
    <w:uiPriority w:val="99"/>
    <w:semiHidden/>
    <w:unhideWhenUsed/>
    <w:rsid w:val="0046012D"/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460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basedOn w:val="a0"/>
    <w:rsid w:val="008E77F9"/>
  </w:style>
  <w:style w:type="character" w:customStyle="1" w:styleId="rvts23">
    <w:name w:val="rvts23"/>
    <w:basedOn w:val="a0"/>
    <w:rsid w:val="008E77F9"/>
  </w:style>
  <w:style w:type="character" w:customStyle="1" w:styleId="rvts9">
    <w:name w:val="rvts9"/>
    <w:basedOn w:val="a0"/>
    <w:rsid w:val="008E77F9"/>
  </w:style>
  <w:style w:type="character" w:customStyle="1" w:styleId="2">
    <w:name w:val="Основной текст (2)_"/>
    <w:basedOn w:val="a0"/>
    <w:link w:val="20"/>
    <w:rsid w:val="005F061E"/>
    <w:rPr>
      <w:rFonts w:ascii="Calibri" w:eastAsia="Calibri" w:hAnsi="Calibri" w:cs="Calibri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5F061E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F061E"/>
    <w:pPr>
      <w:widowControl w:val="0"/>
      <w:shd w:val="clear" w:color="auto" w:fill="FFFFFF"/>
      <w:spacing w:before="300" w:line="293" w:lineRule="exact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304C84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304C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4366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2020-02-11T15:12:00Z</dcterms:created>
  <dcterms:modified xsi:type="dcterms:W3CDTF">2020-02-14T09:05:00Z</dcterms:modified>
</cp:coreProperties>
</file>