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BF" w:rsidRPr="00AB0FBF" w:rsidRDefault="00AB0FBF" w:rsidP="001D49EE">
      <w:pPr>
        <w:jc w:val="right"/>
        <w:rPr>
          <w:rFonts w:ascii="Times New Roman" w:hAnsi="Times New Roman" w:cs="Times New Roman"/>
          <w:sz w:val="20"/>
          <w:szCs w:val="20"/>
        </w:rPr>
      </w:pPr>
      <w:r w:rsidRPr="00AB0FBF">
        <w:rPr>
          <w:rFonts w:ascii="Times New Roman" w:hAnsi="Times New Roman" w:cs="Times New Roman"/>
          <w:sz w:val="20"/>
          <w:szCs w:val="20"/>
        </w:rPr>
        <w:t>До реєстр. № 2</w:t>
      </w:r>
      <w:r w:rsidRPr="0047376F">
        <w:rPr>
          <w:rFonts w:ascii="Times New Roman" w:hAnsi="Times New Roman" w:cs="Times New Roman"/>
          <w:sz w:val="20"/>
          <w:szCs w:val="20"/>
          <w:lang w:val="ru-RU"/>
        </w:rPr>
        <w:t>429</w:t>
      </w:r>
      <w:r w:rsidRPr="00AB0FBF">
        <w:rPr>
          <w:rFonts w:ascii="Times New Roman" w:hAnsi="Times New Roman" w:cs="Times New Roman"/>
          <w:sz w:val="20"/>
          <w:szCs w:val="20"/>
        </w:rPr>
        <w:t xml:space="preserve"> від </w:t>
      </w:r>
      <w:r w:rsidRPr="0047376F">
        <w:rPr>
          <w:rFonts w:ascii="Times New Roman" w:hAnsi="Times New Roman" w:cs="Times New Roman"/>
          <w:sz w:val="20"/>
          <w:szCs w:val="20"/>
          <w:lang w:val="ru-RU"/>
        </w:rPr>
        <w:t>13</w:t>
      </w:r>
      <w:r w:rsidRPr="00AB0FBF">
        <w:rPr>
          <w:rFonts w:ascii="Times New Roman" w:hAnsi="Times New Roman" w:cs="Times New Roman"/>
          <w:sz w:val="20"/>
          <w:szCs w:val="20"/>
        </w:rPr>
        <w:t>.</w:t>
      </w:r>
      <w:r w:rsidRPr="0047376F">
        <w:rPr>
          <w:rFonts w:ascii="Times New Roman" w:hAnsi="Times New Roman" w:cs="Times New Roman"/>
          <w:sz w:val="20"/>
          <w:szCs w:val="20"/>
          <w:lang w:val="ru-RU"/>
        </w:rPr>
        <w:t>11</w:t>
      </w:r>
      <w:r w:rsidRPr="00AB0FBF">
        <w:rPr>
          <w:rFonts w:ascii="Times New Roman" w:hAnsi="Times New Roman" w:cs="Times New Roman"/>
          <w:sz w:val="20"/>
          <w:szCs w:val="20"/>
        </w:rPr>
        <w:t>.2019</w:t>
      </w:r>
      <w:r w:rsidRPr="00AB0FBF">
        <w:rPr>
          <w:rFonts w:ascii="Times New Roman" w:hAnsi="Times New Roman" w:cs="Times New Roman"/>
          <w:sz w:val="20"/>
          <w:szCs w:val="20"/>
        </w:rPr>
        <w:br/>
        <w:t>(друге читання)</w:t>
      </w:r>
    </w:p>
    <w:p w:rsidR="00AB0FBF" w:rsidRPr="00AB0FBF" w:rsidRDefault="00AB0FBF" w:rsidP="001D49EE">
      <w:pPr>
        <w:jc w:val="center"/>
        <w:rPr>
          <w:rFonts w:ascii="Times New Roman" w:hAnsi="Times New Roman" w:cs="Times New Roman"/>
          <w:sz w:val="28"/>
          <w:szCs w:val="28"/>
        </w:rPr>
      </w:pPr>
    </w:p>
    <w:p w:rsidR="00AB0FBF" w:rsidRPr="00AB0FBF" w:rsidRDefault="00AB0FBF" w:rsidP="001D49EE">
      <w:pPr>
        <w:jc w:val="center"/>
        <w:rPr>
          <w:rFonts w:ascii="Times New Roman" w:hAnsi="Times New Roman" w:cs="Times New Roman"/>
          <w:sz w:val="28"/>
          <w:szCs w:val="28"/>
        </w:rPr>
      </w:pPr>
    </w:p>
    <w:p w:rsidR="00AB0FBF" w:rsidRPr="00AB0FBF" w:rsidRDefault="00AB0FBF" w:rsidP="001D49EE">
      <w:pPr>
        <w:jc w:val="center"/>
        <w:rPr>
          <w:rFonts w:ascii="Times New Roman" w:hAnsi="Times New Roman" w:cs="Times New Roman"/>
          <w:sz w:val="28"/>
          <w:szCs w:val="28"/>
        </w:rPr>
      </w:pPr>
    </w:p>
    <w:p w:rsidR="00AB0FBF" w:rsidRPr="00AB0FBF" w:rsidRDefault="00AB0FBF" w:rsidP="001D49EE">
      <w:pPr>
        <w:jc w:val="center"/>
        <w:rPr>
          <w:rFonts w:ascii="Times New Roman" w:hAnsi="Times New Roman" w:cs="Times New Roman"/>
          <w:sz w:val="28"/>
          <w:szCs w:val="28"/>
        </w:rPr>
      </w:pPr>
    </w:p>
    <w:p w:rsidR="00AB0FBF" w:rsidRPr="00AB0FBF" w:rsidRDefault="00AB0FBF" w:rsidP="001D49EE">
      <w:pPr>
        <w:jc w:val="center"/>
        <w:rPr>
          <w:rFonts w:ascii="Times New Roman" w:hAnsi="Times New Roman" w:cs="Times New Roman"/>
          <w:sz w:val="28"/>
          <w:szCs w:val="28"/>
        </w:rPr>
      </w:pPr>
    </w:p>
    <w:p w:rsidR="00AB0FBF" w:rsidRPr="00AB0FBF" w:rsidRDefault="00AB0FBF" w:rsidP="001D49EE">
      <w:pPr>
        <w:jc w:val="center"/>
        <w:rPr>
          <w:rFonts w:ascii="Times New Roman" w:hAnsi="Times New Roman" w:cs="Times New Roman"/>
          <w:sz w:val="28"/>
          <w:szCs w:val="28"/>
        </w:rPr>
      </w:pPr>
    </w:p>
    <w:p w:rsidR="00AB0FBF" w:rsidRDefault="00AB0FBF" w:rsidP="001D49EE">
      <w:pPr>
        <w:jc w:val="center"/>
        <w:rPr>
          <w:rFonts w:ascii="Times New Roman" w:hAnsi="Times New Roman" w:cs="Times New Roman"/>
          <w:sz w:val="28"/>
          <w:szCs w:val="28"/>
        </w:rPr>
      </w:pPr>
    </w:p>
    <w:p w:rsidR="00411E45" w:rsidRDefault="00411E45" w:rsidP="001D49EE">
      <w:pPr>
        <w:jc w:val="center"/>
        <w:rPr>
          <w:rFonts w:ascii="Times New Roman" w:hAnsi="Times New Roman" w:cs="Times New Roman"/>
          <w:sz w:val="28"/>
          <w:szCs w:val="28"/>
        </w:rPr>
      </w:pPr>
    </w:p>
    <w:p w:rsidR="00F30A17" w:rsidRPr="00AB0FBF" w:rsidRDefault="00F30A17" w:rsidP="001D49EE">
      <w:pPr>
        <w:jc w:val="center"/>
        <w:rPr>
          <w:rFonts w:ascii="Times New Roman" w:hAnsi="Times New Roman" w:cs="Times New Roman"/>
          <w:sz w:val="28"/>
          <w:szCs w:val="28"/>
        </w:rPr>
      </w:pPr>
      <w:bookmarkStart w:id="0" w:name="_GoBack"/>
      <w:bookmarkEnd w:id="0"/>
    </w:p>
    <w:p w:rsidR="00AB0FBF" w:rsidRPr="00AB0FBF" w:rsidRDefault="00AB0FBF" w:rsidP="001D49EE">
      <w:pPr>
        <w:jc w:val="center"/>
        <w:rPr>
          <w:rFonts w:ascii="Times New Roman" w:hAnsi="Times New Roman" w:cs="Times New Roman"/>
          <w:sz w:val="28"/>
          <w:szCs w:val="28"/>
        </w:rPr>
      </w:pPr>
    </w:p>
    <w:p w:rsidR="00AB0FBF" w:rsidRPr="00AB0FBF" w:rsidRDefault="00AB0FBF" w:rsidP="001D49EE">
      <w:pPr>
        <w:pStyle w:val="3"/>
        <w:spacing w:before="0" w:beforeAutospacing="0" w:after="0" w:afterAutospacing="0"/>
        <w:jc w:val="center"/>
        <w:rPr>
          <w:sz w:val="28"/>
          <w:szCs w:val="28"/>
        </w:rPr>
      </w:pPr>
      <w:r w:rsidRPr="00AB0FBF">
        <w:rPr>
          <w:sz w:val="28"/>
          <w:szCs w:val="28"/>
        </w:rPr>
        <w:t>ЗАУВАЖЕННЯ</w:t>
      </w:r>
    </w:p>
    <w:p w:rsidR="00AB0FBF" w:rsidRPr="00AB0FBF" w:rsidRDefault="00AB0FBF" w:rsidP="001D49EE">
      <w:pPr>
        <w:pStyle w:val="3"/>
        <w:spacing w:before="0" w:beforeAutospacing="0" w:after="0" w:afterAutospacing="0"/>
        <w:jc w:val="center"/>
        <w:rPr>
          <w:sz w:val="28"/>
          <w:szCs w:val="28"/>
        </w:rPr>
      </w:pPr>
      <w:r w:rsidRPr="00AB0FBF">
        <w:rPr>
          <w:sz w:val="28"/>
          <w:szCs w:val="28"/>
        </w:rPr>
        <w:t xml:space="preserve">до проекту Закону України про внесення змін до деяких </w:t>
      </w:r>
      <w:r>
        <w:rPr>
          <w:sz w:val="28"/>
          <w:szCs w:val="28"/>
        </w:rPr>
        <w:t xml:space="preserve">законів України щодо ліквідації штучних бюрократичних бар’єрів та </w:t>
      </w:r>
      <w:proofErr w:type="spellStart"/>
      <w:r>
        <w:rPr>
          <w:sz w:val="28"/>
          <w:szCs w:val="28"/>
        </w:rPr>
        <w:t>корупціогенних</w:t>
      </w:r>
      <w:proofErr w:type="spellEnd"/>
      <w:r>
        <w:rPr>
          <w:sz w:val="28"/>
          <w:szCs w:val="28"/>
        </w:rPr>
        <w:t xml:space="preserve"> чинників у сфері охорони здоров’я</w:t>
      </w:r>
    </w:p>
    <w:p w:rsidR="00AB0FBF" w:rsidRPr="00AB0FBF" w:rsidRDefault="00AB0FBF" w:rsidP="001D49EE">
      <w:pPr>
        <w:pStyle w:val="1"/>
        <w:jc w:val="center"/>
        <w:rPr>
          <w:rFonts w:ascii="Times New Roman" w:hAnsi="Times New Roman"/>
          <w:color w:val="000000"/>
          <w:sz w:val="28"/>
          <w:szCs w:val="28"/>
        </w:rPr>
      </w:pPr>
      <w:r w:rsidRPr="00AB0FBF">
        <w:rPr>
          <w:rFonts w:ascii="Times New Roman" w:hAnsi="Times New Roman"/>
          <w:color w:val="000000"/>
          <w:sz w:val="28"/>
          <w:szCs w:val="28"/>
        </w:rPr>
        <w:t>(реєстр. № 2</w:t>
      </w:r>
      <w:r>
        <w:rPr>
          <w:rFonts w:ascii="Times New Roman" w:hAnsi="Times New Roman"/>
          <w:color w:val="000000"/>
          <w:sz w:val="28"/>
          <w:szCs w:val="28"/>
        </w:rPr>
        <w:t>429</w:t>
      </w:r>
      <w:r w:rsidRPr="00AB0FBF">
        <w:rPr>
          <w:rFonts w:ascii="Times New Roman" w:hAnsi="Times New Roman"/>
          <w:color w:val="000000"/>
          <w:sz w:val="28"/>
          <w:szCs w:val="28"/>
        </w:rPr>
        <w:t>)</w:t>
      </w:r>
    </w:p>
    <w:p w:rsidR="00AB0FBF" w:rsidRPr="00AB0FBF" w:rsidRDefault="00AB0FBF" w:rsidP="001D49EE">
      <w:pPr>
        <w:pStyle w:val="1"/>
        <w:ind w:firstLine="709"/>
        <w:jc w:val="both"/>
        <w:rPr>
          <w:rFonts w:ascii="Times New Roman" w:hAnsi="Times New Roman"/>
          <w:color w:val="000000"/>
          <w:sz w:val="28"/>
          <w:szCs w:val="28"/>
        </w:rPr>
      </w:pPr>
    </w:p>
    <w:p w:rsidR="00AB0FBF" w:rsidRPr="001D49EE" w:rsidRDefault="00AB0FBF" w:rsidP="001D49EE">
      <w:pPr>
        <w:ind w:firstLine="709"/>
        <w:jc w:val="both"/>
        <w:rPr>
          <w:rFonts w:ascii="Times New Roman" w:hAnsi="Times New Roman" w:cs="Times New Roman"/>
          <w:sz w:val="28"/>
          <w:szCs w:val="28"/>
        </w:rPr>
      </w:pPr>
      <w:r w:rsidRPr="001D49EE">
        <w:rPr>
          <w:rFonts w:ascii="Times New Roman" w:hAnsi="Times New Roman" w:cs="Times New Roman"/>
          <w:color w:val="000000"/>
          <w:sz w:val="28"/>
          <w:szCs w:val="28"/>
        </w:rPr>
        <w:t>У Головному юридичному управлінні у межах відведеного часу (проект н</w:t>
      </w:r>
      <w:r w:rsidR="00D054EC">
        <w:rPr>
          <w:rFonts w:ascii="Times New Roman" w:hAnsi="Times New Roman" w:cs="Times New Roman"/>
          <w:color w:val="000000"/>
          <w:sz w:val="28"/>
          <w:szCs w:val="28"/>
        </w:rPr>
        <w:t>адійшов</w:t>
      </w:r>
      <w:r w:rsidRPr="001D49EE">
        <w:rPr>
          <w:rFonts w:ascii="Times New Roman" w:hAnsi="Times New Roman" w:cs="Times New Roman"/>
          <w:color w:val="000000"/>
          <w:sz w:val="28"/>
          <w:szCs w:val="28"/>
        </w:rPr>
        <w:t xml:space="preserve"> </w:t>
      </w:r>
      <w:r w:rsidR="00E632FD" w:rsidRPr="001D49EE">
        <w:rPr>
          <w:rFonts w:ascii="Times New Roman" w:hAnsi="Times New Roman" w:cs="Times New Roman"/>
          <w:color w:val="000000"/>
          <w:sz w:val="28"/>
          <w:szCs w:val="28"/>
        </w:rPr>
        <w:t>20</w:t>
      </w:r>
      <w:r w:rsidRPr="001D49EE">
        <w:rPr>
          <w:rFonts w:ascii="Times New Roman" w:hAnsi="Times New Roman" w:cs="Times New Roman"/>
          <w:color w:val="000000"/>
          <w:sz w:val="28"/>
          <w:szCs w:val="28"/>
        </w:rPr>
        <w:t>.</w:t>
      </w:r>
      <w:r w:rsidR="00E632FD" w:rsidRPr="001D49EE">
        <w:rPr>
          <w:rFonts w:ascii="Times New Roman" w:hAnsi="Times New Roman" w:cs="Times New Roman"/>
          <w:color w:val="000000"/>
          <w:sz w:val="28"/>
          <w:szCs w:val="28"/>
        </w:rPr>
        <w:t>05</w:t>
      </w:r>
      <w:r w:rsidRPr="001D49EE">
        <w:rPr>
          <w:rFonts w:ascii="Times New Roman" w:hAnsi="Times New Roman" w:cs="Times New Roman"/>
          <w:color w:val="000000"/>
          <w:sz w:val="28"/>
          <w:szCs w:val="28"/>
        </w:rPr>
        <w:t>.20</w:t>
      </w:r>
      <w:r w:rsidR="00E632FD" w:rsidRPr="001D49EE">
        <w:rPr>
          <w:rFonts w:ascii="Times New Roman" w:hAnsi="Times New Roman" w:cs="Times New Roman"/>
          <w:color w:val="000000"/>
          <w:sz w:val="28"/>
          <w:szCs w:val="28"/>
        </w:rPr>
        <w:t>20</w:t>
      </w:r>
      <w:r w:rsidR="00027BED">
        <w:rPr>
          <w:rFonts w:ascii="Times New Roman" w:hAnsi="Times New Roman" w:cs="Times New Roman"/>
          <w:color w:val="000000"/>
          <w:sz w:val="28"/>
          <w:szCs w:val="28"/>
        </w:rPr>
        <w:t xml:space="preserve"> року о 10 год.</w:t>
      </w:r>
      <w:r w:rsidRPr="001D49EE">
        <w:rPr>
          <w:rFonts w:ascii="Times New Roman" w:hAnsi="Times New Roman" w:cs="Times New Roman"/>
          <w:color w:val="000000"/>
          <w:sz w:val="28"/>
          <w:szCs w:val="28"/>
        </w:rPr>
        <w:t xml:space="preserve">) розглянуто </w:t>
      </w:r>
      <w:r w:rsidR="00D054EC">
        <w:rPr>
          <w:rFonts w:ascii="Times New Roman" w:hAnsi="Times New Roman" w:cs="Times New Roman"/>
          <w:color w:val="000000"/>
          <w:sz w:val="28"/>
          <w:szCs w:val="28"/>
        </w:rPr>
        <w:t xml:space="preserve">зазначений </w:t>
      </w:r>
      <w:r w:rsidRPr="001D49EE">
        <w:rPr>
          <w:rFonts w:ascii="Times New Roman" w:hAnsi="Times New Roman" w:cs="Times New Roman"/>
          <w:color w:val="000000"/>
          <w:sz w:val="28"/>
          <w:szCs w:val="28"/>
        </w:rPr>
        <w:t xml:space="preserve">законопроект, підготовлений Комітетом з питань </w:t>
      </w:r>
      <w:r w:rsidR="00E632FD" w:rsidRPr="001D49EE">
        <w:rPr>
          <w:rFonts w:ascii="Times New Roman" w:hAnsi="Times New Roman" w:cs="Times New Roman"/>
          <w:color w:val="000000"/>
          <w:sz w:val="28"/>
          <w:szCs w:val="28"/>
        </w:rPr>
        <w:t>здоров’я нації, медичної допомоги та медичного страхування</w:t>
      </w:r>
      <w:r w:rsidRPr="001D49EE">
        <w:rPr>
          <w:rFonts w:ascii="Times New Roman" w:hAnsi="Times New Roman" w:cs="Times New Roman"/>
          <w:color w:val="000000"/>
          <w:sz w:val="28"/>
          <w:szCs w:val="28"/>
        </w:rPr>
        <w:t xml:space="preserve"> до другого читання.</w:t>
      </w:r>
    </w:p>
    <w:p w:rsidR="001D49EE" w:rsidRPr="001D49EE" w:rsidRDefault="00AB0FBF" w:rsidP="001D49EE">
      <w:pPr>
        <w:ind w:firstLine="709"/>
        <w:jc w:val="both"/>
        <w:rPr>
          <w:rFonts w:ascii="Times New Roman" w:hAnsi="Times New Roman" w:cs="Times New Roman"/>
          <w:sz w:val="28"/>
          <w:szCs w:val="28"/>
        </w:rPr>
      </w:pPr>
      <w:r w:rsidRPr="001D49EE">
        <w:rPr>
          <w:rFonts w:ascii="Times New Roman" w:hAnsi="Times New Roman" w:cs="Times New Roman"/>
          <w:sz w:val="28"/>
          <w:szCs w:val="28"/>
        </w:rPr>
        <w:t>Законопроектом запропоновані змін</w:t>
      </w:r>
      <w:r w:rsidR="0047376F" w:rsidRPr="001D49EE">
        <w:rPr>
          <w:rFonts w:ascii="Times New Roman" w:hAnsi="Times New Roman" w:cs="Times New Roman"/>
          <w:sz w:val="28"/>
          <w:szCs w:val="28"/>
        </w:rPr>
        <w:t xml:space="preserve">и до законів України «Про лікарські засоби», «Про наркотичні засоби, психотропні речовини і прекурсори», «Про донорство крові та її компонентів» та «Про охорону прав на винаходи і корисні моделі». </w:t>
      </w:r>
    </w:p>
    <w:p w:rsidR="00AB0FBF" w:rsidRPr="001D49EE" w:rsidRDefault="001D49EE" w:rsidP="001D49EE">
      <w:pPr>
        <w:ind w:firstLine="709"/>
        <w:jc w:val="both"/>
        <w:rPr>
          <w:rFonts w:ascii="Times New Roman" w:hAnsi="Times New Roman" w:cs="Times New Roman"/>
          <w:sz w:val="28"/>
          <w:szCs w:val="28"/>
        </w:rPr>
      </w:pPr>
      <w:r w:rsidRPr="001D49EE">
        <w:rPr>
          <w:rFonts w:ascii="Times New Roman" w:hAnsi="Times New Roman" w:cs="Times New Roman"/>
          <w:sz w:val="28"/>
          <w:szCs w:val="28"/>
        </w:rPr>
        <w:t>1.</w:t>
      </w:r>
      <w:r w:rsidRPr="001D49EE">
        <w:rPr>
          <w:rFonts w:ascii="Times New Roman" w:hAnsi="Times New Roman" w:cs="Times New Roman"/>
          <w:sz w:val="28"/>
          <w:szCs w:val="28"/>
          <w:lang w:val="ru-RU"/>
        </w:rPr>
        <w:t> </w:t>
      </w:r>
      <w:r w:rsidR="0047376F" w:rsidRPr="001D49EE">
        <w:rPr>
          <w:rFonts w:ascii="Times New Roman" w:hAnsi="Times New Roman" w:cs="Times New Roman"/>
          <w:sz w:val="28"/>
          <w:szCs w:val="28"/>
        </w:rPr>
        <w:t xml:space="preserve">Запропоновані зміни не відповідають вимогам щодо якості законів у контексті верховенства права (стаття 8 Конституції України), зокрема його елементу «юридична визначеність», яка вимагає, щоб норми були чіткими і точними та спрямованими на забезпечення того, щоб ситуації та правовідносини залишалися передбачуваними. </w:t>
      </w:r>
      <w:r w:rsidR="008D0EB4">
        <w:rPr>
          <w:rFonts w:ascii="Times New Roman" w:hAnsi="Times New Roman" w:cs="Times New Roman"/>
          <w:sz w:val="28"/>
          <w:szCs w:val="28"/>
        </w:rPr>
        <w:t>Так:</w:t>
      </w:r>
    </w:p>
    <w:p w:rsidR="0047376F" w:rsidRPr="001D49EE" w:rsidRDefault="001D49EE" w:rsidP="001D49EE">
      <w:pPr>
        <w:ind w:firstLine="709"/>
        <w:jc w:val="both"/>
        <w:rPr>
          <w:rStyle w:val="rvts0"/>
          <w:rFonts w:ascii="Times New Roman" w:hAnsi="Times New Roman"/>
          <w:sz w:val="28"/>
          <w:szCs w:val="28"/>
        </w:rPr>
      </w:pPr>
      <w:r w:rsidRPr="001D49EE">
        <w:rPr>
          <w:rFonts w:ascii="Times New Roman" w:hAnsi="Times New Roman" w:cs="Times New Roman"/>
          <w:sz w:val="28"/>
          <w:szCs w:val="28"/>
          <w:lang w:val="ru-RU"/>
        </w:rPr>
        <w:t>1)</w:t>
      </w:r>
      <w:r w:rsidR="00AB3FB8">
        <w:rPr>
          <w:rFonts w:ascii="Times New Roman" w:hAnsi="Times New Roman" w:cs="Times New Roman"/>
          <w:sz w:val="28"/>
          <w:szCs w:val="28"/>
          <w:lang w:val="ru-RU"/>
        </w:rPr>
        <w:t> </w:t>
      </w:r>
      <w:r w:rsidR="0047376F" w:rsidRPr="001D49EE">
        <w:rPr>
          <w:rFonts w:ascii="Times New Roman" w:hAnsi="Times New Roman" w:cs="Times New Roman"/>
          <w:sz w:val="28"/>
          <w:szCs w:val="28"/>
        </w:rPr>
        <w:t xml:space="preserve">змінами до статті 24 Закону України «Про наркотичні засоби, психотропні речовини і прекурсори» пропонується, що </w:t>
      </w:r>
      <w:r w:rsidR="0047376F" w:rsidRPr="001D49EE">
        <w:rPr>
          <w:rStyle w:val="rvts0"/>
          <w:rFonts w:ascii="Times New Roman" w:hAnsi="Times New Roman"/>
          <w:sz w:val="28"/>
          <w:szCs w:val="28"/>
        </w:rPr>
        <w:t xml:space="preserve">для одержання дозволу на право ввезення на територію України, вивезення з території України наркотичних засобів, психотропних речовин або прекурсорів наркотичних засобів і психотропних речовин юридична особа подає до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заяву, в якій зазначаються «засвідчені заявником відомості про кількісний хімічний склад наркотичного засобу або психотропної речовини за показниками специфікації або </w:t>
      </w:r>
      <w:r w:rsidR="007D27EF" w:rsidRPr="001D49EE">
        <w:rPr>
          <w:rStyle w:val="rvts0"/>
          <w:rFonts w:ascii="Times New Roman" w:hAnsi="Times New Roman"/>
          <w:sz w:val="28"/>
          <w:szCs w:val="28"/>
        </w:rPr>
        <w:t>відповідної технічної документації виробника (експортера або імпортера)</w:t>
      </w:r>
      <w:r w:rsidR="0047376F" w:rsidRPr="001D49EE">
        <w:rPr>
          <w:rStyle w:val="rvts0"/>
          <w:rFonts w:ascii="Times New Roman" w:hAnsi="Times New Roman"/>
          <w:sz w:val="28"/>
          <w:szCs w:val="28"/>
        </w:rPr>
        <w:t>»</w:t>
      </w:r>
      <w:r w:rsidR="007D27EF" w:rsidRPr="001D49EE">
        <w:rPr>
          <w:rStyle w:val="rvts0"/>
          <w:rFonts w:ascii="Times New Roman" w:hAnsi="Times New Roman"/>
          <w:sz w:val="28"/>
          <w:szCs w:val="28"/>
        </w:rPr>
        <w:t>.</w:t>
      </w:r>
    </w:p>
    <w:p w:rsidR="007D27EF" w:rsidRPr="001D49EE" w:rsidRDefault="007D27EF" w:rsidP="001D49EE">
      <w:pPr>
        <w:ind w:firstLine="709"/>
        <w:jc w:val="both"/>
        <w:rPr>
          <w:rStyle w:val="rvts0"/>
          <w:rFonts w:ascii="Times New Roman" w:hAnsi="Times New Roman"/>
          <w:sz w:val="28"/>
          <w:szCs w:val="28"/>
        </w:rPr>
      </w:pPr>
      <w:r w:rsidRPr="001D49EE">
        <w:rPr>
          <w:rStyle w:val="rvts0"/>
          <w:rFonts w:ascii="Times New Roman" w:hAnsi="Times New Roman"/>
          <w:sz w:val="28"/>
          <w:szCs w:val="28"/>
        </w:rPr>
        <w:t>Проте, з огляду на те, що ні законопроект ні чинний Закон не містить процедури вказаного «засвідчення відомостей», на нашу думку, така правова невизначеність містить корупційні ризики та не сприятиме спрощенню одержання дозволу на право ввезення/в</w:t>
      </w:r>
      <w:r w:rsidR="00BB03F2">
        <w:rPr>
          <w:rStyle w:val="rvts0"/>
          <w:rFonts w:ascii="Times New Roman" w:hAnsi="Times New Roman"/>
          <w:sz w:val="28"/>
          <w:szCs w:val="28"/>
        </w:rPr>
        <w:t>и</w:t>
      </w:r>
      <w:r w:rsidRPr="001D49EE">
        <w:rPr>
          <w:rStyle w:val="rvts0"/>
          <w:rFonts w:ascii="Times New Roman" w:hAnsi="Times New Roman"/>
          <w:sz w:val="28"/>
          <w:szCs w:val="28"/>
        </w:rPr>
        <w:t xml:space="preserve">везення </w:t>
      </w:r>
      <w:proofErr w:type="spellStart"/>
      <w:r w:rsidR="00D50246" w:rsidRPr="001D49EE">
        <w:rPr>
          <w:rStyle w:val="rvts0"/>
          <w:rFonts w:ascii="Times New Roman" w:hAnsi="Times New Roman"/>
          <w:sz w:val="28"/>
          <w:szCs w:val="28"/>
          <w:lang w:val="ru-RU"/>
        </w:rPr>
        <w:t>наркотичних</w:t>
      </w:r>
      <w:proofErr w:type="spellEnd"/>
      <w:r w:rsidR="00D50246" w:rsidRPr="001D49EE">
        <w:rPr>
          <w:rStyle w:val="rvts0"/>
          <w:rFonts w:ascii="Times New Roman" w:hAnsi="Times New Roman"/>
          <w:sz w:val="28"/>
          <w:szCs w:val="28"/>
          <w:lang w:val="ru-RU"/>
        </w:rPr>
        <w:t xml:space="preserve"> </w:t>
      </w:r>
      <w:proofErr w:type="spellStart"/>
      <w:r w:rsidR="00D50246" w:rsidRPr="001D49EE">
        <w:rPr>
          <w:rStyle w:val="rvts0"/>
          <w:rFonts w:ascii="Times New Roman" w:hAnsi="Times New Roman"/>
          <w:sz w:val="28"/>
          <w:szCs w:val="28"/>
          <w:lang w:val="ru-RU"/>
        </w:rPr>
        <w:t>засобів</w:t>
      </w:r>
      <w:proofErr w:type="spellEnd"/>
      <w:r w:rsidR="00D50246" w:rsidRPr="001D49EE">
        <w:rPr>
          <w:rStyle w:val="rvts0"/>
          <w:rFonts w:ascii="Times New Roman" w:hAnsi="Times New Roman"/>
          <w:sz w:val="28"/>
          <w:szCs w:val="28"/>
          <w:lang w:val="ru-RU"/>
        </w:rPr>
        <w:t xml:space="preserve"> та </w:t>
      </w:r>
      <w:proofErr w:type="spellStart"/>
      <w:r w:rsidR="00D50246" w:rsidRPr="001D49EE">
        <w:rPr>
          <w:rStyle w:val="rvts0"/>
          <w:rFonts w:ascii="Times New Roman" w:hAnsi="Times New Roman"/>
          <w:sz w:val="28"/>
          <w:szCs w:val="28"/>
          <w:lang w:val="ru-RU"/>
        </w:rPr>
        <w:t>психотропних</w:t>
      </w:r>
      <w:proofErr w:type="spellEnd"/>
      <w:r w:rsidR="00AB3FB8">
        <w:rPr>
          <w:rStyle w:val="rvts0"/>
          <w:rFonts w:ascii="Times New Roman" w:hAnsi="Times New Roman"/>
          <w:sz w:val="28"/>
          <w:szCs w:val="28"/>
        </w:rPr>
        <w:t xml:space="preserve"> речовин;</w:t>
      </w:r>
    </w:p>
    <w:p w:rsidR="001D49EE" w:rsidRPr="001D49EE" w:rsidRDefault="001D49EE" w:rsidP="001D49EE">
      <w:pPr>
        <w:pStyle w:val="a3"/>
        <w:spacing w:after="0" w:line="240" w:lineRule="auto"/>
        <w:ind w:left="0" w:firstLine="709"/>
        <w:jc w:val="both"/>
      </w:pPr>
      <w:r w:rsidRPr="001D49EE">
        <w:rPr>
          <w:rStyle w:val="rvts0"/>
        </w:rPr>
        <w:lastRenderedPageBreak/>
        <w:t>2)</w:t>
      </w:r>
      <w:r w:rsidR="00AB3FB8">
        <w:rPr>
          <w:rStyle w:val="rvts0"/>
        </w:rPr>
        <w:t> </w:t>
      </w:r>
      <w:r w:rsidRPr="001D49EE">
        <w:t>законопроектом пропонується статтю 15 Закону України «Про донорство крові та її компонентів» доповнити новою частиною третьою такого змісту: «Суб’єкти підприємницької діяльності, зазначені в частині другій цієї статті, здійснюють придбання плазми для фракціонування в</w:t>
      </w:r>
      <w:r w:rsidR="00D054EC">
        <w:t xml:space="preserve"> (?)</w:t>
      </w:r>
      <w:r w:rsidRPr="001D49EE">
        <w:t xml:space="preserve"> установ, закладів та відповідних підрозділів, зазначених у частині першій цієї статті за цінами, що встановлюються центральним органом виконавчої влади, що реалізує державну політику у сфері охорони здоров’я, на підставі методики формування ціни, яка затверджується Кабінетом Міністрів України. У разі неможливості такого придбання плазми суб’єкти господарської діяльності, що здійснюють виробництво препаратів крові на території України, зобов’язані укласти з установами, закладами та відповідними підрозділами, зазначеними в частині першій цієї статті, договір про контрактне виробництво препаратів крові з такої плазми на території України з поверненням вироблених на замовленнях цих установ, закладів та відповідних підрозділів препаратів крові в порядку та на умовах, що встановлюються Кабінетом Міністрів України». </w:t>
      </w:r>
    </w:p>
    <w:p w:rsidR="001D49EE" w:rsidRPr="008B035D" w:rsidRDefault="001D49EE" w:rsidP="001D49EE">
      <w:pPr>
        <w:ind w:firstLine="709"/>
        <w:jc w:val="both"/>
        <w:rPr>
          <w:rFonts w:ascii="Times New Roman" w:hAnsi="Times New Roman" w:cs="Times New Roman"/>
          <w:sz w:val="28"/>
          <w:szCs w:val="28"/>
        </w:rPr>
      </w:pPr>
      <w:r w:rsidRPr="001D49EE">
        <w:rPr>
          <w:rFonts w:ascii="Times New Roman" w:hAnsi="Times New Roman" w:cs="Times New Roman"/>
          <w:sz w:val="28"/>
          <w:szCs w:val="28"/>
        </w:rPr>
        <w:t xml:space="preserve">Наведена норма проекту законодавчо запроваджує новий вид договору – договір про контрактне виробництво препаратів крові. Однак, окрім назви, встановити предмет та інші істотні умови цього договору із пропонованих норм неможливо. При цьому, якщо у зазначеній нормі йдеться про те, що такий договір укладається на умовах, що встановлюються Кабінетом Міністрів України, то вказана норма суперечить частині першій статті 638 Цивільного кодексу України, де чітко визначено, що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w:t>
      </w:r>
      <w:r w:rsidRPr="008B035D">
        <w:rPr>
          <w:rFonts w:ascii="Times New Roman" w:hAnsi="Times New Roman" w:cs="Times New Roman"/>
          <w:sz w:val="28"/>
          <w:szCs w:val="28"/>
        </w:rPr>
        <w:t>хоча б однієї із сторін має бути досягнуто згоди». Таким чином, істотні умови можуть визначатися виключно законом, а не підзаконним актом. При цьому не враховуються вимоги пункту 7 частини першої статті 92 Конституції України, де чітко визначено, що виключно законами України визначаються правовий режим власності (правовий режим власності охоплює порядок відчуження об’єкта права власності).</w:t>
      </w:r>
    </w:p>
    <w:p w:rsidR="001D49EE" w:rsidRPr="001D49EE" w:rsidRDefault="001D49EE" w:rsidP="001D49EE">
      <w:pPr>
        <w:pStyle w:val="a3"/>
        <w:spacing w:after="0" w:line="240" w:lineRule="auto"/>
        <w:ind w:left="0" w:firstLine="709"/>
        <w:jc w:val="both"/>
      </w:pPr>
      <w:r w:rsidRPr="008B035D">
        <w:t>Іншим неоднозначним аспектом зазначеного вище положення проекту є його спрямованість на обмеження</w:t>
      </w:r>
      <w:r w:rsidRPr="001D49EE">
        <w:t xml:space="preserve"> таких фундаментальних принципів цивільного та господарського права як: 1) принцип свободи договору та 2) принцип свободи підприємницької діяльності, яка не заборонена законом. Так, за загальним правилом, сторони є вільними в 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 (частина перша статті 627 ЦК України). Тобто, констатується принцип свободи договору, за яким ніхто не може бути примушеним вступати в договірні відносини.</w:t>
      </w:r>
    </w:p>
    <w:p w:rsidR="001D49EE" w:rsidRPr="001D49EE" w:rsidRDefault="001D49EE" w:rsidP="001D49EE">
      <w:pPr>
        <w:ind w:firstLine="709"/>
        <w:jc w:val="both"/>
        <w:rPr>
          <w:rFonts w:ascii="Times New Roman" w:hAnsi="Times New Roman" w:cs="Times New Roman"/>
          <w:sz w:val="28"/>
          <w:szCs w:val="28"/>
        </w:rPr>
      </w:pPr>
      <w:r w:rsidRPr="008B035D">
        <w:rPr>
          <w:rFonts w:ascii="Times New Roman" w:hAnsi="Times New Roman" w:cs="Times New Roman"/>
          <w:sz w:val="28"/>
          <w:szCs w:val="28"/>
        </w:rPr>
        <w:t xml:space="preserve">Разом із тим, відповідно до частини третьої статті 179 Господарського кодексу України 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випадках, передбачених законом, або існує пряма </w:t>
      </w:r>
      <w:r w:rsidRPr="008B035D">
        <w:rPr>
          <w:rFonts w:ascii="Times New Roman" w:hAnsi="Times New Roman" w:cs="Times New Roman"/>
          <w:sz w:val="28"/>
          <w:szCs w:val="28"/>
        </w:rPr>
        <w:lastRenderedPageBreak/>
        <w:t>вказівка закону щодо обов'язковості укладення договору для певних категорій суб'єктів господарювання чи органів державної влади або органів місцевого самоврядування. Проте</w:t>
      </w:r>
      <w:r w:rsidRPr="001D49EE">
        <w:rPr>
          <w:rFonts w:ascii="Times New Roman" w:hAnsi="Times New Roman" w:cs="Times New Roman"/>
          <w:sz w:val="28"/>
          <w:szCs w:val="28"/>
        </w:rPr>
        <w:t xml:space="preserve">, така обов’язковість укладення договору повинна кореспондуватися з правовими засадами і гарантіями підприємництва, та враховувати справедливий баланс інтересів суспільства та суб’єкта господарювання, діяльність якого підлягає такому обмеженню. Це означає, що у певній сфері регулювання суспільних відносин застосування обмеження свободи договору допускається, як виняток з мотивів суспільної необхідності. Однак, ні з пояснювальної записки до проекту, ні з тексту проекту не випливає чіткої відповіді щодо необхідності втручання держави в врегулювання договірних відносин щодо контрактного виробництва крові. </w:t>
      </w:r>
    </w:p>
    <w:p w:rsidR="001D49EE" w:rsidRPr="001D49EE" w:rsidRDefault="001D49EE" w:rsidP="001D49EE">
      <w:pPr>
        <w:ind w:firstLine="709"/>
        <w:jc w:val="both"/>
        <w:rPr>
          <w:rFonts w:ascii="Times New Roman" w:hAnsi="Times New Roman" w:cs="Times New Roman"/>
          <w:sz w:val="28"/>
          <w:szCs w:val="28"/>
        </w:rPr>
      </w:pPr>
      <w:r w:rsidRPr="001D49EE">
        <w:rPr>
          <w:rFonts w:ascii="Times New Roman" w:hAnsi="Times New Roman" w:cs="Times New Roman"/>
          <w:sz w:val="28"/>
          <w:szCs w:val="28"/>
        </w:rPr>
        <w:t>Більше того, з аналізу вказаної норми можна встановити, що суб’єкти господарювання, які здійснюють виробництво препаратів крові на території України та мають можливість придбання плазми не мають обов’язку укладати з визначеними суб’єктами договір про контрактне виробництво препаратів крові з такої плазми. Відтак, відсутність у проекті чіткого критерію щодо необхідності застосування обмеження свободи договору та підприємницької діяльності виключно до однієї грипу суб’єктів господарювання свідчить про порушення частини четвертої статті 13 (щодо рівності усіх суб’єктів права власності перед законом) Конституції України.</w:t>
      </w:r>
    </w:p>
    <w:p w:rsidR="001D49EE" w:rsidRPr="001D49EE" w:rsidRDefault="001D49EE" w:rsidP="001D49EE">
      <w:pPr>
        <w:ind w:firstLine="709"/>
        <w:jc w:val="both"/>
        <w:rPr>
          <w:rFonts w:ascii="Times New Roman" w:hAnsi="Times New Roman" w:cs="Times New Roman"/>
          <w:sz w:val="28"/>
          <w:szCs w:val="28"/>
        </w:rPr>
      </w:pPr>
      <w:r w:rsidRPr="001D49EE">
        <w:rPr>
          <w:rFonts w:ascii="Times New Roman" w:hAnsi="Times New Roman" w:cs="Times New Roman"/>
          <w:sz w:val="28"/>
          <w:szCs w:val="28"/>
        </w:rPr>
        <w:t>Також, у проекті йдеться про обмеження свободи договору та підприємницької діяльності суб’єктів господарювання, що здійснюють придбання плазми для фракціонування, при цьому, визначення поняття «фракціонування» відсутнє.</w:t>
      </w:r>
    </w:p>
    <w:p w:rsidR="001D49EE" w:rsidRPr="001D49EE" w:rsidRDefault="001D49EE" w:rsidP="001D49EE">
      <w:pPr>
        <w:pStyle w:val="a3"/>
        <w:spacing w:after="0" w:line="240" w:lineRule="auto"/>
        <w:ind w:left="0" w:firstLine="709"/>
        <w:jc w:val="both"/>
      </w:pPr>
      <w:r w:rsidRPr="001D49EE">
        <w:t>Загалом наведене положення проекту через свою заплутаність та складність для сприйняття допускає множинне його тлумачення. Так, словосполучення «зобов’язані укласти з установами, закладами та відповідними підрозділами, зазначеними в частині першій цієї статті, договір про контрактне виробництво препаратів крові» не дає однозначної відповіді з яким саме суб’єктом суб’єкт господарювання повинен укласти договір. Чи це повинен бути окремий договір з кожним наведеним суб’єктом? Чи один договір з усіма суб’єктами одночасно? Чи з одним із суб’єктів (але який механізм визначення з ким існує обов’язок такого укладення)? Відтак, наведена норма допускає різне її тлумачення, і, відповідно правозастосування, чим порушує принцип правової визначеності як елемент верховенства права (стаття 8 Конституції України).</w:t>
      </w:r>
    </w:p>
    <w:p w:rsidR="001D49EE" w:rsidRPr="001D49EE" w:rsidRDefault="001D49EE" w:rsidP="001D49EE">
      <w:pPr>
        <w:ind w:firstLine="709"/>
        <w:jc w:val="both"/>
        <w:rPr>
          <w:rFonts w:ascii="Times New Roman" w:hAnsi="Times New Roman" w:cs="Times New Roman"/>
          <w:color w:val="000000"/>
          <w:sz w:val="28"/>
          <w:szCs w:val="28"/>
        </w:rPr>
      </w:pPr>
      <w:r w:rsidRPr="001D49EE">
        <w:rPr>
          <w:rFonts w:ascii="Times New Roman" w:hAnsi="Times New Roman" w:cs="Times New Roman"/>
          <w:color w:val="000000"/>
          <w:sz w:val="28"/>
          <w:szCs w:val="28"/>
        </w:rPr>
        <w:t>Не сприяє правовій визначеності і вживання у аналізованій нормі словосполучення «</w:t>
      </w:r>
      <w:r w:rsidRPr="001D49EE">
        <w:rPr>
          <w:rFonts w:ascii="Times New Roman" w:hAnsi="Times New Roman" w:cs="Times New Roman"/>
          <w:sz w:val="28"/>
          <w:szCs w:val="28"/>
        </w:rPr>
        <w:t xml:space="preserve">вироблених на замовленнях цих установ, закладів та відповідних підрозділів препаратів». Так, у разі, якщо загалом пропонована норма спрямована на регулювання відносин щодо публічних </w:t>
      </w:r>
      <w:proofErr w:type="spellStart"/>
      <w:r w:rsidRPr="001D49EE">
        <w:rPr>
          <w:rFonts w:ascii="Times New Roman" w:hAnsi="Times New Roman" w:cs="Times New Roman"/>
          <w:sz w:val="28"/>
          <w:szCs w:val="28"/>
        </w:rPr>
        <w:t>закупівель</w:t>
      </w:r>
      <w:proofErr w:type="spellEnd"/>
      <w:r w:rsidRPr="001D49EE">
        <w:rPr>
          <w:rFonts w:ascii="Times New Roman" w:hAnsi="Times New Roman" w:cs="Times New Roman"/>
          <w:sz w:val="28"/>
          <w:szCs w:val="28"/>
        </w:rPr>
        <w:t xml:space="preserve">, то обов’язок укладення договору прямо передбачений у частині третій статті 179 ГК України, а тому наведене законодавче дублювання щодо укладення договору </w:t>
      </w:r>
      <w:r w:rsidR="00474B6D">
        <w:rPr>
          <w:rFonts w:ascii="Times New Roman" w:hAnsi="Times New Roman" w:cs="Times New Roman"/>
          <w:sz w:val="28"/>
          <w:szCs w:val="28"/>
        </w:rPr>
        <w:t xml:space="preserve">фактично </w:t>
      </w:r>
      <w:r w:rsidRPr="001D49EE">
        <w:rPr>
          <w:rFonts w:ascii="Times New Roman" w:hAnsi="Times New Roman" w:cs="Times New Roman"/>
          <w:sz w:val="28"/>
          <w:szCs w:val="28"/>
        </w:rPr>
        <w:t xml:space="preserve">лише </w:t>
      </w:r>
      <w:r w:rsidR="00474B6D">
        <w:rPr>
          <w:rFonts w:ascii="Times New Roman" w:hAnsi="Times New Roman" w:cs="Times New Roman"/>
          <w:sz w:val="28"/>
          <w:szCs w:val="28"/>
        </w:rPr>
        <w:t>«</w:t>
      </w:r>
      <w:proofErr w:type="spellStart"/>
      <w:r w:rsidRPr="001D49EE">
        <w:rPr>
          <w:rFonts w:ascii="Times New Roman" w:hAnsi="Times New Roman" w:cs="Times New Roman"/>
          <w:sz w:val="28"/>
          <w:szCs w:val="28"/>
        </w:rPr>
        <w:t>розрегульовує</w:t>
      </w:r>
      <w:proofErr w:type="spellEnd"/>
      <w:r w:rsidR="00474B6D">
        <w:rPr>
          <w:rFonts w:ascii="Times New Roman" w:hAnsi="Times New Roman" w:cs="Times New Roman"/>
          <w:sz w:val="28"/>
          <w:szCs w:val="28"/>
        </w:rPr>
        <w:t>»</w:t>
      </w:r>
      <w:r w:rsidRPr="001D49EE">
        <w:rPr>
          <w:rFonts w:ascii="Times New Roman" w:hAnsi="Times New Roman" w:cs="Times New Roman"/>
          <w:sz w:val="28"/>
          <w:szCs w:val="28"/>
        </w:rPr>
        <w:t xml:space="preserve"> правовідносини.  </w:t>
      </w:r>
    </w:p>
    <w:p w:rsidR="001D49EE" w:rsidRPr="001D49EE" w:rsidRDefault="001D49EE" w:rsidP="001D49EE">
      <w:pPr>
        <w:ind w:firstLine="709"/>
        <w:jc w:val="both"/>
        <w:rPr>
          <w:rFonts w:ascii="Times New Roman" w:hAnsi="Times New Roman" w:cs="Times New Roman"/>
          <w:sz w:val="28"/>
          <w:szCs w:val="28"/>
        </w:rPr>
      </w:pPr>
      <w:r w:rsidRPr="001D49EE">
        <w:rPr>
          <w:rFonts w:ascii="Times New Roman" w:hAnsi="Times New Roman" w:cs="Times New Roman"/>
          <w:color w:val="000000"/>
          <w:sz w:val="28"/>
          <w:szCs w:val="28"/>
        </w:rPr>
        <w:t>Звертаємо увагу, що</w:t>
      </w:r>
      <w:r w:rsidRPr="001D49EE">
        <w:rPr>
          <w:rFonts w:ascii="Times New Roman" w:hAnsi="Times New Roman" w:cs="Times New Roman"/>
          <w:sz w:val="28"/>
          <w:szCs w:val="28"/>
        </w:rPr>
        <w:t xml:space="preserve"> у рішеннях Конституційного Суду України неодноразово наголошувалося, що принципи правової визначеності, ясності і недвозначності правової норми є визначальними елементами верховенства </w:t>
      </w:r>
      <w:r w:rsidRPr="001D49EE">
        <w:rPr>
          <w:rFonts w:ascii="Times New Roman" w:hAnsi="Times New Roman" w:cs="Times New Roman"/>
          <w:sz w:val="28"/>
          <w:szCs w:val="28"/>
        </w:rPr>
        <w:lastRenderedPageBreak/>
        <w:t>права, оскільки інше дає підстави для довільних тлумачень законодавчих норм та створює підґрунтя для порушення прав учасників правовідносин (абзац другий підпункту 5.4 пункту 5 мотивувальної частини Рішення Конституційного Суду України від 22.09.2005 року №5, від 29.06.2010 року №17-рп, від 11.10.2011 року №10-рп.). Відповідно до Рішення Конституційного Суду України від 11.10.2018 року №7-р невідповідність законодавчих положень критерію якості дає підстави для визнання їх неконституційними.</w:t>
      </w:r>
    </w:p>
    <w:p w:rsidR="001D49EE" w:rsidRDefault="001D49EE" w:rsidP="001D49EE">
      <w:pPr>
        <w:pStyle w:val="a3"/>
        <w:spacing w:after="0" w:line="240" w:lineRule="auto"/>
        <w:ind w:left="0" w:firstLine="709"/>
        <w:jc w:val="both"/>
      </w:pPr>
      <w:r w:rsidRPr="001D49EE">
        <w:t xml:space="preserve">Окремо слід звернути увагу на той факт, що </w:t>
      </w:r>
      <w:proofErr w:type="spellStart"/>
      <w:r>
        <w:rPr>
          <w:lang w:val="ru-RU"/>
        </w:rPr>
        <w:t>пропоновані</w:t>
      </w:r>
      <w:proofErr w:type="spellEnd"/>
      <w:r>
        <w:rPr>
          <w:lang w:val="ru-RU"/>
        </w:rPr>
        <w:t xml:space="preserve"> законопрое</w:t>
      </w:r>
      <w:r w:rsidR="00CF4516">
        <w:rPr>
          <w:lang w:val="ru-RU"/>
        </w:rPr>
        <w:t>к</w:t>
      </w:r>
      <w:r>
        <w:rPr>
          <w:lang w:val="ru-RU"/>
        </w:rPr>
        <w:t xml:space="preserve">том </w:t>
      </w:r>
      <w:proofErr w:type="spellStart"/>
      <w:r>
        <w:rPr>
          <w:lang w:val="ru-RU"/>
        </w:rPr>
        <w:t>положення</w:t>
      </w:r>
      <w:proofErr w:type="spellEnd"/>
      <w:r>
        <w:rPr>
          <w:lang w:val="ru-RU"/>
        </w:rPr>
        <w:t xml:space="preserve"> </w:t>
      </w:r>
      <w:proofErr w:type="spellStart"/>
      <w:r>
        <w:rPr>
          <w:lang w:val="ru-RU"/>
        </w:rPr>
        <w:t>частини</w:t>
      </w:r>
      <w:proofErr w:type="spellEnd"/>
      <w:r>
        <w:rPr>
          <w:lang w:val="ru-RU"/>
        </w:rPr>
        <w:t xml:space="preserve"> </w:t>
      </w:r>
      <w:proofErr w:type="spellStart"/>
      <w:r>
        <w:rPr>
          <w:lang w:val="ru-RU"/>
        </w:rPr>
        <w:t>третьої</w:t>
      </w:r>
      <w:proofErr w:type="spellEnd"/>
      <w:r>
        <w:rPr>
          <w:lang w:val="ru-RU"/>
        </w:rPr>
        <w:t xml:space="preserve"> </w:t>
      </w:r>
      <w:proofErr w:type="spellStart"/>
      <w:r>
        <w:rPr>
          <w:lang w:val="ru-RU"/>
        </w:rPr>
        <w:t>статті</w:t>
      </w:r>
      <w:proofErr w:type="spellEnd"/>
      <w:r>
        <w:rPr>
          <w:lang w:val="ru-RU"/>
        </w:rPr>
        <w:t xml:space="preserve"> 15</w:t>
      </w:r>
      <w:r>
        <w:t xml:space="preserve"> за предметом регулювання не відносяться до цієї статті, та й загалом </w:t>
      </w:r>
      <w:r w:rsidRPr="001D49EE">
        <w:t>законодавче регулювання договірних відносин не є предметом Закону України «Про донорство крові та її компонентів», а тому ідея передбачення договору про контрактне виробництво крові та обов’язку його укладення в цьому Законі, видається суперечливою</w:t>
      </w:r>
      <w:r w:rsidR="00AB3FB8">
        <w:t>;</w:t>
      </w:r>
    </w:p>
    <w:p w:rsidR="00AB0FBF" w:rsidRPr="001D49EE" w:rsidRDefault="001D49EE" w:rsidP="001D49EE">
      <w:pPr>
        <w:ind w:firstLine="709"/>
        <w:jc w:val="both"/>
        <w:rPr>
          <w:rFonts w:ascii="Times New Roman" w:hAnsi="Times New Roman" w:cs="Times New Roman"/>
          <w:sz w:val="28"/>
          <w:szCs w:val="28"/>
        </w:rPr>
      </w:pPr>
      <w:r w:rsidRPr="001D49EE">
        <w:rPr>
          <w:rStyle w:val="rvts0"/>
          <w:rFonts w:ascii="Times New Roman" w:hAnsi="Times New Roman"/>
          <w:sz w:val="28"/>
          <w:szCs w:val="28"/>
        </w:rPr>
        <w:t>3)</w:t>
      </w:r>
      <w:r w:rsidR="00AB3FB8">
        <w:rPr>
          <w:rStyle w:val="rvts0"/>
          <w:rFonts w:ascii="Times New Roman" w:hAnsi="Times New Roman"/>
          <w:sz w:val="28"/>
          <w:szCs w:val="28"/>
        </w:rPr>
        <w:t> </w:t>
      </w:r>
      <w:r w:rsidRPr="001D49EE">
        <w:rPr>
          <w:rStyle w:val="rvts0"/>
          <w:rFonts w:ascii="Times New Roman" w:hAnsi="Times New Roman"/>
          <w:sz w:val="28"/>
          <w:szCs w:val="28"/>
        </w:rPr>
        <w:t>з</w:t>
      </w:r>
      <w:r w:rsidR="00D50246" w:rsidRPr="001D49EE">
        <w:rPr>
          <w:rStyle w:val="rvts0"/>
          <w:rFonts w:ascii="Times New Roman" w:hAnsi="Times New Roman"/>
          <w:sz w:val="28"/>
          <w:szCs w:val="28"/>
        </w:rPr>
        <w:t xml:space="preserve">мінами до статті 22 Закону України </w:t>
      </w:r>
      <w:r w:rsidR="00D50246" w:rsidRPr="001D49EE">
        <w:rPr>
          <w:rFonts w:ascii="Times New Roman" w:hAnsi="Times New Roman" w:cs="Times New Roman"/>
          <w:sz w:val="28"/>
          <w:szCs w:val="28"/>
        </w:rPr>
        <w:t xml:space="preserve">«Про донорство крові та її компонентів» </w:t>
      </w:r>
      <w:r w:rsidR="00346A0B" w:rsidRPr="001D49EE">
        <w:rPr>
          <w:rFonts w:ascii="Times New Roman" w:hAnsi="Times New Roman" w:cs="Times New Roman"/>
          <w:sz w:val="28"/>
          <w:szCs w:val="28"/>
        </w:rPr>
        <w:t xml:space="preserve">в інший спосіб, ніж це передбачено чинним Законом, викладаються </w:t>
      </w:r>
      <w:r w:rsidR="00D50246" w:rsidRPr="001D49EE">
        <w:rPr>
          <w:rFonts w:ascii="Times New Roman" w:hAnsi="Times New Roman" w:cs="Times New Roman"/>
          <w:sz w:val="28"/>
          <w:szCs w:val="28"/>
        </w:rPr>
        <w:t>підстави для вивезення донорської крові та її компонентів за межі України</w:t>
      </w:r>
      <w:r w:rsidR="00346A0B" w:rsidRPr="001D49EE">
        <w:rPr>
          <w:rFonts w:ascii="Times New Roman" w:hAnsi="Times New Roman" w:cs="Times New Roman"/>
          <w:sz w:val="28"/>
          <w:szCs w:val="28"/>
        </w:rPr>
        <w:t>. Зокрема, частина друга чинного Закону передбачає</w:t>
      </w:r>
      <w:r w:rsidR="002B5A79" w:rsidRPr="001D49EE">
        <w:rPr>
          <w:rFonts w:ascii="Times New Roman" w:hAnsi="Times New Roman" w:cs="Times New Roman"/>
          <w:sz w:val="28"/>
          <w:szCs w:val="28"/>
        </w:rPr>
        <w:t xml:space="preserve">, що донорська кров та її компоненти можуть бути вивезені за межі України для одержання з них препаратів, які в Україні не виготовляються чи виготовляються в недостатній кількості, за умови необхідності цих препаратів для потреб системи охорони здоров’я держави і обов’язкового повернення їх в Україну або в обмін на нові технології виробництва препаратів з донорської крові в </w:t>
      </w:r>
      <w:hyperlink r:id="rId7" w:tgtFrame="_blank" w:history="1">
        <w:r w:rsidR="002B5A79" w:rsidRPr="001D49EE">
          <w:rPr>
            <w:rFonts w:ascii="Times New Roman" w:hAnsi="Times New Roman" w:cs="Times New Roman"/>
            <w:sz w:val="28"/>
            <w:szCs w:val="28"/>
          </w:rPr>
          <w:t>порядку</w:t>
        </w:r>
      </w:hyperlink>
      <w:r w:rsidR="002B5A79" w:rsidRPr="001D49EE">
        <w:rPr>
          <w:rFonts w:ascii="Times New Roman" w:hAnsi="Times New Roman" w:cs="Times New Roman"/>
          <w:sz w:val="28"/>
          <w:szCs w:val="28"/>
        </w:rPr>
        <w:t>, що встановлюється Кабінетом Міністрів України відповідно до міжнародних норм щодо експорту та імпорту крові.</w:t>
      </w:r>
    </w:p>
    <w:p w:rsidR="002B5A79" w:rsidRPr="001D49EE" w:rsidRDefault="002B5A79" w:rsidP="001D49EE">
      <w:pPr>
        <w:ind w:firstLine="709"/>
        <w:jc w:val="both"/>
        <w:rPr>
          <w:rFonts w:ascii="Times New Roman" w:hAnsi="Times New Roman" w:cs="Times New Roman"/>
          <w:sz w:val="28"/>
          <w:szCs w:val="28"/>
        </w:rPr>
      </w:pPr>
      <w:r w:rsidRPr="001D49EE">
        <w:rPr>
          <w:rFonts w:ascii="Times New Roman" w:hAnsi="Times New Roman" w:cs="Times New Roman"/>
          <w:sz w:val="28"/>
          <w:szCs w:val="28"/>
        </w:rPr>
        <w:t>Натомість у запропонованій законопроектом редакції частини першої статті 22</w:t>
      </w:r>
      <w:r w:rsidR="007175BE">
        <w:rPr>
          <w:rFonts w:ascii="Times New Roman" w:hAnsi="Times New Roman" w:cs="Times New Roman"/>
          <w:sz w:val="28"/>
          <w:szCs w:val="28"/>
        </w:rPr>
        <w:t xml:space="preserve"> йдеться про </w:t>
      </w:r>
      <w:r w:rsidRPr="001D49EE">
        <w:rPr>
          <w:rFonts w:ascii="Times New Roman" w:hAnsi="Times New Roman" w:cs="Times New Roman"/>
          <w:sz w:val="28"/>
          <w:szCs w:val="28"/>
        </w:rPr>
        <w:t>«вивезення за межі України донорської крові та її компоненті може бути здійснено…для виготовлення із них препаратів крові на умовах контрактного виробництва з</w:t>
      </w:r>
      <w:r w:rsidR="00CF4516">
        <w:rPr>
          <w:rFonts w:ascii="Times New Roman" w:hAnsi="Times New Roman" w:cs="Times New Roman"/>
          <w:sz w:val="28"/>
          <w:szCs w:val="28"/>
        </w:rPr>
        <w:t xml:space="preserve"> обов’язковим їх поверненням (</w:t>
      </w:r>
      <w:r w:rsidRPr="001D49EE">
        <w:rPr>
          <w:rFonts w:ascii="Times New Roman" w:hAnsi="Times New Roman" w:cs="Times New Roman"/>
          <w:sz w:val="28"/>
          <w:szCs w:val="28"/>
        </w:rPr>
        <w:t>препаратів чи дон</w:t>
      </w:r>
      <w:r w:rsidR="00CF4516">
        <w:rPr>
          <w:rFonts w:ascii="Times New Roman" w:hAnsi="Times New Roman" w:cs="Times New Roman"/>
          <w:sz w:val="28"/>
          <w:szCs w:val="28"/>
        </w:rPr>
        <w:t>орської крові та її компонентів</w:t>
      </w:r>
      <w:r w:rsidR="0077430A">
        <w:rPr>
          <w:rFonts w:ascii="Times New Roman" w:hAnsi="Times New Roman" w:cs="Times New Roman"/>
          <w:sz w:val="28"/>
          <w:szCs w:val="28"/>
        </w:rPr>
        <w:t xml:space="preserve"> </w:t>
      </w:r>
      <w:r w:rsidR="00230C93">
        <w:rPr>
          <w:rFonts w:ascii="Times New Roman" w:hAnsi="Times New Roman" w:cs="Times New Roman"/>
          <w:sz w:val="28"/>
          <w:szCs w:val="28"/>
        </w:rPr>
        <w:t>?</w:t>
      </w:r>
      <w:r w:rsidRPr="001D49EE">
        <w:rPr>
          <w:rFonts w:ascii="Times New Roman" w:hAnsi="Times New Roman" w:cs="Times New Roman"/>
          <w:sz w:val="28"/>
          <w:szCs w:val="28"/>
        </w:rPr>
        <w:t xml:space="preserve">) в Україну в разі відсутності в Україні функціонуючих виробничих </w:t>
      </w:r>
      <w:proofErr w:type="spellStart"/>
      <w:r w:rsidRPr="001D49EE">
        <w:rPr>
          <w:rFonts w:ascii="Times New Roman" w:hAnsi="Times New Roman" w:cs="Times New Roman"/>
          <w:sz w:val="28"/>
          <w:szCs w:val="28"/>
        </w:rPr>
        <w:t>потужностей</w:t>
      </w:r>
      <w:proofErr w:type="spellEnd"/>
      <w:r w:rsidRPr="001D49EE">
        <w:rPr>
          <w:rFonts w:ascii="Times New Roman" w:hAnsi="Times New Roman" w:cs="Times New Roman"/>
          <w:sz w:val="28"/>
          <w:szCs w:val="28"/>
        </w:rPr>
        <w:t xml:space="preserve"> з виробництва препаратів крові, на яких відповідні суб’єкти господарювання (?) можуть здійснювати діяльність із виробництва препаратів крові».</w:t>
      </w:r>
      <w:r w:rsidR="007175BE">
        <w:rPr>
          <w:rFonts w:ascii="Times New Roman" w:hAnsi="Times New Roman" w:cs="Times New Roman"/>
          <w:sz w:val="28"/>
          <w:szCs w:val="28"/>
        </w:rPr>
        <w:t xml:space="preserve"> Крім того пропонована редакція допускає множинність тлумачення у позначених «?» місцях.</w:t>
      </w:r>
    </w:p>
    <w:p w:rsidR="002B5A79" w:rsidRPr="008B035D" w:rsidRDefault="002B5A79" w:rsidP="001D49EE">
      <w:pPr>
        <w:ind w:firstLine="709"/>
        <w:jc w:val="both"/>
        <w:rPr>
          <w:rFonts w:ascii="Times New Roman" w:hAnsi="Times New Roman" w:cs="Times New Roman"/>
          <w:sz w:val="28"/>
          <w:szCs w:val="28"/>
        </w:rPr>
      </w:pPr>
      <w:r w:rsidRPr="001D49EE">
        <w:rPr>
          <w:rFonts w:ascii="Times New Roman" w:hAnsi="Times New Roman" w:cs="Times New Roman"/>
          <w:sz w:val="28"/>
          <w:szCs w:val="28"/>
        </w:rPr>
        <w:t xml:space="preserve">На нашу думку, у разі прийняття законопроекту як Закону у вказаній редакції та при реалізації норм цього Закону, вартість препаратів з крові та її </w:t>
      </w:r>
      <w:r w:rsidRPr="008B035D">
        <w:rPr>
          <w:rFonts w:ascii="Times New Roman" w:hAnsi="Times New Roman" w:cs="Times New Roman"/>
          <w:sz w:val="28"/>
          <w:szCs w:val="28"/>
        </w:rPr>
        <w:t xml:space="preserve">компонентів збільшиться за рахунок митних </w:t>
      </w:r>
      <w:r w:rsidR="006C67C0">
        <w:rPr>
          <w:rFonts w:ascii="Times New Roman" w:hAnsi="Times New Roman" w:cs="Times New Roman"/>
          <w:sz w:val="28"/>
          <w:szCs w:val="28"/>
        </w:rPr>
        <w:t>платежів. Вони</w:t>
      </w:r>
      <w:r w:rsidR="006C08C0" w:rsidRPr="008B035D">
        <w:rPr>
          <w:rFonts w:ascii="Times New Roman" w:hAnsi="Times New Roman" w:cs="Times New Roman"/>
          <w:sz w:val="28"/>
          <w:szCs w:val="28"/>
        </w:rPr>
        <w:t xml:space="preserve"> є обов’язковими при перетині кордон</w:t>
      </w:r>
      <w:r w:rsidR="007175BE">
        <w:rPr>
          <w:rFonts w:ascii="Times New Roman" w:hAnsi="Times New Roman" w:cs="Times New Roman"/>
          <w:sz w:val="28"/>
          <w:szCs w:val="28"/>
        </w:rPr>
        <w:t>у</w:t>
      </w:r>
      <w:r w:rsidR="006C08C0" w:rsidRPr="008B035D">
        <w:rPr>
          <w:rFonts w:ascii="Times New Roman" w:hAnsi="Times New Roman" w:cs="Times New Roman"/>
          <w:sz w:val="28"/>
          <w:szCs w:val="28"/>
        </w:rPr>
        <w:t>.</w:t>
      </w:r>
    </w:p>
    <w:p w:rsidR="006C08C0" w:rsidRPr="008B035D" w:rsidRDefault="006C08C0" w:rsidP="001D49EE">
      <w:pPr>
        <w:ind w:firstLine="709"/>
        <w:jc w:val="both"/>
        <w:rPr>
          <w:rFonts w:ascii="Times New Roman" w:hAnsi="Times New Roman" w:cs="Times New Roman"/>
          <w:sz w:val="28"/>
          <w:szCs w:val="28"/>
        </w:rPr>
      </w:pPr>
      <w:r w:rsidRPr="008B035D">
        <w:rPr>
          <w:rFonts w:ascii="Times New Roman" w:hAnsi="Times New Roman" w:cs="Times New Roman"/>
          <w:sz w:val="28"/>
          <w:szCs w:val="28"/>
        </w:rPr>
        <w:t xml:space="preserve">До того ж умова («в разі відсутності в Україні функціонуючих виробничих </w:t>
      </w:r>
      <w:proofErr w:type="spellStart"/>
      <w:r w:rsidRPr="008B035D">
        <w:rPr>
          <w:rFonts w:ascii="Times New Roman" w:hAnsi="Times New Roman" w:cs="Times New Roman"/>
          <w:sz w:val="28"/>
          <w:szCs w:val="28"/>
        </w:rPr>
        <w:t>потужностей</w:t>
      </w:r>
      <w:proofErr w:type="spellEnd"/>
      <w:r w:rsidRPr="008B035D">
        <w:rPr>
          <w:rFonts w:ascii="Times New Roman" w:hAnsi="Times New Roman" w:cs="Times New Roman"/>
          <w:sz w:val="28"/>
          <w:szCs w:val="28"/>
        </w:rPr>
        <w:t xml:space="preserve"> з виробництва») вказана таким чином, що є незрозумілим, чого </w:t>
      </w:r>
      <w:r w:rsidR="000B792E">
        <w:rPr>
          <w:rFonts w:ascii="Times New Roman" w:hAnsi="Times New Roman" w:cs="Times New Roman"/>
          <w:sz w:val="28"/>
          <w:szCs w:val="28"/>
        </w:rPr>
        <w:t xml:space="preserve">саме </w:t>
      </w:r>
      <w:r w:rsidRPr="008B035D">
        <w:rPr>
          <w:rFonts w:ascii="Times New Roman" w:hAnsi="Times New Roman" w:cs="Times New Roman"/>
          <w:sz w:val="28"/>
          <w:szCs w:val="28"/>
        </w:rPr>
        <w:t>вона стосується – вивезення за межі України донорської крові та її компонентів чи повернення препаратів крові. Така правова невизначеність може спричинити суттєве зниження обсягів препаратів крові на рин</w:t>
      </w:r>
      <w:r w:rsidR="00016ED1" w:rsidRPr="008B035D">
        <w:rPr>
          <w:rFonts w:ascii="Times New Roman" w:hAnsi="Times New Roman" w:cs="Times New Roman"/>
          <w:sz w:val="28"/>
          <w:szCs w:val="28"/>
        </w:rPr>
        <w:t xml:space="preserve">ку України, а відтак їх </w:t>
      </w:r>
      <w:r w:rsidR="000B792E" w:rsidRPr="008B035D">
        <w:rPr>
          <w:rFonts w:ascii="Times New Roman" w:hAnsi="Times New Roman" w:cs="Times New Roman"/>
          <w:sz w:val="28"/>
          <w:szCs w:val="28"/>
        </w:rPr>
        <w:t>удорожчання</w:t>
      </w:r>
      <w:r w:rsidRPr="008B035D">
        <w:rPr>
          <w:rFonts w:ascii="Times New Roman" w:hAnsi="Times New Roman" w:cs="Times New Roman"/>
          <w:sz w:val="28"/>
          <w:szCs w:val="28"/>
        </w:rPr>
        <w:t>.</w:t>
      </w:r>
    </w:p>
    <w:p w:rsidR="00825F2B" w:rsidRPr="008B035D" w:rsidRDefault="00825F2B" w:rsidP="008B035D">
      <w:pPr>
        <w:ind w:right="-142" w:firstLine="708"/>
        <w:jc w:val="both"/>
        <w:rPr>
          <w:rFonts w:ascii="Times New Roman" w:hAnsi="Times New Roman" w:cs="Times New Roman"/>
          <w:sz w:val="28"/>
          <w:szCs w:val="28"/>
        </w:rPr>
      </w:pPr>
      <w:r w:rsidRPr="008B035D">
        <w:rPr>
          <w:rFonts w:ascii="Times New Roman" w:hAnsi="Times New Roman" w:cs="Times New Roman"/>
          <w:sz w:val="28"/>
          <w:szCs w:val="28"/>
        </w:rPr>
        <w:t xml:space="preserve">Вважаємо, що питання належного забезпечення донорською </w:t>
      </w:r>
      <w:r w:rsidR="00250A57" w:rsidRPr="008B035D">
        <w:rPr>
          <w:rFonts w:ascii="Times New Roman" w:hAnsi="Times New Roman" w:cs="Times New Roman"/>
          <w:sz w:val="28"/>
          <w:szCs w:val="28"/>
        </w:rPr>
        <w:t>кров’ю</w:t>
      </w:r>
      <w:r w:rsidRPr="008B035D">
        <w:rPr>
          <w:rFonts w:ascii="Times New Roman" w:hAnsi="Times New Roman" w:cs="Times New Roman"/>
          <w:sz w:val="28"/>
          <w:szCs w:val="28"/>
        </w:rPr>
        <w:t xml:space="preserve">, її компонентами та препаратами з нею можливо вирішити не </w:t>
      </w:r>
      <w:r w:rsidR="00250A57" w:rsidRPr="008B035D">
        <w:rPr>
          <w:rFonts w:ascii="Times New Roman" w:hAnsi="Times New Roman" w:cs="Times New Roman"/>
          <w:sz w:val="28"/>
          <w:szCs w:val="28"/>
        </w:rPr>
        <w:t>численними</w:t>
      </w:r>
      <w:r w:rsidRPr="008B035D">
        <w:rPr>
          <w:rFonts w:ascii="Times New Roman" w:hAnsi="Times New Roman" w:cs="Times New Roman"/>
          <w:sz w:val="28"/>
          <w:szCs w:val="28"/>
        </w:rPr>
        <w:t xml:space="preserve"> змінами </w:t>
      </w:r>
      <w:r w:rsidRPr="008B035D">
        <w:rPr>
          <w:rFonts w:ascii="Times New Roman" w:hAnsi="Times New Roman" w:cs="Times New Roman"/>
          <w:sz w:val="28"/>
          <w:szCs w:val="28"/>
        </w:rPr>
        <w:lastRenderedPageBreak/>
        <w:t>до законодавства,</w:t>
      </w:r>
      <w:r w:rsidR="00E07E5B" w:rsidRPr="008B035D">
        <w:rPr>
          <w:rFonts w:ascii="Times New Roman" w:hAnsi="Times New Roman" w:cs="Times New Roman"/>
          <w:sz w:val="28"/>
          <w:szCs w:val="28"/>
        </w:rPr>
        <w:t xml:space="preserve"> зокрема,</w:t>
      </w:r>
      <w:r w:rsidRPr="008B035D">
        <w:rPr>
          <w:rFonts w:ascii="Times New Roman" w:hAnsi="Times New Roman" w:cs="Times New Roman"/>
          <w:sz w:val="28"/>
          <w:szCs w:val="28"/>
        </w:rPr>
        <w:t xml:space="preserve"> спрямованими на мо</w:t>
      </w:r>
      <w:r w:rsidR="00E07E5B" w:rsidRPr="008B035D">
        <w:rPr>
          <w:rFonts w:ascii="Times New Roman" w:hAnsi="Times New Roman" w:cs="Times New Roman"/>
          <w:sz w:val="28"/>
          <w:szCs w:val="28"/>
        </w:rPr>
        <w:t xml:space="preserve">жливість їх вивезення «в разі відсутності в Україні функціонуючих виробничих </w:t>
      </w:r>
      <w:proofErr w:type="spellStart"/>
      <w:r w:rsidR="00E07E5B" w:rsidRPr="008B035D">
        <w:rPr>
          <w:rFonts w:ascii="Times New Roman" w:hAnsi="Times New Roman" w:cs="Times New Roman"/>
          <w:sz w:val="28"/>
          <w:szCs w:val="28"/>
        </w:rPr>
        <w:t>потужностей</w:t>
      </w:r>
      <w:proofErr w:type="spellEnd"/>
      <w:r w:rsidR="00E07E5B" w:rsidRPr="008B035D">
        <w:rPr>
          <w:rFonts w:ascii="Times New Roman" w:hAnsi="Times New Roman" w:cs="Times New Roman"/>
          <w:sz w:val="28"/>
          <w:szCs w:val="28"/>
        </w:rPr>
        <w:t xml:space="preserve"> з виробництва», а шляхом розробки та затвердження рекомендацій щодо належної практики для підтримки вимог до системи якості для закладів служби крові, як це передбачено Директивою 2005/62/ЄС від 30 вересня 2005 року «Про імплементацію Директиви Європейського Парламенту і Ради 2002/98/ЄC стосовно стандартів і специфікацій Співтовариства, пов’язаних із системою якості для закладів служби крові»</w:t>
      </w:r>
      <w:r w:rsidR="00AB3FB8" w:rsidRPr="008B035D">
        <w:rPr>
          <w:rFonts w:ascii="Times New Roman" w:hAnsi="Times New Roman" w:cs="Times New Roman"/>
          <w:sz w:val="28"/>
          <w:szCs w:val="28"/>
        </w:rPr>
        <w:t>.</w:t>
      </w:r>
    </w:p>
    <w:tbl>
      <w:tblPr>
        <w:tblW w:w="15885" w:type="dxa"/>
        <w:tblLayout w:type="fixed"/>
        <w:tblCellMar>
          <w:left w:w="72" w:type="dxa"/>
          <w:right w:w="72" w:type="dxa"/>
        </w:tblCellMar>
        <w:tblLook w:val="0000" w:firstRow="0" w:lastRow="0" w:firstColumn="0" w:lastColumn="0" w:noHBand="0" w:noVBand="0"/>
      </w:tblPr>
      <w:tblGrid>
        <w:gridCol w:w="15885"/>
      </w:tblGrid>
      <w:tr w:rsidR="008B035D" w:rsidRPr="008B035D" w:rsidTr="007A432F">
        <w:tc>
          <w:tcPr>
            <w:tcW w:w="15885" w:type="dxa"/>
          </w:tcPr>
          <w:p w:rsidR="008B035D" w:rsidRDefault="008B035D" w:rsidP="008B035D">
            <w:pPr>
              <w:ind w:right="-142"/>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A23F7" w:rsidRPr="008B035D">
              <w:rPr>
                <w:rFonts w:ascii="Times New Roman" w:hAnsi="Times New Roman" w:cs="Times New Roman"/>
                <w:sz w:val="28"/>
                <w:szCs w:val="28"/>
              </w:rPr>
              <w:t>4) не відповідає вимогам юридичної визначеності</w:t>
            </w:r>
            <w:r w:rsidRPr="008B035D">
              <w:rPr>
                <w:rFonts w:ascii="Times New Roman" w:hAnsi="Times New Roman" w:cs="Times New Roman"/>
                <w:sz w:val="28"/>
                <w:szCs w:val="28"/>
              </w:rPr>
              <w:t xml:space="preserve"> й доповнення  до </w:t>
            </w:r>
            <w:r w:rsidRPr="008B035D">
              <w:rPr>
                <w:rFonts w:ascii="Times New Roman" w:eastAsia="Times New Roman" w:hAnsi="Times New Roman" w:cs="Times New Roman"/>
                <w:sz w:val="28"/>
                <w:szCs w:val="28"/>
              </w:rPr>
              <w:t xml:space="preserve">статті 31 </w:t>
            </w:r>
          </w:p>
          <w:p w:rsidR="008B035D" w:rsidRDefault="008B035D" w:rsidP="008B035D">
            <w:pPr>
              <w:ind w:right="-142"/>
              <w:rPr>
                <w:rFonts w:ascii="Times New Roman" w:eastAsia="Times New Roman" w:hAnsi="Times New Roman" w:cs="Times New Roman"/>
                <w:sz w:val="28"/>
                <w:szCs w:val="28"/>
              </w:rPr>
            </w:pPr>
            <w:r w:rsidRPr="008B035D">
              <w:rPr>
                <w:rFonts w:ascii="Times New Roman" w:eastAsia="Times New Roman" w:hAnsi="Times New Roman" w:cs="Times New Roman"/>
                <w:sz w:val="28"/>
                <w:szCs w:val="28"/>
              </w:rPr>
              <w:t xml:space="preserve">Закону України «Про охорону прав на винаходи і корисні моделі» </w:t>
            </w:r>
            <w:r>
              <w:rPr>
                <w:rFonts w:ascii="Times New Roman" w:eastAsia="Times New Roman" w:hAnsi="Times New Roman" w:cs="Times New Roman"/>
                <w:sz w:val="28"/>
                <w:szCs w:val="28"/>
              </w:rPr>
              <w:t xml:space="preserve">в частині </w:t>
            </w:r>
          </w:p>
          <w:p w:rsidR="008B035D" w:rsidRDefault="008B035D" w:rsidP="008B035D">
            <w:pPr>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застосування незрозумілого критерію – «</w:t>
            </w:r>
            <w:r w:rsidRPr="008B035D">
              <w:rPr>
                <w:rFonts w:ascii="Times New Roman" w:eastAsia="Times New Roman" w:hAnsi="Times New Roman" w:cs="Times New Roman"/>
                <w:sz w:val="28"/>
                <w:szCs w:val="28"/>
                <w:lang w:eastAsia="ru-RU"/>
              </w:rPr>
              <w:t xml:space="preserve">для досліджень та/або використання </w:t>
            </w:r>
          </w:p>
          <w:p w:rsidR="008B035D" w:rsidRDefault="008B035D" w:rsidP="008B035D">
            <w:pPr>
              <w:ind w:right="-142"/>
              <w:rPr>
                <w:rFonts w:ascii="Times New Roman" w:eastAsia="Times New Roman" w:hAnsi="Times New Roman" w:cs="Times New Roman"/>
                <w:sz w:val="28"/>
                <w:szCs w:val="28"/>
                <w:u w:val="single"/>
                <w:lang w:eastAsia="ru-RU"/>
              </w:rPr>
            </w:pPr>
            <w:r w:rsidRPr="008B035D">
              <w:rPr>
                <w:rFonts w:ascii="Times New Roman" w:eastAsia="Times New Roman" w:hAnsi="Times New Roman" w:cs="Times New Roman"/>
                <w:sz w:val="28"/>
                <w:szCs w:val="28"/>
                <w:lang w:eastAsia="ru-RU"/>
              </w:rPr>
              <w:t xml:space="preserve">винаходу (корисної моделі) у дослідженнях, </w:t>
            </w:r>
            <w:r w:rsidRPr="008B035D">
              <w:rPr>
                <w:rFonts w:ascii="Times New Roman" w:eastAsia="Times New Roman" w:hAnsi="Times New Roman" w:cs="Times New Roman"/>
                <w:sz w:val="28"/>
                <w:szCs w:val="28"/>
                <w:u w:val="single"/>
                <w:lang w:eastAsia="ru-RU"/>
              </w:rPr>
              <w:t xml:space="preserve">що проводяться з метою підготовки </w:t>
            </w:r>
          </w:p>
          <w:p w:rsidR="008B035D" w:rsidRPr="008B035D" w:rsidRDefault="008B035D" w:rsidP="008B035D">
            <w:pPr>
              <w:ind w:right="-142"/>
              <w:rPr>
                <w:rFonts w:ascii="Times New Roman" w:eastAsia="Times New Roman" w:hAnsi="Times New Roman" w:cs="Times New Roman"/>
                <w:sz w:val="28"/>
                <w:szCs w:val="28"/>
              </w:rPr>
            </w:pPr>
            <w:r w:rsidRPr="008B035D">
              <w:rPr>
                <w:rFonts w:ascii="Times New Roman" w:eastAsia="Times New Roman" w:hAnsi="Times New Roman" w:cs="Times New Roman"/>
                <w:sz w:val="28"/>
                <w:szCs w:val="28"/>
                <w:u w:val="single"/>
                <w:lang w:eastAsia="ru-RU"/>
              </w:rPr>
              <w:t>та</w:t>
            </w:r>
            <w:r>
              <w:rPr>
                <w:rFonts w:ascii="Times New Roman" w:eastAsia="Times New Roman" w:hAnsi="Times New Roman" w:cs="Times New Roman"/>
                <w:sz w:val="28"/>
                <w:szCs w:val="28"/>
                <w:u w:val="single"/>
                <w:lang w:eastAsia="ru-RU"/>
              </w:rPr>
              <w:t xml:space="preserve"> </w:t>
            </w:r>
            <w:r w:rsidRPr="008B035D">
              <w:rPr>
                <w:rFonts w:ascii="Times New Roman" w:eastAsia="Times New Roman" w:hAnsi="Times New Roman" w:cs="Times New Roman"/>
                <w:sz w:val="28"/>
                <w:szCs w:val="28"/>
                <w:u w:val="single"/>
                <w:lang w:eastAsia="ru-RU"/>
              </w:rPr>
              <w:t xml:space="preserve"> подання інформації для реєстрації лікарського</w:t>
            </w:r>
            <w:r w:rsidRPr="008B035D">
              <w:rPr>
                <w:rFonts w:ascii="Times New Roman" w:eastAsia="Times New Roman" w:hAnsi="Times New Roman" w:cs="Times New Roman"/>
                <w:sz w:val="28"/>
                <w:szCs w:val="28"/>
                <w:lang w:eastAsia="ru-RU"/>
              </w:rPr>
              <w:t xml:space="preserve"> </w:t>
            </w:r>
            <w:r w:rsidRPr="008B035D">
              <w:rPr>
                <w:rFonts w:ascii="Times New Roman" w:eastAsia="Times New Roman" w:hAnsi="Times New Roman" w:cs="Times New Roman"/>
                <w:sz w:val="28"/>
                <w:szCs w:val="28"/>
                <w:u w:val="single"/>
                <w:lang w:eastAsia="ru-RU"/>
              </w:rPr>
              <w:t>засобу</w:t>
            </w:r>
            <w:r>
              <w:rPr>
                <w:rFonts w:ascii="Times New Roman" w:eastAsia="Times New Roman" w:hAnsi="Times New Roman" w:cs="Times New Roman"/>
                <w:sz w:val="28"/>
                <w:szCs w:val="28"/>
                <w:u w:val="single"/>
                <w:lang w:eastAsia="ru-RU"/>
              </w:rPr>
              <w:t>»</w:t>
            </w:r>
            <w:r w:rsidRPr="008B035D">
              <w:rPr>
                <w:rFonts w:ascii="Times New Roman" w:eastAsia="Times New Roman" w:hAnsi="Times New Roman" w:cs="Times New Roman"/>
                <w:sz w:val="28"/>
                <w:szCs w:val="28"/>
                <w:lang w:eastAsia="ru-RU"/>
              </w:rPr>
              <w:t>.</w:t>
            </w:r>
          </w:p>
        </w:tc>
      </w:tr>
      <w:tr w:rsidR="008B035D" w:rsidRPr="008B035D" w:rsidTr="007A432F">
        <w:tc>
          <w:tcPr>
            <w:tcW w:w="15885" w:type="dxa"/>
          </w:tcPr>
          <w:p w:rsidR="008B035D" w:rsidRPr="008B035D" w:rsidRDefault="008B035D" w:rsidP="008B035D">
            <w:pPr>
              <w:ind w:right="-142"/>
              <w:rPr>
                <w:rFonts w:ascii="Times New Roman" w:eastAsia="Times New Roman" w:hAnsi="Times New Roman" w:cs="Times New Roman"/>
                <w:sz w:val="28"/>
                <w:szCs w:val="28"/>
              </w:rPr>
            </w:pPr>
          </w:p>
        </w:tc>
      </w:tr>
    </w:tbl>
    <w:p w:rsidR="006C08C0" w:rsidRPr="008B035D" w:rsidRDefault="00825F2B" w:rsidP="001D49EE">
      <w:pPr>
        <w:ind w:firstLine="709"/>
        <w:jc w:val="both"/>
        <w:rPr>
          <w:rFonts w:ascii="Times New Roman" w:hAnsi="Times New Roman" w:cs="Times New Roman"/>
          <w:sz w:val="28"/>
          <w:szCs w:val="28"/>
        </w:rPr>
      </w:pPr>
      <w:r w:rsidRPr="008B035D">
        <w:rPr>
          <w:rFonts w:ascii="Times New Roman" w:hAnsi="Times New Roman" w:cs="Times New Roman"/>
          <w:sz w:val="28"/>
          <w:szCs w:val="28"/>
        </w:rPr>
        <w:t>2. </w:t>
      </w:r>
      <w:r w:rsidR="006C08C0" w:rsidRPr="008B035D">
        <w:rPr>
          <w:rFonts w:ascii="Times New Roman" w:hAnsi="Times New Roman" w:cs="Times New Roman"/>
          <w:sz w:val="28"/>
          <w:szCs w:val="28"/>
        </w:rPr>
        <w:t>Крім того законопрое</w:t>
      </w:r>
      <w:r w:rsidR="005955F2">
        <w:rPr>
          <w:rFonts w:ascii="Times New Roman" w:hAnsi="Times New Roman" w:cs="Times New Roman"/>
          <w:sz w:val="28"/>
          <w:szCs w:val="28"/>
        </w:rPr>
        <w:t>кт викликає наступні зауваження:</w:t>
      </w:r>
    </w:p>
    <w:p w:rsidR="006C08C0" w:rsidRPr="008B035D" w:rsidRDefault="00825F2B" w:rsidP="001D49EE">
      <w:pPr>
        <w:ind w:firstLine="709"/>
        <w:jc w:val="both"/>
        <w:rPr>
          <w:rFonts w:ascii="Times New Roman" w:hAnsi="Times New Roman" w:cs="Times New Roman"/>
          <w:sz w:val="28"/>
          <w:szCs w:val="28"/>
        </w:rPr>
      </w:pPr>
      <w:r w:rsidRPr="008B035D">
        <w:rPr>
          <w:rFonts w:ascii="Times New Roman" w:hAnsi="Times New Roman" w:cs="Times New Roman"/>
          <w:sz w:val="28"/>
          <w:szCs w:val="28"/>
        </w:rPr>
        <w:t>1)</w:t>
      </w:r>
      <w:r w:rsidR="00AB3FB8" w:rsidRPr="008B035D">
        <w:rPr>
          <w:rFonts w:ascii="Times New Roman" w:hAnsi="Times New Roman" w:cs="Times New Roman"/>
          <w:sz w:val="28"/>
          <w:szCs w:val="28"/>
        </w:rPr>
        <w:t> </w:t>
      </w:r>
      <w:r w:rsidRPr="008B035D">
        <w:rPr>
          <w:rFonts w:ascii="Times New Roman" w:hAnsi="Times New Roman" w:cs="Times New Roman"/>
          <w:sz w:val="28"/>
          <w:szCs w:val="28"/>
        </w:rPr>
        <w:t>ч</w:t>
      </w:r>
      <w:r w:rsidR="006C08C0" w:rsidRPr="008B035D">
        <w:rPr>
          <w:rFonts w:ascii="Times New Roman" w:hAnsi="Times New Roman" w:cs="Times New Roman"/>
          <w:sz w:val="28"/>
          <w:szCs w:val="28"/>
        </w:rPr>
        <w:t>астину шістнадцяту статті 9 Закону України «Про лікарські засоби» пропонується доповнити новим реченням, яким передбачається, що «Посилання заявником на реєстраційну інформацію референтного/оригінального лікарського засобу та використання її у реєстраційних матеріалах, що подаються ним на реєстрацію іншого лікарського засобу, що містить ту саму діючу речовину, що й референтний/оригінальний лікарський засіб, не вважається розголошенням та недобросовісним комерційним використанням такої інформації».</w:t>
      </w:r>
    </w:p>
    <w:p w:rsidR="006C08C0" w:rsidRPr="008B035D" w:rsidRDefault="006C08C0" w:rsidP="001D49EE">
      <w:pPr>
        <w:ind w:firstLine="709"/>
        <w:jc w:val="both"/>
        <w:rPr>
          <w:rFonts w:ascii="Times New Roman" w:hAnsi="Times New Roman" w:cs="Times New Roman"/>
          <w:sz w:val="28"/>
          <w:szCs w:val="28"/>
        </w:rPr>
      </w:pPr>
      <w:r w:rsidRPr="008B035D">
        <w:rPr>
          <w:rFonts w:ascii="Times New Roman" w:hAnsi="Times New Roman" w:cs="Times New Roman"/>
          <w:sz w:val="28"/>
          <w:szCs w:val="28"/>
        </w:rPr>
        <w:t xml:space="preserve">Слід зазначити, що частиною дванадцятою статті 9 чинної редакції цього Закону визначено, що </w:t>
      </w:r>
      <w:r w:rsidR="008F3224" w:rsidRPr="008B035D">
        <w:rPr>
          <w:rFonts w:ascii="Times New Roman" w:hAnsi="Times New Roman" w:cs="Times New Roman"/>
          <w:sz w:val="28"/>
          <w:szCs w:val="28"/>
        </w:rPr>
        <w:t>«</w:t>
      </w:r>
      <w:r w:rsidR="00825F2B" w:rsidRPr="008B035D">
        <w:rPr>
          <w:rFonts w:ascii="Times New Roman" w:hAnsi="Times New Roman" w:cs="Times New Roman"/>
          <w:sz w:val="28"/>
          <w:szCs w:val="28"/>
        </w:rPr>
        <w:t>я</w:t>
      </w:r>
      <w:r w:rsidR="008F3224" w:rsidRPr="008B035D">
        <w:rPr>
          <w:rFonts w:ascii="Times New Roman" w:hAnsi="Times New Roman" w:cs="Times New Roman"/>
          <w:sz w:val="28"/>
          <w:szCs w:val="28"/>
        </w:rPr>
        <w:t xml:space="preserve">кщо лікарський засіб, зареєстрований на підставі поданої в повному обсязі (повної) реєстраційної інформації (далі - референтний/оригінальний лікарський засіб), зареєстровано в Україні вперше, державна реєстрація іншого лікарського засобу, що містить ту саму діючу речовину, що й референтний/оригінальний лікарський засіб, можлива не раніше ніж через п'ять років з дня першої реєстрації референтного/оригінального лікарського засобу в Україні, якщо інше не передбачено цією статтею. Зазначена вимога не поширюється на випадки, коли заявник </w:t>
      </w:r>
      <w:r w:rsidR="008F3224" w:rsidRPr="008B035D">
        <w:rPr>
          <w:rFonts w:ascii="Times New Roman" w:hAnsi="Times New Roman" w:cs="Times New Roman"/>
          <w:i/>
          <w:sz w:val="28"/>
          <w:szCs w:val="28"/>
        </w:rPr>
        <w:t>відповідно до закону одержав право посилатися та/або використовувати реєстраційну інформацію</w:t>
      </w:r>
      <w:r w:rsidR="008F3224" w:rsidRPr="008B035D">
        <w:rPr>
          <w:rFonts w:ascii="Times New Roman" w:hAnsi="Times New Roman" w:cs="Times New Roman"/>
          <w:sz w:val="28"/>
          <w:szCs w:val="28"/>
        </w:rPr>
        <w:t xml:space="preserve"> референтного/оригінального лікарського засобу або подав власну повну реєстраційну інформацію, що відповідає вимогам до реєстраційної інформації референтного/оригінального лікарського засобу».</w:t>
      </w:r>
    </w:p>
    <w:p w:rsidR="008F3224" w:rsidRDefault="008F3224" w:rsidP="001D49EE">
      <w:pPr>
        <w:ind w:firstLine="709"/>
        <w:jc w:val="both"/>
        <w:rPr>
          <w:rFonts w:ascii="Times New Roman" w:hAnsi="Times New Roman"/>
          <w:sz w:val="28"/>
          <w:szCs w:val="28"/>
        </w:rPr>
      </w:pPr>
      <w:r w:rsidRPr="008B035D">
        <w:rPr>
          <w:rFonts w:ascii="Times New Roman" w:hAnsi="Times New Roman" w:cs="Times New Roman"/>
          <w:sz w:val="28"/>
          <w:szCs w:val="28"/>
        </w:rPr>
        <w:t>Відтак, на нашу думку, у запропонованій законопроектом нормі має бути уточнено наявність у заявника одержаного відповідно до закону права посилатися та/</w:t>
      </w:r>
      <w:r w:rsidRPr="008F3224">
        <w:rPr>
          <w:rFonts w:ascii="Times New Roman" w:hAnsi="Times New Roman"/>
          <w:sz w:val="28"/>
          <w:szCs w:val="28"/>
        </w:rPr>
        <w:t>або використовувати реєстраційну інформацію референтного/оригінального лікарського</w:t>
      </w:r>
      <w:r w:rsidR="00AB3FB8">
        <w:rPr>
          <w:rFonts w:ascii="Times New Roman" w:hAnsi="Times New Roman"/>
          <w:sz w:val="28"/>
          <w:szCs w:val="28"/>
        </w:rPr>
        <w:t>;</w:t>
      </w:r>
    </w:p>
    <w:p w:rsidR="008F3224" w:rsidRDefault="00825F2B" w:rsidP="001D49EE">
      <w:pPr>
        <w:ind w:firstLine="709"/>
        <w:jc w:val="both"/>
        <w:rPr>
          <w:rFonts w:ascii="Times New Roman" w:hAnsi="Times New Roman"/>
          <w:sz w:val="28"/>
          <w:szCs w:val="28"/>
        </w:rPr>
      </w:pPr>
      <w:r>
        <w:rPr>
          <w:rFonts w:ascii="Times New Roman" w:hAnsi="Times New Roman"/>
          <w:sz w:val="28"/>
          <w:szCs w:val="28"/>
        </w:rPr>
        <w:t>2)</w:t>
      </w:r>
      <w:r w:rsidR="00AB3FB8">
        <w:rPr>
          <w:rFonts w:ascii="Times New Roman" w:hAnsi="Times New Roman"/>
          <w:sz w:val="28"/>
          <w:szCs w:val="28"/>
        </w:rPr>
        <w:t> </w:t>
      </w:r>
      <w:r>
        <w:rPr>
          <w:rFonts w:ascii="Times New Roman" w:hAnsi="Times New Roman"/>
          <w:sz w:val="28"/>
          <w:szCs w:val="28"/>
        </w:rPr>
        <w:t>ч</w:t>
      </w:r>
      <w:r w:rsidR="008F3224">
        <w:rPr>
          <w:rFonts w:ascii="Times New Roman" w:hAnsi="Times New Roman"/>
          <w:sz w:val="28"/>
          <w:szCs w:val="28"/>
        </w:rPr>
        <w:t>астиною восьмою статті 17 Закону України «Про лікарські засоби» у редакції законопроекту розширюється перелік осіб (шляхом заміни слів), для потреб яких</w:t>
      </w:r>
      <w:r w:rsidR="008F3224" w:rsidRPr="008F3224">
        <w:rPr>
          <w:rFonts w:ascii="Times New Roman" w:hAnsi="Times New Roman"/>
          <w:sz w:val="28"/>
          <w:szCs w:val="28"/>
        </w:rPr>
        <w:t xml:space="preserve"> дозволяється ввезення незареєстрованих в Україні лікарських засобів іноземних держав за окремим рішенням центрального органу виконавчої влади, що реалізує державну політику у сфері охорони здоров’я</w:t>
      </w:r>
      <w:r w:rsidR="008F3224">
        <w:rPr>
          <w:rFonts w:ascii="Times New Roman" w:hAnsi="Times New Roman"/>
          <w:sz w:val="28"/>
          <w:szCs w:val="28"/>
        </w:rPr>
        <w:t>.</w:t>
      </w:r>
    </w:p>
    <w:p w:rsidR="009B6E94" w:rsidRDefault="008F3224" w:rsidP="001D49EE">
      <w:pPr>
        <w:ind w:firstLine="709"/>
        <w:jc w:val="both"/>
        <w:rPr>
          <w:rFonts w:ascii="Times New Roman" w:hAnsi="Times New Roman"/>
          <w:sz w:val="28"/>
          <w:szCs w:val="28"/>
        </w:rPr>
      </w:pPr>
      <w:r>
        <w:rPr>
          <w:rFonts w:ascii="Times New Roman" w:hAnsi="Times New Roman"/>
          <w:sz w:val="28"/>
          <w:szCs w:val="28"/>
        </w:rPr>
        <w:t xml:space="preserve">Однак, запропонована законопроектом заміна слів є некоректною, оскільки </w:t>
      </w:r>
      <w:r w:rsidR="009B6E94">
        <w:rPr>
          <w:rFonts w:ascii="Times New Roman" w:hAnsi="Times New Roman"/>
          <w:sz w:val="28"/>
          <w:szCs w:val="28"/>
        </w:rPr>
        <w:t>Законом України «</w:t>
      </w:r>
      <w:r w:rsidR="009B6E94" w:rsidRPr="009B6E94">
        <w:rPr>
          <w:rFonts w:ascii="Times New Roman" w:hAnsi="Times New Roman"/>
          <w:sz w:val="28"/>
          <w:szCs w:val="28"/>
        </w:rPr>
        <w:t xml:space="preserve">Про участь України в міжнародних операціях з підтримання </w:t>
      </w:r>
      <w:r w:rsidR="009B6E94" w:rsidRPr="009B6E94">
        <w:rPr>
          <w:rFonts w:ascii="Times New Roman" w:hAnsi="Times New Roman"/>
          <w:sz w:val="28"/>
          <w:szCs w:val="28"/>
        </w:rPr>
        <w:lastRenderedPageBreak/>
        <w:t>миру і безпеки</w:t>
      </w:r>
      <w:r w:rsidR="009B6E94">
        <w:rPr>
          <w:rFonts w:ascii="Times New Roman" w:hAnsi="Times New Roman"/>
          <w:sz w:val="28"/>
          <w:szCs w:val="28"/>
        </w:rPr>
        <w:t xml:space="preserve">», зокрема статтями 1 і 5, визначається коло осіб, які </w:t>
      </w:r>
      <w:r w:rsidR="009B6E94" w:rsidRPr="009B6E94">
        <w:rPr>
          <w:rFonts w:ascii="Times New Roman" w:hAnsi="Times New Roman"/>
          <w:sz w:val="28"/>
          <w:szCs w:val="28"/>
        </w:rPr>
        <w:t>включаються до складу національного контингенту або направляються для участі в міжнародній операції з підтримання миру і безпеки як національний персонал</w:t>
      </w:r>
      <w:r w:rsidR="009B6E94">
        <w:rPr>
          <w:rFonts w:ascii="Times New Roman" w:hAnsi="Times New Roman"/>
          <w:sz w:val="28"/>
          <w:szCs w:val="28"/>
        </w:rPr>
        <w:t>, а це не тільки особи рядового та начальницького складу, а термінологічна конструкція «інші особи»</w:t>
      </w:r>
      <w:r w:rsidR="00FF5236">
        <w:rPr>
          <w:rFonts w:ascii="Times New Roman" w:hAnsi="Times New Roman"/>
          <w:sz w:val="28"/>
          <w:szCs w:val="28"/>
        </w:rPr>
        <w:t xml:space="preserve"> є на</w:t>
      </w:r>
      <w:r w:rsidR="009B6E94">
        <w:rPr>
          <w:rFonts w:ascii="Times New Roman" w:hAnsi="Times New Roman"/>
          <w:sz w:val="28"/>
          <w:szCs w:val="28"/>
        </w:rPr>
        <w:t>дто широкою і невизначеною.</w:t>
      </w:r>
    </w:p>
    <w:p w:rsidR="009B6E94" w:rsidRPr="009B6E94" w:rsidRDefault="009B6E94" w:rsidP="001D49EE">
      <w:pPr>
        <w:ind w:firstLine="709"/>
        <w:jc w:val="both"/>
        <w:rPr>
          <w:rFonts w:ascii="Times New Roman" w:hAnsi="Times New Roman"/>
          <w:sz w:val="28"/>
          <w:szCs w:val="28"/>
        </w:rPr>
      </w:pPr>
      <w:r>
        <w:rPr>
          <w:rFonts w:ascii="Times New Roman" w:hAnsi="Times New Roman"/>
          <w:sz w:val="28"/>
          <w:szCs w:val="28"/>
        </w:rPr>
        <w:t xml:space="preserve">До того ж не зазначено, </w:t>
      </w:r>
      <w:r w:rsidR="00FF5236">
        <w:rPr>
          <w:rFonts w:ascii="Times New Roman" w:hAnsi="Times New Roman"/>
          <w:sz w:val="28"/>
          <w:szCs w:val="28"/>
        </w:rPr>
        <w:t>яких саме державних інституцій залучаються</w:t>
      </w:r>
      <w:r>
        <w:rPr>
          <w:rFonts w:ascii="Times New Roman" w:hAnsi="Times New Roman"/>
          <w:sz w:val="28"/>
          <w:szCs w:val="28"/>
        </w:rPr>
        <w:t xml:space="preserve"> </w:t>
      </w:r>
      <w:r w:rsidR="00FF5236">
        <w:rPr>
          <w:rFonts w:ascii="Times New Roman" w:hAnsi="Times New Roman"/>
          <w:sz w:val="28"/>
          <w:szCs w:val="28"/>
        </w:rPr>
        <w:t>особи рядового та начальницького складу для проведення відповідних дій</w:t>
      </w:r>
      <w:r>
        <w:rPr>
          <w:rFonts w:ascii="Times New Roman" w:hAnsi="Times New Roman"/>
          <w:sz w:val="28"/>
          <w:szCs w:val="28"/>
        </w:rPr>
        <w:t>.</w:t>
      </w:r>
    </w:p>
    <w:p w:rsidR="008F3224" w:rsidRDefault="00FF5236" w:rsidP="001D49EE">
      <w:pPr>
        <w:ind w:firstLine="709"/>
        <w:jc w:val="both"/>
        <w:rPr>
          <w:rFonts w:ascii="Times New Roman" w:hAnsi="Times New Roman"/>
          <w:sz w:val="28"/>
          <w:szCs w:val="28"/>
        </w:rPr>
      </w:pPr>
      <w:r>
        <w:rPr>
          <w:rFonts w:ascii="Times New Roman" w:hAnsi="Times New Roman"/>
          <w:sz w:val="28"/>
          <w:szCs w:val="28"/>
        </w:rPr>
        <w:t>Також запропонованими змінами застосовується термін «операція об’єднаних сил», однак чинне законодавство ним не оперує, натомість застосовує таку термінологічну конструкцію «</w:t>
      </w:r>
      <w:r w:rsidRPr="009D3D12">
        <w:rPr>
          <w:rFonts w:ascii="Times New Roman" w:hAnsi="Times New Roman"/>
          <w:sz w:val="28"/>
          <w:szCs w:val="28"/>
        </w:rPr>
        <w:t>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sz w:val="28"/>
          <w:szCs w:val="28"/>
        </w:rPr>
        <w:t>»</w:t>
      </w:r>
      <w:r w:rsidR="00AB3FB8">
        <w:rPr>
          <w:rFonts w:ascii="Times New Roman" w:hAnsi="Times New Roman"/>
          <w:sz w:val="28"/>
          <w:szCs w:val="28"/>
        </w:rPr>
        <w:t>;</w:t>
      </w:r>
    </w:p>
    <w:p w:rsidR="004A161F" w:rsidRDefault="004A161F" w:rsidP="004A161F">
      <w:pPr>
        <w:ind w:firstLine="709"/>
        <w:jc w:val="both"/>
        <w:rPr>
          <w:rFonts w:ascii="Times New Roman" w:hAnsi="Times New Roman"/>
          <w:sz w:val="28"/>
          <w:szCs w:val="28"/>
        </w:rPr>
      </w:pPr>
      <w:r>
        <w:rPr>
          <w:rFonts w:ascii="Times New Roman" w:hAnsi="Times New Roman"/>
          <w:sz w:val="28"/>
          <w:szCs w:val="28"/>
        </w:rPr>
        <w:t xml:space="preserve">3) відповідно до пункту 6 частини першої статті 1 Закону України «Про ліцензування певних видів господарської діяльності» </w:t>
      </w:r>
      <w:r w:rsidRPr="00D054EC">
        <w:rPr>
          <w:rFonts w:ascii="Times New Roman" w:hAnsi="Times New Roman"/>
          <w:sz w:val="28"/>
          <w:szCs w:val="28"/>
        </w:rPr>
        <w:t xml:space="preserve">ліцензування це засіб державного регулювання провадження видів господарської діяльності, спрямований на забезпечення безпеки  та захисту економічних і соціальних інтересів держави, суспільства, прав та законних інтересів, </w:t>
      </w:r>
      <w:r w:rsidRPr="00D054EC">
        <w:rPr>
          <w:rFonts w:ascii="Times New Roman" w:hAnsi="Times New Roman"/>
          <w:i/>
          <w:sz w:val="28"/>
          <w:szCs w:val="28"/>
        </w:rPr>
        <w:t>життя і здоров’я людини</w:t>
      </w:r>
      <w:r w:rsidRPr="00D054EC">
        <w:rPr>
          <w:rFonts w:ascii="Times New Roman" w:hAnsi="Times New Roman"/>
          <w:sz w:val="28"/>
          <w:szCs w:val="28"/>
        </w:rPr>
        <w:t>, екологічної безпеки та охорони навколишнього природного середовища</w:t>
      </w:r>
      <w:r>
        <w:rPr>
          <w:rFonts w:ascii="Times New Roman" w:hAnsi="Times New Roman"/>
          <w:sz w:val="28"/>
          <w:szCs w:val="28"/>
        </w:rPr>
        <w:t>.</w:t>
      </w:r>
    </w:p>
    <w:p w:rsidR="004A161F" w:rsidRDefault="004A161F" w:rsidP="004A161F">
      <w:pPr>
        <w:ind w:firstLine="709"/>
        <w:jc w:val="both"/>
        <w:rPr>
          <w:rFonts w:ascii="Times New Roman" w:hAnsi="Times New Roman"/>
          <w:sz w:val="28"/>
          <w:szCs w:val="28"/>
        </w:rPr>
      </w:pPr>
      <w:r>
        <w:rPr>
          <w:rFonts w:ascii="Times New Roman" w:hAnsi="Times New Roman"/>
          <w:sz w:val="28"/>
          <w:szCs w:val="28"/>
        </w:rPr>
        <w:t>Законопроектом викладається у новій редакції положення щодо ліцензування діяльності із «взяття, переробки, зберігання донорської крові та її компонентів» і виводяться з-під ліцензування такі види діяльності, як реалізація донорської крові та її компонентів та виготовлення з них препаратів.</w:t>
      </w:r>
    </w:p>
    <w:p w:rsidR="004A161F" w:rsidRPr="009F1104" w:rsidRDefault="004A161F" w:rsidP="004A161F">
      <w:pPr>
        <w:ind w:firstLine="709"/>
        <w:jc w:val="both"/>
        <w:rPr>
          <w:rFonts w:ascii="Times New Roman" w:hAnsi="Times New Roman" w:cs="Times New Roman"/>
          <w:sz w:val="28"/>
          <w:szCs w:val="28"/>
        </w:rPr>
      </w:pPr>
      <w:r w:rsidRPr="009F1104">
        <w:rPr>
          <w:rFonts w:ascii="Times New Roman" w:hAnsi="Times New Roman" w:cs="Times New Roman"/>
          <w:sz w:val="28"/>
          <w:szCs w:val="28"/>
        </w:rPr>
        <w:t>Запропоноване не сприятиме визначеній меті ліцензування та суперечить вимогам статей 3 та 49 Конституції України, згідно з якими Людина, її життя і здоров'я, честь і гідність, недоторканність і безпека визнаються в Україні найвищою соціальною цінністю та гарантує право кожного на охорону здоров’я.</w:t>
      </w:r>
    </w:p>
    <w:p w:rsidR="004A161F" w:rsidRPr="00A254C6" w:rsidRDefault="004A161F" w:rsidP="004A161F">
      <w:pPr>
        <w:ind w:firstLine="709"/>
        <w:jc w:val="both"/>
        <w:rPr>
          <w:rFonts w:ascii="Times New Roman" w:hAnsi="Times New Roman" w:cs="Times New Roman"/>
          <w:sz w:val="28"/>
          <w:szCs w:val="28"/>
        </w:rPr>
      </w:pPr>
      <w:r w:rsidRPr="00A254C6">
        <w:rPr>
          <w:rFonts w:ascii="Times New Roman" w:hAnsi="Times New Roman" w:cs="Times New Roman"/>
          <w:sz w:val="28"/>
          <w:szCs w:val="28"/>
        </w:rPr>
        <w:t>Крім того, таке положення не враховує положення статті 10 Закону України «Про лікарські засоби», згідно з якою виробництво лікарських засобів здійснюється фізичними або юридичними особами на підставі ліцензії та статті 19 цього ж Закону, за яким і торгівля лікарськими засобами здійснюється на підставі ліцензії</w:t>
      </w:r>
      <w:r>
        <w:rPr>
          <w:rFonts w:ascii="Times New Roman" w:hAnsi="Times New Roman" w:cs="Times New Roman"/>
          <w:sz w:val="28"/>
          <w:szCs w:val="28"/>
        </w:rPr>
        <w:t xml:space="preserve"> (у тому числі препаратів з </w:t>
      </w:r>
      <w:r>
        <w:rPr>
          <w:rFonts w:ascii="Times New Roman" w:hAnsi="Times New Roman"/>
          <w:sz w:val="28"/>
          <w:szCs w:val="28"/>
        </w:rPr>
        <w:t>донорської крові та її компонентів</w:t>
      </w:r>
      <w:r>
        <w:rPr>
          <w:rFonts w:ascii="Times New Roman" w:hAnsi="Times New Roman" w:cs="Times New Roman"/>
          <w:sz w:val="28"/>
          <w:szCs w:val="28"/>
        </w:rPr>
        <w:t>).</w:t>
      </w:r>
    </w:p>
    <w:p w:rsidR="00E07E5B" w:rsidRPr="00FF6940" w:rsidRDefault="00AB3FB8" w:rsidP="001D49EE">
      <w:pPr>
        <w:ind w:firstLine="709"/>
        <w:jc w:val="both"/>
        <w:rPr>
          <w:rFonts w:ascii="Times New Roman" w:hAnsi="Times New Roman" w:cs="Times New Roman"/>
          <w:sz w:val="28"/>
          <w:szCs w:val="28"/>
        </w:rPr>
      </w:pPr>
      <w:r>
        <w:rPr>
          <w:rFonts w:ascii="Times New Roman" w:hAnsi="Times New Roman"/>
          <w:sz w:val="28"/>
          <w:szCs w:val="28"/>
        </w:rPr>
        <w:t>4</w:t>
      </w:r>
      <w:r w:rsidR="00E07E5B">
        <w:rPr>
          <w:rFonts w:ascii="Times New Roman" w:hAnsi="Times New Roman"/>
          <w:sz w:val="28"/>
          <w:szCs w:val="28"/>
        </w:rPr>
        <w:t>)</w:t>
      </w:r>
      <w:r>
        <w:rPr>
          <w:rFonts w:ascii="Times New Roman" w:hAnsi="Times New Roman"/>
          <w:sz w:val="28"/>
          <w:szCs w:val="28"/>
        </w:rPr>
        <w:t> а</w:t>
      </w:r>
      <w:r w:rsidR="00E07E5B">
        <w:rPr>
          <w:rFonts w:ascii="Times New Roman" w:hAnsi="Times New Roman"/>
          <w:sz w:val="28"/>
          <w:szCs w:val="28"/>
        </w:rPr>
        <w:t>бзацом шостим пункту 2 розділу ІІ «Прикінцеві положення» законопроекту Кабінету Міністрів України дається доручення «визначити (утворити) центральний орган виконавчої влади, що виконує функції, визн</w:t>
      </w:r>
      <w:r w:rsidR="000B52F2">
        <w:rPr>
          <w:rFonts w:ascii="Times New Roman" w:hAnsi="Times New Roman"/>
          <w:sz w:val="28"/>
          <w:szCs w:val="28"/>
        </w:rPr>
        <w:t>ачені у пункті 3 цього розділу»,</w:t>
      </w:r>
      <w:r w:rsidR="00E07E5B">
        <w:rPr>
          <w:rFonts w:ascii="Times New Roman" w:hAnsi="Times New Roman"/>
          <w:sz w:val="28"/>
          <w:szCs w:val="28"/>
        </w:rPr>
        <w:t xml:space="preserve"> а пунктом 3 цього розділу, посилаючись на Угоду про асоціацію між Україною, з однієї сторони, та Європейським </w:t>
      </w:r>
      <w:r w:rsidR="00E07E5B" w:rsidRPr="00FF6940">
        <w:rPr>
          <w:rFonts w:ascii="Times New Roman" w:hAnsi="Times New Roman" w:cs="Times New Roman"/>
          <w:sz w:val="28"/>
          <w:szCs w:val="28"/>
        </w:rPr>
        <w:t xml:space="preserve">співтовариством </w:t>
      </w:r>
      <w:r w:rsidR="00FF6940" w:rsidRPr="00FF6940">
        <w:rPr>
          <w:rFonts w:ascii="Times New Roman" w:hAnsi="Times New Roman" w:cs="Times New Roman"/>
          <w:sz w:val="28"/>
          <w:szCs w:val="28"/>
        </w:rPr>
        <w:t>з атомної енергії і їхніми державами-членами, з іншої сторони, визначаються повноваження цього органу.</w:t>
      </w:r>
    </w:p>
    <w:p w:rsidR="00484FEC" w:rsidRDefault="00FF6940" w:rsidP="00484FEC">
      <w:pPr>
        <w:spacing w:after="160" w:line="259" w:lineRule="auto"/>
        <w:ind w:firstLine="708"/>
        <w:jc w:val="both"/>
        <w:rPr>
          <w:rFonts w:ascii="Times New Roman" w:eastAsiaTheme="minorHAnsi" w:hAnsi="Times New Roman" w:cs="Times New Roman"/>
          <w:sz w:val="28"/>
          <w:szCs w:val="28"/>
        </w:rPr>
      </w:pPr>
      <w:r w:rsidRPr="00FF6940">
        <w:rPr>
          <w:rFonts w:ascii="Times New Roman" w:hAnsi="Times New Roman" w:cs="Times New Roman"/>
          <w:sz w:val="28"/>
          <w:szCs w:val="28"/>
        </w:rPr>
        <w:t xml:space="preserve">Однак, такий підхід не узгоджується з принципом поділу влади в України на законодавчу, виконавчу та судову (стаття 6 Конституції України) та є втручанням у повноваження Кабінету Міністрів України, визначених пунктом </w:t>
      </w:r>
      <w:r w:rsidR="00AB3FB8">
        <w:rPr>
          <w:rFonts w:ascii="Times New Roman" w:hAnsi="Times New Roman" w:cs="Times New Roman"/>
          <w:sz w:val="28"/>
          <w:szCs w:val="28"/>
        </w:rPr>
        <w:t>9</w:t>
      </w:r>
      <w:r w:rsidR="00AB3FB8" w:rsidRPr="00AB3FB8">
        <w:rPr>
          <w:rFonts w:ascii="Times New Roman" w:hAnsi="Times New Roman" w:cs="Times New Roman"/>
          <w:sz w:val="28"/>
          <w:szCs w:val="28"/>
          <w:vertAlign w:val="superscript"/>
        </w:rPr>
        <w:t>1</w:t>
      </w:r>
      <w:r w:rsidRPr="00FF6940">
        <w:rPr>
          <w:rFonts w:ascii="Times New Roman" w:hAnsi="Times New Roman" w:cs="Times New Roman"/>
          <w:sz w:val="28"/>
          <w:szCs w:val="28"/>
        </w:rPr>
        <w:t xml:space="preserve"> статті 116 Конституції України.</w:t>
      </w:r>
      <w:r w:rsidR="00484FEC" w:rsidRPr="00484FEC">
        <w:rPr>
          <w:rFonts w:ascii="Times New Roman" w:eastAsiaTheme="minorHAnsi" w:hAnsi="Times New Roman" w:cs="Times New Roman"/>
          <w:sz w:val="28"/>
          <w:szCs w:val="28"/>
        </w:rPr>
        <w:t xml:space="preserve"> </w:t>
      </w:r>
    </w:p>
    <w:p w:rsidR="00484FEC" w:rsidRPr="000B52F2" w:rsidRDefault="00484FEC" w:rsidP="00484FEC">
      <w:pPr>
        <w:spacing w:after="160" w:line="259" w:lineRule="auto"/>
        <w:ind w:firstLine="708"/>
        <w:jc w:val="both"/>
        <w:rPr>
          <w:rFonts w:ascii="Times New Roman" w:eastAsiaTheme="minorHAnsi" w:hAnsi="Times New Roman" w:cs="Times New Roman"/>
          <w:sz w:val="28"/>
          <w:szCs w:val="28"/>
        </w:rPr>
      </w:pPr>
      <w:r w:rsidRPr="000B52F2">
        <w:rPr>
          <w:rFonts w:ascii="Times New Roman" w:eastAsiaTheme="minorHAnsi" w:hAnsi="Times New Roman" w:cs="Times New Roman"/>
          <w:sz w:val="28"/>
          <w:szCs w:val="28"/>
        </w:rPr>
        <w:t xml:space="preserve">Водночас відповідне доручення парламенту у законопроекті (пункт 3 Прикінцевих положень) обґрунтовується положеннями  «статті 428 та Додатку </w:t>
      </w:r>
      <w:r w:rsidRPr="000B52F2">
        <w:rPr>
          <w:rFonts w:ascii="Times New Roman" w:eastAsiaTheme="minorHAnsi" w:hAnsi="Times New Roman" w:cs="Times New Roman"/>
          <w:sz w:val="28"/>
          <w:szCs w:val="28"/>
        </w:rPr>
        <w:lastRenderedPageBreak/>
        <w:t>XLІ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і пов’язується із необхідністю виконання функцій «компетентного органу у сфері донорства крові та її компонентів». Проте слід зазначити, що наведені положення Угоди не передбачають виконання Україною  вимог створення нового центрального органу виконавчої влади і стосуються необхідності комплексного впровадження положень Директив Європейського Парламенту та Ради, відповідних Директив Комісії у рамках гармонізації законодавства України щодо крові із законодавством Європейського Союзу. Відтак вважаємо, що пропонований законопроектом підхід не випливає з вимог зазначеної Угоди, а з огляду на характер функцій нового центрального органу виконавчої влади, приписи щодо його діяльності мають бути комплексно узгоджені з чинними та пропонованими законопроектом  повноваженнями державних органів щодо діяльності «у сфері крові та її компонентів» (наприклад статті 15, 22 Закону України «Про донорство крові та її компонентів») та розміщені як норми постійної дії в основній частині законодавчого акту.</w:t>
      </w:r>
    </w:p>
    <w:p w:rsidR="00AB3FB8" w:rsidRDefault="00484FEC" w:rsidP="00AB3FB8">
      <w:pPr>
        <w:ind w:firstLine="709"/>
        <w:jc w:val="both"/>
        <w:rPr>
          <w:rFonts w:ascii="Times New Roman" w:hAnsi="Times New Roman"/>
          <w:sz w:val="28"/>
          <w:szCs w:val="28"/>
        </w:rPr>
      </w:pPr>
      <w:r>
        <w:rPr>
          <w:rFonts w:ascii="Times New Roman" w:hAnsi="Times New Roman" w:cs="Times New Roman"/>
          <w:sz w:val="28"/>
          <w:szCs w:val="28"/>
        </w:rPr>
        <w:t xml:space="preserve">Тобто </w:t>
      </w:r>
      <w:r>
        <w:rPr>
          <w:rFonts w:ascii="Times New Roman" w:hAnsi="Times New Roman"/>
          <w:sz w:val="28"/>
          <w:szCs w:val="28"/>
        </w:rPr>
        <w:t>с</w:t>
      </w:r>
      <w:r w:rsidR="00FF6940">
        <w:rPr>
          <w:rFonts w:ascii="Times New Roman" w:hAnsi="Times New Roman"/>
          <w:sz w:val="28"/>
          <w:szCs w:val="28"/>
        </w:rPr>
        <w:t>истема управління в сфері донорства крові та її компонентів має бути визначена у тексті «основного»</w:t>
      </w:r>
      <w:r>
        <w:rPr>
          <w:rFonts w:ascii="Times New Roman" w:hAnsi="Times New Roman"/>
          <w:sz w:val="28"/>
          <w:szCs w:val="28"/>
        </w:rPr>
        <w:t xml:space="preserve"> закону</w:t>
      </w:r>
      <w:r w:rsidR="00AB3FB8">
        <w:rPr>
          <w:rFonts w:ascii="Times New Roman" w:hAnsi="Times New Roman"/>
          <w:sz w:val="28"/>
          <w:szCs w:val="28"/>
        </w:rPr>
        <w:t>, а Кабінет Міністрів України, керуючись статтею 116 Конституції України створює</w:t>
      </w:r>
      <w:r w:rsidR="00A96598">
        <w:rPr>
          <w:rFonts w:ascii="Times New Roman" w:hAnsi="Times New Roman"/>
          <w:sz w:val="28"/>
          <w:szCs w:val="28"/>
        </w:rPr>
        <w:t xml:space="preserve"> чи реорганізує</w:t>
      </w:r>
      <w:r w:rsidR="00AB3FB8">
        <w:rPr>
          <w:rFonts w:ascii="Times New Roman" w:hAnsi="Times New Roman"/>
          <w:sz w:val="28"/>
          <w:szCs w:val="28"/>
        </w:rPr>
        <w:t xml:space="preserve"> відповідні органи (міністерства інші центральні органи виконавчої вла</w:t>
      </w:r>
      <w:r w:rsidR="005D1B6A">
        <w:rPr>
          <w:rFonts w:ascii="Times New Roman" w:hAnsi="Times New Roman"/>
          <w:sz w:val="28"/>
          <w:szCs w:val="28"/>
        </w:rPr>
        <w:t>ди) та наділяє</w:t>
      </w:r>
      <w:r w:rsidR="007126A5">
        <w:rPr>
          <w:rFonts w:ascii="Times New Roman" w:hAnsi="Times New Roman"/>
          <w:sz w:val="28"/>
          <w:szCs w:val="28"/>
        </w:rPr>
        <w:t xml:space="preserve"> їх повноваження</w:t>
      </w:r>
      <w:r w:rsidR="005D1B6A">
        <w:rPr>
          <w:rFonts w:ascii="Times New Roman" w:hAnsi="Times New Roman"/>
          <w:sz w:val="28"/>
          <w:szCs w:val="28"/>
        </w:rPr>
        <w:t>ми, визначеними законом</w:t>
      </w:r>
      <w:r w:rsidR="007126A5">
        <w:rPr>
          <w:rFonts w:ascii="Times New Roman" w:hAnsi="Times New Roman"/>
          <w:sz w:val="28"/>
          <w:szCs w:val="28"/>
        </w:rPr>
        <w:t>;</w:t>
      </w:r>
    </w:p>
    <w:p w:rsidR="00AB3FB8" w:rsidRDefault="00AB3FB8" w:rsidP="00AB3FB8">
      <w:pPr>
        <w:ind w:firstLine="709"/>
        <w:jc w:val="both"/>
        <w:rPr>
          <w:rFonts w:ascii="Times New Roman" w:hAnsi="Times New Roman" w:cs="Times New Roman"/>
          <w:sz w:val="28"/>
          <w:szCs w:val="28"/>
        </w:rPr>
      </w:pPr>
      <w:r>
        <w:rPr>
          <w:rFonts w:ascii="Times New Roman" w:hAnsi="Times New Roman" w:cs="Times New Roman"/>
          <w:sz w:val="28"/>
          <w:szCs w:val="28"/>
        </w:rPr>
        <w:t xml:space="preserve">5) проектом створюється термінологічна плутанина. Так, вживання терміну «суб’єкт підприємницької діяльності», дефініція якого розкривалася в Законі України «Про підприємництво» </w:t>
      </w:r>
      <w:r w:rsidRPr="00847522">
        <w:rPr>
          <w:rFonts w:ascii="Times New Roman" w:hAnsi="Times New Roman" w:cs="Times New Roman"/>
          <w:i/>
          <w:sz w:val="28"/>
          <w:szCs w:val="28"/>
        </w:rPr>
        <w:t>(</w:t>
      </w:r>
      <w:r w:rsidR="006202EF">
        <w:rPr>
          <w:rFonts w:ascii="Times New Roman" w:hAnsi="Times New Roman" w:cs="Times New Roman"/>
          <w:i/>
          <w:sz w:val="28"/>
          <w:szCs w:val="28"/>
        </w:rPr>
        <w:t xml:space="preserve">закон </w:t>
      </w:r>
      <w:r w:rsidRPr="00847522">
        <w:rPr>
          <w:rFonts w:ascii="Times New Roman" w:hAnsi="Times New Roman" w:cs="Times New Roman"/>
          <w:i/>
          <w:sz w:val="28"/>
          <w:szCs w:val="28"/>
        </w:rPr>
        <w:t>втратив чинність, крім статті 4)</w:t>
      </w:r>
      <w:r>
        <w:rPr>
          <w:rFonts w:ascii="Times New Roman" w:hAnsi="Times New Roman" w:cs="Times New Roman"/>
          <w:sz w:val="28"/>
          <w:szCs w:val="28"/>
        </w:rPr>
        <w:t xml:space="preserve">, а також вживання терміну «суб’єкт господарської діяльності» є некоректними, оскільки чинне на сьогодні законодавство оперує терміном «суб’єкт господарювання» (стаття 55 Господарського кодексу України), який також вжито і в проекті. При цьому, термін суб’єкт господарювання вживається в </w:t>
      </w:r>
      <w:r w:rsidR="00D054EC">
        <w:rPr>
          <w:rFonts w:ascii="Times New Roman" w:hAnsi="Times New Roman" w:cs="Times New Roman"/>
          <w:sz w:val="28"/>
          <w:szCs w:val="28"/>
        </w:rPr>
        <w:t>ч. 4 ст. 13 Конституції України;</w:t>
      </w:r>
    </w:p>
    <w:p w:rsidR="00D054EC" w:rsidRPr="00D054EC" w:rsidRDefault="00D054EC" w:rsidP="00AB3FB8">
      <w:pPr>
        <w:ind w:firstLine="709"/>
        <w:jc w:val="both"/>
        <w:rPr>
          <w:rFonts w:ascii="Times New Roman" w:hAnsi="Times New Roman" w:cs="Times New Roman"/>
          <w:sz w:val="28"/>
          <w:szCs w:val="28"/>
        </w:rPr>
      </w:pPr>
      <w:r>
        <w:rPr>
          <w:rFonts w:ascii="Times New Roman" w:hAnsi="Times New Roman" w:cs="Times New Roman"/>
          <w:sz w:val="28"/>
          <w:szCs w:val="28"/>
        </w:rPr>
        <w:t>6) </w:t>
      </w:r>
      <w:r w:rsidRPr="00D054EC">
        <w:rPr>
          <w:rFonts w:ascii="Times New Roman" w:hAnsi="Times New Roman" w:cs="Times New Roman"/>
          <w:sz w:val="28"/>
          <w:szCs w:val="28"/>
        </w:rPr>
        <w:t>законопроект подано з порушенням статті 116 Регламенту Верховної Ради України, а саме всупереч вимогам її частини першої до тексту законопроекту, підготовленого до розгляду у другому читанні, внесені зміни, які не були предметом розгляду під час прийняття про</w:t>
      </w:r>
      <w:r>
        <w:rPr>
          <w:rFonts w:ascii="Times New Roman" w:hAnsi="Times New Roman" w:cs="Times New Roman"/>
          <w:sz w:val="28"/>
          <w:szCs w:val="28"/>
        </w:rPr>
        <w:t>екту в першому читанні (</w:t>
      </w:r>
      <w:r w:rsidR="00C641F4">
        <w:rPr>
          <w:rFonts w:ascii="Times New Roman" w:hAnsi="Times New Roman" w:cs="Times New Roman"/>
          <w:sz w:val="28"/>
          <w:szCs w:val="28"/>
        </w:rPr>
        <w:t>доповнення статей 15 і 22 Закону України «Про донорство крові та її компонентів» положеннями, які не були предметом розгляду у першому читанні та доручення Кабінету Міністрів України, що містять нормативний характер у розділі ІІ законопроекту</w:t>
      </w:r>
      <w:r w:rsidRPr="00D054EC">
        <w:rPr>
          <w:rFonts w:ascii="Times New Roman" w:hAnsi="Times New Roman" w:cs="Times New Roman"/>
          <w:sz w:val="28"/>
          <w:szCs w:val="28"/>
        </w:rPr>
        <w:t>)</w:t>
      </w:r>
    </w:p>
    <w:p w:rsidR="002B59A3" w:rsidRPr="00D054EC" w:rsidRDefault="002B59A3" w:rsidP="001D49EE">
      <w:pPr>
        <w:ind w:firstLine="709"/>
        <w:jc w:val="both"/>
        <w:rPr>
          <w:rFonts w:ascii="Times New Roman" w:hAnsi="Times New Roman" w:cs="Times New Roman"/>
          <w:sz w:val="28"/>
          <w:szCs w:val="28"/>
        </w:rPr>
      </w:pPr>
    </w:p>
    <w:p w:rsidR="002B59A3" w:rsidRDefault="002B59A3" w:rsidP="001D49EE">
      <w:pPr>
        <w:ind w:firstLine="709"/>
        <w:jc w:val="both"/>
        <w:rPr>
          <w:rFonts w:ascii="Times New Roman" w:hAnsi="Times New Roman"/>
          <w:sz w:val="28"/>
          <w:szCs w:val="28"/>
        </w:rPr>
      </w:pPr>
      <w:r>
        <w:rPr>
          <w:rFonts w:ascii="Times New Roman" w:hAnsi="Times New Roman"/>
          <w:sz w:val="28"/>
          <w:szCs w:val="28"/>
        </w:rPr>
        <w:t>Крім того законопроект містить численні недоліки техніко-юридичного характеру.</w:t>
      </w:r>
    </w:p>
    <w:p w:rsidR="002B5A79" w:rsidRPr="0047376F" w:rsidRDefault="002B5A79" w:rsidP="00825F2B">
      <w:pPr>
        <w:jc w:val="both"/>
        <w:rPr>
          <w:rFonts w:ascii="Times New Roman" w:hAnsi="Times New Roman" w:cs="Times New Roman"/>
          <w:sz w:val="28"/>
          <w:szCs w:val="28"/>
        </w:rPr>
      </w:pPr>
    </w:p>
    <w:p w:rsidR="00AB0FBF" w:rsidRPr="00AB0FBF" w:rsidRDefault="00AB0FBF" w:rsidP="001D49EE">
      <w:pPr>
        <w:ind w:firstLine="709"/>
        <w:jc w:val="both"/>
        <w:rPr>
          <w:rFonts w:ascii="Times New Roman" w:hAnsi="Times New Roman" w:cs="Times New Roman"/>
          <w:sz w:val="28"/>
          <w:szCs w:val="28"/>
        </w:rPr>
      </w:pPr>
      <w:r w:rsidRPr="00AB0FBF">
        <w:rPr>
          <w:rFonts w:ascii="Times New Roman" w:hAnsi="Times New Roman" w:cs="Times New Roman"/>
          <w:b/>
          <w:sz w:val="28"/>
          <w:szCs w:val="28"/>
        </w:rPr>
        <w:t>Узагальнюючий висновок:</w:t>
      </w:r>
      <w:r w:rsidRPr="00AB0FBF">
        <w:rPr>
          <w:rFonts w:ascii="Times New Roman" w:hAnsi="Times New Roman" w:cs="Times New Roman"/>
          <w:sz w:val="28"/>
          <w:szCs w:val="28"/>
        </w:rPr>
        <w:t xml:space="preserve"> законопроект потребує доопрацювання з урахуванням викладених зауважень.</w:t>
      </w:r>
    </w:p>
    <w:p w:rsidR="00AB0FBF" w:rsidRDefault="00AB0FBF" w:rsidP="001D49EE">
      <w:pPr>
        <w:pStyle w:val="a8"/>
        <w:ind w:firstLine="709"/>
        <w:jc w:val="both"/>
        <w:rPr>
          <w:szCs w:val="28"/>
          <w:lang w:val="uk-UA"/>
        </w:rPr>
      </w:pPr>
    </w:p>
    <w:p w:rsidR="002C6330" w:rsidRDefault="002C6330" w:rsidP="001D49EE">
      <w:pPr>
        <w:pStyle w:val="a8"/>
        <w:ind w:firstLine="709"/>
        <w:jc w:val="both"/>
        <w:rPr>
          <w:szCs w:val="28"/>
          <w:lang w:val="uk-UA"/>
        </w:rPr>
      </w:pPr>
    </w:p>
    <w:p w:rsidR="002C6330" w:rsidRDefault="002C6330" w:rsidP="001D49EE">
      <w:pPr>
        <w:pStyle w:val="a8"/>
        <w:ind w:firstLine="709"/>
        <w:jc w:val="both"/>
        <w:rPr>
          <w:szCs w:val="28"/>
          <w:lang w:val="uk-UA"/>
        </w:rPr>
      </w:pPr>
    </w:p>
    <w:p w:rsidR="00D62560" w:rsidRPr="00D62560" w:rsidRDefault="00D62560" w:rsidP="00D62560">
      <w:pPr>
        <w:tabs>
          <w:tab w:val="left" w:pos="5963"/>
        </w:tabs>
        <w:rPr>
          <w:b/>
          <w:sz w:val="28"/>
          <w:szCs w:val="28"/>
        </w:rPr>
      </w:pPr>
    </w:p>
    <w:p w:rsidR="00D62560" w:rsidRPr="00D62560" w:rsidRDefault="00D62560" w:rsidP="00D62560">
      <w:pPr>
        <w:rPr>
          <w:rStyle w:val="st42"/>
          <w:b/>
          <w:sz w:val="28"/>
          <w:szCs w:val="28"/>
        </w:rPr>
      </w:pPr>
      <w:r w:rsidRPr="00D62560">
        <w:rPr>
          <w:rStyle w:val="st42"/>
          <w:b/>
          <w:sz w:val="28"/>
          <w:szCs w:val="28"/>
        </w:rPr>
        <w:t>Заступник керівника</w:t>
      </w:r>
    </w:p>
    <w:p w:rsidR="00D62560" w:rsidRPr="00D62560" w:rsidRDefault="00D62560" w:rsidP="00D62560">
      <w:pPr>
        <w:rPr>
          <w:b/>
          <w:sz w:val="28"/>
          <w:szCs w:val="28"/>
          <w:lang w:val="ru-RU"/>
        </w:rPr>
      </w:pPr>
      <w:r w:rsidRPr="00D62560">
        <w:rPr>
          <w:rStyle w:val="st42"/>
          <w:b/>
          <w:sz w:val="28"/>
          <w:szCs w:val="28"/>
        </w:rPr>
        <w:t xml:space="preserve">Головного управління                     </w:t>
      </w:r>
      <w:r>
        <w:rPr>
          <w:rStyle w:val="st42"/>
          <w:b/>
          <w:sz w:val="28"/>
          <w:szCs w:val="28"/>
        </w:rPr>
        <w:t xml:space="preserve">        </w:t>
      </w:r>
      <w:r w:rsidRPr="00D62560">
        <w:rPr>
          <w:rStyle w:val="st42"/>
          <w:b/>
          <w:sz w:val="28"/>
          <w:szCs w:val="28"/>
        </w:rPr>
        <w:t xml:space="preserve">                                     В. МІЛОВАНОВ</w:t>
      </w:r>
    </w:p>
    <w:p w:rsidR="00D62560" w:rsidRPr="00D62560" w:rsidRDefault="00D62560" w:rsidP="00D62560">
      <w:pPr>
        <w:rPr>
          <w:sz w:val="28"/>
          <w:szCs w:val="28"/>
          <w:lang w:val="ru-RU"/>
        </w:rPr>
      </w:pPr>
    </w:p>
    <w:p w:rsidR="00D62560" w:rsidRPr="00D62560" w:rsidRDefault="00D62560" w:rsidP="00D62560">
      <w:pPr>
        <w:pStyle w:val="a8"/>
        <w:ind w:firstLine="709"/>
        <w:rPr>
          <w:szCs w:val="28"/>
        </w:rPr>
      </w:pPr>
    </w:p>
    <w:sectPr w:rsidR="00D62560" w:rsidRPr="00D62560" w:rsidSect="00891335">
      <w:footerReference w:type="default" r:id="rId8"/>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EF" w:rsidRDefault="007D27EF">
      <w:r>
        <w:separator/>
      </w:r>
    </w:p>
  </w:endnote>
  <w:endnote w:type="continuationSeparator" w:id="0">
    <w:p w:rsidR="007D27EF" w:rsidRDefault="007D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35" w:rsidRDefault="00BF6685">
    <w:pPr>
      <w:pStyle w:val="a6"/>
      <w:jc w:val="right"/>
    </w:pPr>
    <w:r>
      <w:fldChar w:fldCharType="begin"/>
    </w:r>
    <w:r>
      <w:instrText>PAGE   \* MERGEFORMAT</w:instrText>
    </w:r>
    <w:r>
      <w:fldChar w:fldCharType="separate"/>
    </w:r>
    <w:r w:rsidR="00F30A17">
      <w:rPr>
        <w:noProof/>
      </w:rPr>
      <w:t>8</w:t>
    </w:r>
    <w:r>
      <w:fldChar w:fldCharType="end"/>
    </w:r>
  </w:p>
  <w:p w:rsidR="00891335" w:rsidRDefault="008913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EF" w:rsidRDefault="007D27EF">
      <w:r>
        <w:separator/>
      </w:r>
    </w:p>
  </w:footnote>
  <w:footnote w:type="continuationSeparator" w:id="0">
    <w:p w:rsidR="007D27EF" w:rsidRDefault="007D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44F7F"/>
    <w:multiLevelType w:val="hybridMultilevel"/>
    <w:tmpl w:val="7BF4B0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6F847898"/>
    <w:multiLevelType w:val="hybridMultilevel"/>
    <w:tmpl w:val="1D62C0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BF"/>
    <w:rsid w:val="000021F2"/>
    <w:rsid w:val="00016ED1"/>
    <w:rsid w:val="00027BED"/>
    <w:rsid w:val="000329E0"/>
    <w:rsid w:val="000B52F2"/>
    <w:rsid w:val="000B792E"/>
    <w:rsid w:val="00117F3B"/>
    <w:rsid w:val="00125980"/>
    <w:rsid w:val="00173075"/>
    <w:rsid w:val="00182C5C"/>
    <w:rsid w:val="001C0D57"/>
    <w:rsid w:val="001C4BCF"/>
    <w:rsid w:val="001C64ED"/>
    <w:rsid w:val="001D49EE"/>
    <w:rsid w:val="00217EF6"/>
    <w:rsid w:val="00223226"/>
    <w:rsid w:val="00230BA0"/>
    <w:rsid w:val="00230C93"/>
    <w:rsid w:val="00250A57"/>
    <w:rsid w:val="00276041"/>
    <w:rsid w:val="00290AD0"/>
    <w:rsid w:val="002A6A4C"/>
    <w:rsid w:val="002B53CE"/>
    <w:rsid w:val="002B59A3"/>
    <w:rsid w:val="002B5A79"/>
    <w:rsid w:val="002C1434"/>
    <w:rsid w:val="002C6330"/>
    <w:rsid w:val="00317877"/>
    <w:rsid w:val="00333542"/>
    <w:rsid w:val="00346A0B"/>
    <w:rsid w:val="00351F29"/>
    <w:rsid w:val="00385AFA"/>
    <w:rsid w:val="003A24EC"/>
    <w:rsid w:val="003B51F8"/>
    <w:rsid w:val="003E67AE"/>
    <w:rsid w:val="00411E45"/>
    <w:rsid w:val="00462C62"/>
    <w:rsid w:val="00473306"/>
    <w:rsid w:val="0047376F"/>
    <w:rsid w:val="00474B6D"/>
    <w:rsid w:val="004831DF"/>
    <w:rsid w:val="00484FEC"/>
    <w:rsid w:val="00492ECE"/>
    <w:rsid w:val="004A161F"/>
    <w:rsid w:val="004A323F"/>
    <w:rsid w:val="004A3971"/>
    <w:rsid w:val="004C45F2"/>
    <w:rsid w:val="004F6B84"/>
    <w:rsid w:val="00500062"/>
    <w:rsid w:val="00506E7A"/>
    <w:rsid w:val="00516D13"/>
    <w:rsid w:val="00585E74"/>
    <w:rsid w:val="005955F2"/>
    <w:rsid w:val="005B2354"/>
    <w:rsid w:val="005D1B6A"/>
    <w:rsid w:val="005D4A2C"/>
    <w:rsid w:val="005E647F"/>
    <w:rsid w:val="006202EF"/>
    <w:rsid w:val="00636E18"/>
    <w:rsid w:val="00643E89"/>
    <w:rsid w:val="006726DA"/>
    <w:rsid w:val="006917DF"/>
    <w:rsid w:val="006B270C"/>
    <w:rsid w:val="006C08C0"/>
    <w:rsid w:val="006C67C0"/>
    <w:rsid w:val="007126A5"/>
    <w:rsid w:val="007175BE"/>
    <w:rsid w:val="0077430A"/>
    <w:rsid w:val="0078407B"/>
    <w:rsid w:val="00790B27"/>
    <w:rsid w:val="00791D80"/>
    <w:rsid w:val="007C3DBE"/>
    <w:rsid w:val="007D0534"/>
    <w:rsid w:val="007D11D8"/>
    <w:rsid w:val="007D27EF"/>
    <w:rsid w:val="00825F2B"/>
    <w:rsid w:val="0082610D"/>
    <w:rsid w:val="00831355"/>
    <w:rsid w:val="00891335"/>
    <w:rsid w:val="008929B6"/>
    <w:rsid w:val="00897167"/>
    <w:rsid w:val="008B035D"/>
    <w:rsid w:val="008B5D95"/>
    <w:rsid w:val="008D0EB4"/>
    <w:rsid w:val="008E4017"/>
    <w:rsid w:val="008F3224"/>
    <w:rsid w:val="009A5C04"/>
    <w:rsid w:val="009B0212"/>
    <w:rsid w:val="009B6E94"/>
    <w:rsid w:val="009D3D12"/>
    <w:rsid w:val="009F0D53"/>
    <w:rsid w:val="00A00A4F"/>
    <w:rsid w:val="00A27577"/>
    <w:rsid w:val="00A91DD7"/>
    <w:rsid w:val="00A96598"/>
    <w:rsid w:val="00AB0FBF"/>
    <w:rsid w:val="00AB1E76"/>
    <w:rsid w:val="00AB3FB8"/>
    <w:rsid w:val="00AE2B58"/>
    <w:rsid w:val="00AE3372"/>
    <w:rsid w:val="00B01799"/>
    <w:rsid w:val="00B02B9A"/>
    <w:rsid w:val="00B14346"/>
    <w:rsid w:val="00B3718A"/>
    <w:rsid w:val="00B57B46"/>
    <w:rsid w:val="00B74BF5"/>
    <w:rsid w:val="00B81CA4"/>
    <w:rsid w:val="00B967C8"/>
    <w:rsid w:val="00BB03F2"/>
    <w:rsid w:val="00BC646A"/>
    <w:rsid w:val="00BF6685"/>
    <w:rsid w:val="00C118C2"/>
    <w:rsid w:val="00C21A4B"/>
    <w:rsid w:val="00C25E35"/>
    <w:rsid w:val="00C40A7D"/>
    <w:rsid w:val="00C641F4"/>
    <w:rsid w:val="00C717F9"/>
    <w:rsid w:val="00C87787"/>
    <w:rsid w:val="00CB5405"/>
    <w:rsid w:val="00CE1FE5"/>
    <w:rsid w:val="00CF1052"/>
    <w:rsid w:val="00CF4516"/>
    <w:rsid w:val="00D054EC"/>
    <w:rsid w:val="00D105F8"/>
    <w:rsid w:val="00D50246"/>
    <w:rsid w:val="00D62560"/>
    <w:rsid w:val="00D707DF"/>
    <w:rsid w:val="00D937BF"/>
    <w:rsid w:val="00DB24B0"/>
    <w:rsid w:val="00DB6A7B"/>
    <w:rsid w:val="00DE285B"/>
    <w:rsid w:val="00E07E5B"/>
    <w:rsid w:val="00E17B31"/>
    <w:rsid w:val="00E4604A"/>
    <w:rsid w:val="00E632FD"/>
    <w:rsid w:val="00E737D2"/>
    <w:rsid w:val="00E7671C"/>
    <w:rsid w:val="00E966A1"/>
    <w:rsid w:val="00EA23F7"/>
    <w:rsid w:val="00EF2C1E"/>
    <w:rsid w:val="00F01E3D"/>
    <w:rsid w:val="00F06837"/>
    <w:rsid w:val="00F30A17"/>
    <w:rsid w:val="00FB0546"/>
    <w:rsid w:val="00FC512B"/>
    <w:rsid w:val="00FD567D"/>
    <w:rsid w:val="00FD71D6"/>
    <w:rsid w:val="00FF13F0"/>
    <w:rsid w:val="00FF5236"/>
    <w:rsid w:val="00FF69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7895F"/>
  <w14:defaultImageDpi w14:val="0"/>
  <w15:docId w15:val="{8279A66B-9267-4A62-953A-49EC8EDE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FBF"/>
    <w:pPr>
      <w:spacing w:after="0" w:line="240" w:lineRule="auto"/>
    </w:pPr>
    <w:rPr>
      <w:rFonts w:ascii="Calibri" w:hAnsi="Calibri" w:cs="Calibri"/>
      <w:lang w:eastAsia="en-US"/>
    </w:rPr>
  </w:style>
  <w:style w:type="paragraph" w:styleId="3">
    <w:name w:val="heading 3"/>
    <w:basedOn w:val="a"/>
    <w:link w:val="30"/>
    <w:uiPriority w:val="99"/>
    <w:qFormat/>
    <w:rsid w:val="00AB0FBF"/>
    <w:pPr>
      <w:spacing w:before="100" w:beforeAutospacing="1" w:after="100" w:afterAutospacing="1"/>
      <w:outlineLvl w:val="2"/>
    </w:pPr>
    <w:rPr>
      <w:rFonts w:ascii="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B0FBF"/>
    <w:rPr>
      <w:rFonts w:eastAsia="Times New Roman" w:cs="Times New Roman"/>
      <w:b/>
      <w:bCs/>
      <w:sz w:val="27"/>
      <w:szCs w:val="27"/>
      <w:lang w:val="x-none" w:eastAsia="uk-UA"/>
    </w:rPr>
  </w:style>
  <w:style w:type="paragraph" w:styleId="a3">
    <w:name w:val="List Paragraph"/>
    <w:basedOn w:val="a"/>
    <w:uiPriority w:val="34"/>
    <w:qFormat/>
    <w:rsid w:val="00AB0FBF"/>
    <w:pPr>
      <w:spacing w:after="160" w:line="252" w:lineRule="auto"/>
      <w:ind w:left="720"/>
      <w:contextualSpacing/>
    </w:pPr>
    <w:rPr>
      <w:rFonts w:ascii="Times New Roman" w:hAnsi="Times New Roman" w:cs="Times New Roman"/>
      <w:sz w:val="28"/>
      <w:szCs w:val="28"/>
    </w:rPr>
  </w:style>
  <w:style w:type="paragraph" w:styleId="a4">
    <w:name w:val="Balloon Text"/>
    <w:basedOn w:val="a"/>
    <w:link w:val="a5"/>
    <w:uiPriority w:val="99"/>
    <w:semiHidden/>
    <w:rsid w:val="00AB0FBF"/>
    <w:rPr>
      <w:rFonts w:ascii="Segoe UI" w:hAnsi="Segoe UI" w:cs="Segoe UI"/>
      <w:sz w:val="18"/>
      <w:szCs w:val="18"/>
    </w:rPr>
  </w:style>
  <w:style w:type="character" w:customStyle="1" w:styleId="a5">
    <w:name w:val="Текст у виносці Знак"/>
    <w:basedOn w:val="a0"/>
    <w:link w:val="a4"/>
    <w:uiPriority w:val="99"/>
    <w:semiHidden/>
    <w:locked/>
    <w:rsid w:val="00AB0FBF"/>
    <w:rPr>
      <w:rFonts w:ascii="Segoe UI" w:hAnsi="Segoe UI" w:cs="Segoe UI"/>
      <w:sz w:val="18"/>
      <w:szCs w:val="18"/>
    </w:rPr>
  </w:style>
  <w:style w:type="paragraph" w:styleId="a6">
    <w:name w:val="footer"/>
    <w:basedOn w:val="a"/>
    <w:link w:val="a7"/>
    <w:uiPriority w:val="99"/>
    <w:rsid w:val="00AB0FBF"/>
    <w:pPr>
      <w:tabs>
        <w:tab w:val="center" w:pos="4819"/>
        <w:tab w:val="right" w:pos="9639"/>
      </w:tabs>
    </w:pPr>
    <w:rPr>
      <w:rFonts w:ascii="Times New Roman" w:eastAsia="Times New Roman" w:hAnsi="Times New Roman" w:cs="Times New Roman"/>
      <w:sz w:val="28"/>
    </w:rPr>
  </w:style>
  <w:style w:type="character" w:customStyle="1" w:styleId="a7">
    <w:name w:val="Нижній колонтитул Знак"/>
    <w:basedOn w:val="a0"/>
    <w:link w:val="a6"/>
    <w:uiPriority w:val="99"/>
    <w:locked/>
    <w:rsid w:val="00AB0FBF"/>
    <w:rPr>
      <w:rFonts w:eastAsia="Times New Roman" w:cs="Times New Roman"/>
      <w:sz w:val="22"/>
      <w:szCs w:val="22"/>
    </w:rPr>
  </w:style>
  <w:style w:type="paragraph" w:customStyle="1" w:styleId="1">
    <w:name w:val="Без інтервалів1"/>
    <w:uiPriority w:val="99"/>
    <w:rsid w:val="00AB0FBF"/>
    <w:pPr>
      <w:spacing w:after="0" w:line="240" w:lineRule="auto"/>
    </w:pPr>
    <w:rPr>
      <w:rFonts w:ascii="Calibri" w:hAnsi="Calibri"/>
      <w:lang w:eastAsia="en-US"/>
    </w:rPr>
  </w:style>
  <w:style w:type="paragraph" w:customStyle="1" w:styleId="Igor">
    <w:name w:val="Igor"/>
    <w:basedOn w:val="a"/>
    <w:autoRedefine/>
    <w:uiPriority w:val="99"/>
    <w:rsid w:val="00AB0FBF"/>
    <w:pPr>
      <w:spacing w:before="120" w:after="120"/>
      <w:ind w:firstLine="709"/>
      <w:jc w:val="both"/>
    </w:pPr>
    <w:rPr>
      <w:rFonts w:ascii="Times New Roman" w:hAnsi="Times New Roman" w:cs="Times New Roman"/>
      <w:sz w:val="28"/>
      <w:szCs w:val="28"/>
      <w:lang w:eastAsia="ru-RU"/>
    </w:rPr>
  </w:style>
  <w:style w:type="paragraph" w:styleId="a8">
    <w:name w:val="No Spacing"/>
    <w:uiPriority w:val="99"/>
    <w:qFormat/>
    <w:rsid w:val="00AB0FBF"/>
    <w:pPr>
      <w:spacing w:after="0" w:line="240" w:lineRule="auto"/>
    </w:pPr>
    <w:rPr>
      <w:sz w:val="28"/>
      <w:lang w:val="ru-RU" w:eastAsia="en-US"/>
    </w:rPr>
  </w:style>
  <w:style w:type="table" w:styleId="a9">
    <w:name w:val="Table Grid"/>
    <w:basedOn w:val="a1"/>
    <w:uiPriority w:val="99"/>
    <w:rsid w:val="00AB0FBF"/>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47376F"/>
    <w:rPr>
      <w:rFonts w:cs="Times New Roman"/>
    </w:rPr>
  </w:style>
  <w:style w:type="character" w:styleId="aa">
    <w:name w:val="Hyperlink"/>
    <w:basedOn w:val="a0"/>
    <w:uiPriority w:val="99"/>
    <w:locked/>
    <w:rsid w:val="002B5A79"/>
    <w:rPr>
      <w:rFonts w:cs="Times New Roman"/>
      <w:color w:val="0000FF"/>
      <w:u w:val="single"/>
    </w:rPr>
  </w:style>
  <w:style w:type="paragraph" w:styleId="HTML">
    <w:name w:val="HTML Preformatted"/>
    <w:basedOn w:val="a"/>
    <w:link w:val="HTML0"/>
    <w:uiPriority w:val="99"/>
    <w:locked/>
    <w:rsid w:val="009B6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semiHidden/>
    <w:rPr>
      <w:rFonts w:ascii="Courier New" w:hAnsi="Courier New" w:cs="Courier New"/>
      <w:sz w:val="20"/>
      <w:szCs w:val="20"/>
      <w:lang w:eastAsia="en-US"/>
    </w:rPr>
  </w:style>
  <w:style w:type="character" w:customStyle="1" w:styleId="st42">
    <w:name w:val="st42"/>
    <w:rsid w:val="00D62560"/>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41672">
      <w:marLeft w:val="0"/>
      <w:marRight w:val="0"/>
      <w:marTop w:val="0"/>
      <w:marBottom w:val="0"/>
      <w:divBdr>
        <w:top w:val="none" w:sz="0" w:space="0" w:color="auto"/>
        <w:left w:val="none" w:sz="0" w:space="0" w:color="auto"/>
        <w:bottom w:val="none" w:sz="0" w:space="0" w:color="auto"/>
        <w:right w:val="none" w:sz="0" w:space="0" w:color="auto"/>
      </w:divBdr>
    </w:div>
    <w:div w:id="2097241673">
      <w:marLeft w:val="0"/>
      <w:marRight w:val="0"/>
      <w:marTop w:val="0"/>
      <w:marBottom w:val="0"/>
      <w:divBdr>
        <w:top w:val="none" w:sz="0" w:space="0" w:color="auto"/>
        <w:left w:val="none" w:sz="0" w:space="0" w:color="auto"/>
        <w:bottom w:val="none" w:sz="0" w:space="0" w:color="auto"/>
        <w:right w:val="none" w:sz="0" w:space="0" w:color="auto"/>
      </w:divBdr>
    </w:div>
    <w:div w:id="2097241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1427-9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13195</Words>
  <Characters>7522</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До реєстр</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subject/>
  <dc:creator>Лідія Олександрівна Жуковіна</dc:creator>
  <cp:keywords/>
  <dc:description/>
  <cp:lastModifiedBy>Бикова Інна Григорівна</cp:lastModifiedBy>
  <cp:revision>58</cp:revision>
  <cp:lastPrinted>2020-05-20T06:33:00Z</cp:lastPrinted>
  <dcterms:created xsi:type="dcterms:W3CDTF">2020-05-20T06:58:00Z</dcterms:created>
  <dcterms:modified xsi:type="dcterms:W3CDTF">2020-05-20T08:28:00Z</dcterms:modified>
</cp:coreProperties>
</file>