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D5" w:rsidRPr="00044B0B" w:rsidRDefault="004D14D5" w:rsidP="004D14D5">
      <w:pPr>
        <w:ind w:firstLine="567"/>
        <w:jc w:val="center"/>
        <w:outlineLvl w:val="4"/>
        <w:rPr>
          <w:b/>
          <w:bCs/>
        </w:rPr>
      </w:pPr>
      <w:r w:rsidRPr="00044B0B">
        <w:rPr>
          <w:b/>
          <w:bCs/>
        </w:rPr>
        <w:t>ВИСНОВОК</w:t>
      </w:r>
    </w:p>
    <w:p w:rsidR="004D14D5" w:rsidRPr="00044B0B" w:rsidRDefault="004D14D5" w:rsidP="004D14D5">
      <w:pPr>
        <w:ind w:firstLine="567"/>
        <w:jc w:val="center"/>
        <w:outlineLvl w:val="4"/>
        <w:rPr>
          <w:b/>
        </w:rPr>
      </w:pPr>
      <w:r w:rsidRPr="00044B0B">
        <w:rPr>
          <w:b/>
          <w:bCs/>
        </w:rPr>
        <w:t xml:space="preserve">Комітету Верховної Ради України з питань </w:t>
      </w:r>
      <w:r w:rsidRPr="00044B0B">
        <w:rPr>
          <w:b/>
        </w:rPr>
        <w:t xml:space="preserve">інтеграції України з Європейським Союзом щодо проекту Закону України </w:t>
      </w:r>
    </w:p>
    <w:p w:rsidR="004D14D5" w:rsidRPr="00044B0B" w:rsidRDefault="004D14D5" w:rsidP="004D14D5">
      <w:pPr>
        <w:ind w:firstLine="567"/>
        <w:jc w:val="center"/>
        <w:outlineLvl w:val="4"/>
        <w:rPr>
          <w:b/>
          <w:bCs/>
        </w:rPr>
      </w:pPr>
      <w:r w:rsidRPr="00044B0B">
        <w:rPr>
          <w:b/>
        </w:rPr>
        <w:t>«</w:t>
      </w:r>
      <w:r w:rsidR="009963E6" w:rsidRPr="00044B0B">
        <w:rPr>
          <w:b/>
        </w:rPr>
        <w:t xml:space="preserve">Про </w:t>
      </w:r>
      <w:bookmarkStart w:id="0" w:name="_GoBack"/>
      <w:r w:rsidR="009963E6" w:rsidRPr="00044B0B">
        <w:rPr>
          <w:b/>
        </w:rPr>
        <w:t>внесення змін до деяких законодавчих актів України щодо впровадження європейських принципів модернізації української промисловості</w:t>
      </w:r>
      <w:bookmarkEnd w:id="0"/>
      <w:r w:rsidRPr="00044B0B">
        <w:rPr>
          <w:b/>
        </w:rPr>
        <w:t xml:space="preserve">» </w:t>
      </w:r>
      <w:r w:rsidRPr="00044B0B">
        <w:rPr>
          <w:b/>
          <w:bCs/>
        </w:rPr>
        <w:t xml:space="preserve">(реєстр. № </w:t>
      </w:r>
      <w:r w:rsidR="009963E6" w:rsidRPr="00044B0B">
        <w:rPr>
          <w:b/>
          <w:bCs/>
        </w:rPr>
        <w:t>2464</w:t>
      </w:r>
      <w:r w:rsidRPr="00044B0B">
        <w:rPr>
          <w:b/>
          <w:bCs/>
        </w:rPr>
        <w:t xml:space="preserve"> від 1</w:t>
      </w:r>
      <w:r w:rsidR="009963E6" w:rsidRPr="00044B0B">
        <w:rPr>
          <w:b/>
          <w:bCs/>
        </w:rPr>
        <w:t>8</w:t>
      </w:r>
      <w:r w:rsidRPr="00044B0B">
        <w:rPr>
          <w:b/>
          <w:bCs/>
        </w:rPr>
        <w:t>.1</w:t>
      </w:r>
      <w:r w:rsidR="009963E6" w:rsidRPr="00044B0B">
        <w:rPr>
          <w:b/>
          <w:bCs/>
        </w:rPr>
        <w:t>1</w:t>
      </w:r>
      <w:r w:rsidRPr="00044B0B">
        <w:rPr>
          <w:b/>
          <w:bCs/>
        </w:rPr>
        <w:t xml:space="preserve">.2019 р., </w:t>
      </w:r>
      <w:proofErr w:type="spellStart"/>
      <w:r w:rsidR="009963E6" w:rsidRPr="00044B0B">
        <w:rPr>
          <w:b/>
          <w:bCs/>
        </w:rPr>
        <w:t>н.д</w:t>
      </w:r>
      <w:proofErr w:type="spellEnd"/>
      <w:r w:rsidR="009963E6" w:rsidRPr="00044B0B">
        <w:rPr>
          <w:b/>
          <w:bCs/>
        </w:rPr>
        <w:t xml:space="preserve">. С. </w:t>
      </w:r>
      <w:proofErr w:type="spellStart"/>
      <w:r w:rsidR="009963E6" w:rsidRPr="00044B0B">
        <w:rPr>
          <w:b/>
        </w:rPr>
        <w:t>Магера</w:t>
      </w:r>
      <w:proofErr w:type="spellEnd"/>
      <w:r w:rsidR="009963E6" w:rsidRPr="00044B0B">
        <w:rPr>
          <w:b/>
        </w:rPr>
        <w:t xml:space="preserve"> та інші</w:t>
      </w:r>
      <w:r w:rsidRPr="00044B0B">
        <w:rPr>
          <w:b/>
          <w:bCs/>
        </w:rPr>
        <w:t xml:space="preserve">) </w:t>
      </w:r>
    </w:p>
    <w:p w:rsidR="004D14D5" w:rsidRPr="00044B0B" w:rsidRDefault="004D14D5" w:rsidP="004D14D5">
      <w:pPr>
        <w:spacing w:before="240"/>
        <w:ind w:firstLine="567"/>
        <w:jc w:val="both"/>
        <w:rPr>
          <w:b/>
        </w:rPr>
      </w:pPr>
      <w:r w:rsidRPr="00044B0B">
        <w:rPr>
          <w:b/>
        </w:rPr>
        <w:t>1. Загальна характеристика законопроекту.</w:t>
      </w:r>
    </w:p>
    <w:p w:rsidR="004D14D5" w:rsidRPr="00044B0B" w:rsidRDefault="00260BD2" w:rsidP="004D14D5">
      <w:pPr>
        <w:pStyle w:val="rvps2"/>
        <w:tabs>
          <w:tab w:val="left" w:pos="851"/>
        </w:tabs>
        <w:spacing w:before="6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44B0B">
        <w:rPr>
          <w:sz w:val="28"/>
          <w:szCs w:val="28"/>
          <w:lang w:val="uk-UA"/>
        </w:rPr>
        <w:t>П</w:t>
      </w:r>
      <w:r w:rsidR="004D14D5" w:rsidRPr="00044B0B">
        <w:rPr>
          <w:sz w:val="28"/>
          <w:szCs w:val="28"/>
          <w:lang w:val="uk-UA"/>
        </w:rPr>
        <w:t>роект</w:t>
      </w:r>
      <w:r w:rsidRPr="00044B0B">
        <w:rPr>
          <w:sz w:val="28"/>
          <w:szCs w:val="28"/>
          <w:lang w:val="uk-UA"/>
        </w:rPr>
        <w:t>ом</w:t>
      </w:r>
      <w:r w:rsidR="004D14D5" w:rsidRPr="00044B0B">
        <w:rPr>
          <w:sz w:val="28"/>
          <w:szCs w:val="28"/>
          <w:lang w:val="uk-UA"/>
        </w:rPr>
        <w:t xml:space="preserve"> Закону</w:t>
      </w:r>
      <w:r w:rsidRPr="00044B0B">
        <w:rPr>
          <w:sz w:val="28"/>
          <w:szCs w:val="28"/>
          <w:lang w:val="uk-UA"/>
        </w:rPr>
        <w:t xml:space="preserve"> пропонується внести зміни до Закону України «Про оцінку впливу на довкілля» та Закону України  «Про охорону навколишнього природного середовища» з метою надання права підприємствам, установам або організаціям на зменшення сум платежів (нарахувань) екологічного податку у разі реалізації таким підприємством, установою, організацією проектів екологічної модернізації підприємства та/або інших заходів, спрямованих на запобігання, відвернення, уникнення, зменшення або усунення значного негативного впливу на довкілля.  </w:t>
      </w:r>
      <w:r w:rsidR="004D14D5" w:rsidRPr="00044B0B">
        <w:rPr>
          <w:sz w:val="28"/>
          <w:szCs w:val="28"/>
          <w:lang w:val="uk-UA"/>
        </w:rPr>
        <w:t xml:space="preserve"> </w:t>
      </w:r>
    </w:p>
    <w:p w:rsidR="004D14D5" w:rsidRPr="00044B0B" w:rsidRDefault="004D14D5" w:rsidP="004D14D5">
      <w:pPr>
        <w:spacing w:before="240"/>
        <w:ind w:firstLine="567"/>
        <w:jc w:val="both"/>
        <w:rPr>
          <w:b/>
          <w:bCs/>
        </w:rPr>
      </w:pPr>
      <w:r w:rsidRPr="00044B0B">
        <w:rPr>
          <w:rFonts w:eastAsia="Verdana"/>
          <w:b/>
          <w:bCs/>
        </w:rPr>
        <w:t>2.  </w:t>
      </w:r>
      <w:r w:rsidRPr="00044B0B">
        <w:rPr>
          <w:b/>
          <w:bCs/>
        </w:rPr>
        <w:t>Належність законопроекту за предметом правового регулювання до сфери дії права Європейського Союзу.</w:t>
      </w:r>
    </w:p>
    <w:p w:rsidR="004D14D5" w:rsidRPr="00044B0B" w:rsidRDefault="004D14D5" w:rsidP="004D14D5">
      <w:pPr>
        <w:spacing w:before="60" w:after="60"/>
        <w:ind w:firstLine="567"/>
        <w:jc w:val="both"/>
      </w:pPr>
      <w:r w:rsidRPr="00044B0B">
        <w:t>Предмет правового регулювання законопроекту охоплюється положеннями Глави 6 «Навколишнє середовище» Розділу V «Економічне та галузеве співробітництво» та Додатку ХХХ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A948BE" w:rsidRPr="00044B0B" w:rsidRDefault="004D14D5" w:rsidP="004D14D5">
      <w:pPr>
        <w:ind w:firstLine="567"/>
        <w:jc w:val="both"/>
      </w:pPr>
      <w:r w:rsidRPr="00044B0B">
        <w:t>Правовідносини, які є предметом правового регулювання законопроекту, в Європейському Союзі регулюються</w:t>
      </w:r>
      <w:r w:rsidR="00A948BE" w:rsidRPr="00044B0B">
        <w:t>:</w:t>
      </w:r>
    </w:p>
    <w:p w:rsidR="00A948BE" w:rsidRPr="00044B0B" w:rsidRDefault="004D14D5" w:rsidP="000066F3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044B0B">
        <w:rPr>
          <w:i/>
          <w:color w:val="000000" w:themeColor="text1"/>
        </w:rPr>
        <w:t>Директивою 20</w:t>
      </w:r>
      <w:r w:rsidR="00A948BE" w:rsidRPr="00044B0B">
        <w:rPr>
          <w:i/>
          <w:color w:val="000000" w:themeColor="text1"/>
        </w:rPr>
        <w:t>04</w:t>
      </w:r>
      <w:r w:rsidRPr="00044B0B">
        <w:rPr>
          <w:i/>
          <w:color w:val="000000" w:themeColor="text1"/>
        </w:rPr>
        <w:t>/</w:t>
      </w:r>
      <w:r w:rsidR="00A948BE" w:rsidRPr="00044B0B">
        <w:rPr>
          <w:i/>
          <w:color w:val="000000" w:themeColor="text1"/>
        </w:rPr>
        <w:t>35</w:t>
      </w:r>
      <w:r w:rsidRPr="00044B0B">
        <w:rPr>
          <w:i/>
          <w:color w:val="000000" w:themeColor="text1"/>
        </w:rPr>
        <w:t xml:space="preserve">/ЄС Європейського Парламенту та Ради від </w:t>
      </w:r>
      <w:r w:rsidR="000066F3" w:rsidRPr="00044B0B">
        <w:rPr>
          <w:i/>
          <w:color w:val="000000" w:themeColor="text1"/>
        </w:rPr>
        <w:t>21</w:t>
      </w:r>
      <w:r w:rsidRPr="00044B0B">
        <w:rPr>
          <w:i/>
          <w:color w:val="000000" w:themeColor="text1"/>
        </w:rPr>
        <w:t xml:space="preserve"> </w:t>
      </w:r>
      <w:r w:rsidR="000066F3" w:rsidRPr="00044B0B">
        <w:rPr>
          <w:i/>
          <w:color w:val="000000" w:themeColor="text1"/>
        </w:rPr>
        <w:t>квітня</w:t>
      </w:r>
      <w:r w:rsidRPr="00044B0B">
        <w:rPr>
          <w:i/>
          <w:color w:val="000000" w:themeColor="text1"/>
        </w:rPr>
        <w:t xml:space="preserve"> 20</w:t>
      </w:r>
      <w:r w:rsidR="000066F3" w:rsidRPr="00044B0B">
        <w:rPr>
          <w:i/>
          <w:color w:val="000000" w:themeColor="text1"/>
        </w:rPr>
        <w:t>04</w:t>
      </w:r>
      <w:r w:rsidRPr="00044B0B">
        <w:rPr>
          <w:i/>
          <w:color w:val="000000" w:themeColor="text1"/>
        </w:rPr>
        <w:t xml:space="preserve"> року про </w:t>
      </w:r>
      <w:r w:rsidR="00044B0B" w:rsidRPr="00044B0B">
        <w:rPr>
          <w:i/>
          <w:color w:val="000000" w:themeColor="text1"/>
        </w:rPr>
        <w:t>екологічну</w:t>
      </w:r>
      <w:r w:rsidR="000066F3" w:rsidRPr="00044B0B">
        <w:rPr>
          <w:i/>
          <w:color w:val="000000" w:themeColor="text1"/>
        </w:rPr>
        <w:t xml:space="preserve"> відповідальність за попередження та ліквідацію наслідків завданої навколишньому природному середовищу шкоди </w:t>
      </w:r>
      <w:r w:rsidRPr="00044B0B">
        <w:rPr>
          <w:color w:val="000000" w:themeColor="text1"/>
        </w:rPr>
        <w:t>(</w:t>
      </w:r>
      <w:proofErr w:type="spellStart"/>
      <w:r w:rsidRPr="00044B0B">
        <w:rPr>
          <w:color w:val="000000" w:themeColor="text1"/>
        </w:rPr>
        <w:t>Official</w:t>
      </w:r>
      <w:proofErr w:type="spellEnd"/>
      <w:r w:rsidRPr="00044B0B">
        <w:rPr>
          <w:color w:val="000000" w:themeColor="text1"/>
        </w:rPr>
        <w:t xml:space="preserve"> </w:t>
      </w:r>
      <w:proofErr w:type="spellStart"/>
      <w:r w:rsidRPr="00044B0B">
        <w:rPr>
          <w:color w:val="000000" w:themeColor="text1"/>
        </w:rPr>
        <w:t>Journal</w:t>
      </w:r>
      <w:proofErr w:type="spellEnd"/>
      <w:r w:rsidRPr="00044B0B">
        <w:rPr>
          <w:color w:val="000000" w:themeColor="text1"/>
        </w:rPr>
        <w:t xml:space="preserve"> L 1</w:t>
      </w:r>
      <w:r w:rsidR="000066F3" w:rsidRPr="00044B0B">
        <w:rPr>
          <w:color w:val="000000" w:themeColor="text1"/>
        </w:rPr>
        <w:t>43</w:t>
      </w:r>
      <w:r w:rsidRPr="00044B0B">
        <w:rPr>
          <w:color w:val="000000" w:themeColor="text1"/>
        </w:rPr>
        <w:t xml:space="preserve">, </w:t>
      </w:r>
      <w:r w:rsidR="000066F3" w:rsidRPr="00044B0B">
        <w:rPr>
          <w:color w:val="000000" w:themeColor="text1"/>
        </w:rPr>
        <w:t>30</w:t>
      </w:r>
      <w:r w:rsidRPr="00044B0B">
        <w:rPr>
          <w:color w:val="000000" w:themeColor="text1"/>
        </w:rPr>
        <w:t>.0</w:t>
      </w:r>
      <w:r w:rsidR="000066F3" w:rsidRPr="00044B0B">
        <w:rPr>
          <w:color w:val="000000" w:themeColor="text1"/>
        </w:rPr>
        <w:t>4</w:t>
      </w:r>
      <w:r w:rsidRPr="00044B0B">
        <w:rPr>
          <w:color w:val="000000" w:themeColor="text1"/>
        </w:rPr>
        <w:t>.20</w:t>
      </w:r>
      <w:r w:rsidR="000066F3" w:rsidRPr="00044B0B">
        <w:rPr>
          <w:color w:val="000000" w:themeColor="text1"/>
        </w:rPr>
        <w:t>04</w:t>
      </w:r>
      <w:r w:rsidRPr="00044B0B">
        <w:rPr>
          <w:color w:val="000000" w:themeColor="text1"/>
        </w:rPr>
        <w:t xml:space="preserve">, р. </w:t>
      </w:r>
      <w:r w:rsidR="000066F3" w:rsidRPr="00044B0B">
        <w:rPr>
          <w:color w:val="000000" w:themeColor="text1"/>
        </w:rPr>
        <w:t>56</w:t>
      </w:r>
      <w:r w:rsidRPr="00044B0B">
        <w:rPr>
          <w:color w:val="000000" w:themeColor="text1"/>
        </w:rPr>
        <w:t>–7</w:t>
      </w:r>
      <w:r w:rsidR="000066F3" w:rsidRPr="00044B0B">
        <w:rPr>
          <w:color w:val="000000" w:themeColor="text1"/>
        </w:rPr>
        <w:t>5</w:t>
      </w:r>
      <w:r w:rsidRPr="00044B0B">
        <w:rPr>
          <w:color w:val="000000" w:themeColor="text1"/>
        </w:rPr>
        <w:t>) (далі – Директива 20</w:t>
      </w:r>
      <w:r w:rsidR="000066F3" w:rsidRPr="00044B0B">
        <w:rPr>
          <w:color w:val="000000" w:themeColor="text1"/>
        </w:rPr>
        <w:t>04</w:t>
      </w:r>
      <w:r w:rsidRPr="00044B0B">
        <w:rPr>
          <w:color w:val="000000" w:themeColor="text1"/>
        </w:rPr>
        <w:t>/</w:t>
      </w:r>
      <w:r w:rsidR="000066F3" w:rsidRPr="00044B0B">
        <w:rPr>
          <w:color w:val="000000" w:themeColor="text1"/>
        </w:rPr>
        <w:t>35</w:t>
      </w:r>
      <w:r w:rsidRPr="00044B0B">
        <w:rPr>
          <w:color w:val="000000" w:themeColor="text1"/>
        </w:rPr>
        <w:t>/ЄС)</w:t>
      </w:r>
      <w:r w:rsidR="00A948BE" w:rsidRPr="00044B0B">
        <w:rPr>
          <w:color w:val="000000" w:themeColor="text1"/>
        </w:rPr>
        <w:t>;</w:t>
      </w:r>
      <w:r w:rsidR="000066F3" w:rsidRPr="00044B0B">
        <w:rPr>
          <w:color w:val="000000" w:themeColor="text1"/>
        </w:rPr>
        <w:t xml:space="preserve"> </w:t>
      </w:r>
    </w:p>
    <w:p w:rsidR="004D14D5" w:rsidRPr="00044B0B" w:rsidRDefault="00A948BE" w:rsidP="000066F3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44B0B">
        <w:rPr>
          <w:i/>
          <w:color w:val="000000" w:themeColor="text1"/>
        </w:rPr>
        <w:t>Директивою 2011/92/ЄС</w:t>
      </w:r>
      <w:r w:rsidR="000066F3" w:rsidRPr="00044B0B">
        <w:rPr>
          <w:i/>
          <w:color w:val="000000" w:themeColor="text1"/>
        </w:rPr>
        <w:t xml:space="preserve"> </w:t>
      </w:r>
      <w:r w:rsidRPr="00044B0B">
        <w:rPr>
          <w:rStyle w:val="ab"/>
        </w:rPr>
        <w:t>Європейського Парламенту та Ради від 13 грудня 2011</w:t>
      </w:r>
      <w:r w:rsidR="000066F3" w:rsidRPr="00044B0B">
        <w:rPr>
          <w:rStyle w:val="ab"/>
        </w:rPr>
        <w:t xml:space="preserve"> року</w:t>
      </w:r>
      <w:r w:rsidRPr="00044B0B">
        <w:rPr>
          <w:rStyle w:val="ab"/>
        </w:rPr>
        <w:t xml:space="preserve"> про оцінку впливу окремих державних </w:t>
      </w:r>
      <w:r w:rsidR="006E7047" w:rsidRPr="00044B0B">
        <w:rPr>
          <w:rStyle w:val="ab"/>
        </w:rPr>
        <w:t>і</w:t>
      </w:r>
      <w:r w:rsidRPr="00044B0B">
        <w:rPr>
          <w:rStyle w:val="ab"/>
        </w:rPr>
        <w:t xml:space="preserve"> приватних проектів на навколишнє середовище</w:t>
      </w:r>
      <w:r w:rsidRPr="00044B0B">
        <w:rPr>
          <w:rStyle w:val="st"/>
        </w:rPr>
        <w:t xml:space="preserve"> (</w:t>
      </w:r>
      <w:proofErr w:type="spellStart"/>
      <w:r w:rsidRPr="00044B0B">
        <w:t>Official</w:t>
      </w:r>
      <w:proofErr w:type="spellEnd"/>
      <w:r w:rsidRPr="00044B0B">
        <w:t xml:space="preserve"> </w:t>
      </w:r>
      <w:proofErr w:type="spellStart"/>
      <w:r w:rsidRPr="00044B0B">
        <w:t>Journal</w:t>
      </w:r>
      <w:proofErr w:type="spellEnd"/>
      <w:r w:rsidRPr="00044B0B">
        <w:t xml:space="preserve"> L 26, 28.01.2012, p. 1–21)</w:t>
      </w:r>
      <w:r w:rsidRPr="00044B0B">
        <w:rPr>
          <w:sz w:val="24"/>
          <w:szCs w:val="24"/>
        </w:rPr>
        <w:t xml:space="preserve"> </w:t>
      </w:r>
      <w:r w:rsidRPr="00044B0B">
        <w:t>(далі – Директива 2011/92/ЄС)</w:t>
      </w:r>
      <w:r w:rsidR="000066F3" w:rsidRPr="00044B0B">
        <w:t>.</w:t>
      </w:r>
    </w:p>
    <w:p w:rsidR="000066F3" w:rsidRPr="00044B0B" w:rsidRDefault="000066F3" w:rsidP="000066F3">
      <w:pPr>
        <w:ind w:firstLine="567"/>
        <w:jc w:val="both"/>
      </w:pPr>
    </w:p>
    <w:p w:rsidR="004D14D5" w:rsidRPr="00044B0B" w:rsidRDefault="004D14D5" w:rsidP="004D14D5">
      <w:pPr>
        <w:ind w:firstLine="567"/>
        <w:jc w:val="both"/>
        <w:rPr>
          <w:b/>
        </w:rPr>
      </w:pPr>
      <w:r w:rsidRPr="00044B0B">
        <w:rPr>
          <w:rFonts w:eastAsia="Verdana"/>
          <w:b/>
          <w:bCs/>
        </w:rPr>
        <w:t>3.  </w:t>
      </w:r>
      <w:r w:rsidRPr="00044B0B">
        <w:rPr>
          <w:b/>
        </w:rPr>
        <w:t>Відповідність законопроекту праву ЄС.</w:t>
      </w:r>
    </w:p>
    <w:p w:rsidR="004D14D5" w:rsidRPr="00044B0B" w:rsidRDefault="004D14D5" w:rsidP="004D14D5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4D14D5" w:rsidRPr="00044B0B" w:rsidRDefault="004D14D5" w:rsidP="004D14D5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361 Угоди про асоціацію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передбачено, що співробітництво з питань охорони навколишнього середовища має на меті збереження, захист, поліпшення і відтворення якості навколишнього середовища, захист громадського здоров’я,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серед іншого, у такій сфері як </w:t>
      </w:r>
      <w:r w:rsidR="008B3D65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екологічні збори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6E7047" w:rsidRPr="00044B0B" w:rsidRDefault="004D14D5" w:rsidP="004D14D5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 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363 Угоди про асоціацію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зазначено, що поступове наближення законодавства України до права та політики ЄЄ у сфері охорони навколишнього природного середовища здійснюється відповідно до Додатка XXX до цієї Угоди, згідно із яким Україна </w:t>
      </w:r>
      <w:r w:rsidR="006E7047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зобов’язалась </w:t>
      </w:r>
      <w:proofErr w:type="spellStart"/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імплементувати</w:t>
      </w:r>
      <w:proofErr w:type="spellEnd"/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Директиви </w:t>
      </w:r>
      <w:r w:rsidR="006E7047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2011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6E7047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/ЄС</w:t>
      </w:r>
      <w:r w:rsidR="00D21799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. Положення зазначеної директи</w:t>
      </w:r>
      <w:r w:rsidR="007A436A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ви були впроваджені з прийняттям</w:t>
      </w:r>
      <w:r w:rsidR="00A4079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оцінку впливу на довкілля» від 23.05.2017 р. № 2059-VIII.</w:t>
      </w:r>
    </w:p>
    <w:p w:rsidR="00ED36F1" w:rsidRPr="00044B0B" w:rsidRDefault="00ED36F1" w:rsidP="00A40791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hAnsi="Times New Roman"/>
          <w:sz w:val="28"/>
          <w:szCs w:val="28"/>
          <w:lang w:val="uk-UA"/>
        </w:rPr>
        <w:t>У зв’язку з цим слід зауважити, що відповідно до</w:t>
      </w:r>
      <w:r w:rsidR="00A4079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0791"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частин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и</w:t>
      </w:r>
      <w:r w:rsidR="00A40791"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1 статті 2 Директиви 2011/92/ЄС</w:t>
      </w:r>
      <w:r w:rsidR="00A4079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держави-члени </w:t>
      </w:r>
      <w:r w:rsidR="005144E5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вживають всіх необхідних заходів </w:t>
      </w:r>
      <w:r w:rsidR="00A4079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того, щоб </w:t>
      </w:r>
      <w:r w:rsidR="00A40791"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перед наданням дозволу</w:t>
      </w:r>
      <w:r w:rsidR="00A4079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проекти, що можуть мати відчутні наслідки для навколишнього природного середовища, зокрема з огляду на їх характер, їх обсяги або їх локалізацію, підлягали процедурі запиту дозволу, а також оцінці, що стосується їх наслідків.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E7047" w:rsidRPr="00044B0B" w:rsidRDefault="00A40791" w:rsidP="00A40791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Таким чином, оцінка впливу на довкілля здійснюється щодо майбутньої діяльності, а не господарської, яка вже реалізується.</w:t>
      </w:r>
    </w:p>
    <w:p w:rsidR="00ED36F1" w:rsidRPr="00044B0B" w:rsidRDefault="004D14D5" w:rsidP="00ED36F1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необхідно наголосити, що в Європейському Союзі встановлення рамок екологічної відповідальності ґрунтується на принципах: по-перше, «перестороги», тобто необхідності вживання запобіжних заходів та, по-друге, «забруднювач платить» для попередження та ліквідації наслідків екологічної шкоди, зокрема, відповідно до положень </w:t>
      </w:r>
      <w:r w:rsidR="00ED36F1"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Директиви 2004/35/ЄС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імплементація якої охоплюється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зобов’язання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Договором про 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заснування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Енергетичн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Співтовариств</w:t>
      </w:r>
      <w:r w:rsidR="00F625C0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AD155B" w:rsidRPr="00044B0B">
        <w:rPr>
          <w:rStyle w:val="a5"/>
          <w:rFonts w:ascii="Times New Roman" w:eastAsia="Times New Roman" w:hAnsi="Times New Roman"/>
          <w:sz w:val="28"/>
          <w:szCs w:val="28"/>
          <w:lang w:val="uk-UA" w:eastAsia="ru-RU"/>
        </w:rPr>
        <w:footnoteReference w:id="1"/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зазначеної Директиви є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запобігання настанню екологічної шкоди у випадку, коли така не була завдана, але існує неминуча загроза її настання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ліквідац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ія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наслідків екологічної шкоди, як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що така була заподіяна природним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ресурсам.</w:t>
      </w:r>
    </w:p>
    <w:p w:rsidR="00ED36F1" w:rsidRPr="00044B0B" w:rsidRDefault="0080183E" w:rsidP="00ED36F1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положень 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Директиви 2004/35/ЄС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кологічна відповідальність передбачає зобов’язання забруднювача вжити заходи із запобігання настанню екологічної шкоди чи ліквідації наслідків екологічної шкоди для відновлення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природних ресурсів до стану, що існував до її заподіяння, та покриття ним витрат</w:t>
      </w:r>
      <w:r w:rsidR="00415BD3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на проведені заходи. Відновлення стану природних ресурсів здійснює оператор,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заподіяв екологічну шкоду, в</w:t>
      </w:r>
      <w:r w:rsidR="00ED36F1"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рамках конкретного плану ліквідації наслідків такої шкоди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D36F1" w:rsidRPr="00044B0B" w:rsidRDefault="004932F8" w:rsidP="004932F8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Отже, 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Директива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4B0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2004/35/ЄС</w:t>
      </w:r>
      <w:r w:rsidRPr="00044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 вжиття оператором заходів за власних рахунок та вжиття заходів компетентним органом з подальшим відшкодуванням за рахунок оператора.</w:t>
      </w:r>
    </w:p>
    <w:p w:rsidR="0095418F" w:rsidRPr="00044B0B" w:rsidRDefault="004D14D5" w:rsidP="004D14D5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4B0B">
        <w:rPr>
          <w:rFonts w:ascii="Times New Roman" w:hAnsi="Times New Roman"/>
          <w:sz w:val="28"/>
          <w:szCs w:val="28"/>
          <w:lang w:val="uk-UA"/>
        </w:rPr>
        <w:t xml:space="preserve">Враховуючи все вищевикладене, слід зазначити, що проект Закону </w:t>
      </w:r>
      <w:r w:rsidR="003D4689" w:rsidRPr="00044B0B">
        <w:rPr>
          <w:rFonts w:ascii="Times New Roman" w:hAnsi="Times New Roman"/>
          <w:sz w:val="28"/>
          <w:szCs w:val="28"/>
          <w:lang w:val="uk-UA"/>
        </w:rPr>
        <w:t>суперечить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47B" w:rsidRPr="00044B0B">
        <w:rPr>
          <w:rFonts w:ascii="Times New Roman" w:hAnsi="Times New Roman"/>
          <w:sz w:val="28"/>
          <w:szCs w:val="28"/>
          <w:lang w:val="uk-UA"/>
        </w:rPr>
        <w:t xml:space="preserve">зобов’язанням України відповідно до 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>Угоди про асоціацію</w:t>
      </w:r>
      <w:r w:rsidR="00AC247B" w:rsidRPr="00044B0B">
        <w:rPr>
          <w:rFonts w:ascii="Times New Roman" w:hAnsi="Times New Roman"/>
          <w:sz w:val="28"/>
          <w:szCs w:val="28"/>
          <w:lang w:val="uk-UA"/>
        </w:rPr>
        <w:t xml:space="preserve"> та праву ЄС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>,</w:t>
      </w:r>
      <w:r w:rsidR="00AC247B" w:rsidRPr="00044B0B">
        <w:rPr>
          <w:rFonts w:ascii="Times New Roman" w:hAnsi="Times New Roman"/>
          <w:sz w:val="28"/>
          <w:szCs w:val="28"/>
          <w:lang w:val="uk-UA"/>
        </w:rPr>
        <w:t xml:space="preserve"> зокрема, </w:t>
      </w:r>
      <w:r w:rsidR="003D4689" w:rsidRPr="00044B0B">
        <w:rPr>
          <w:rFonts w:ascii="Times New Roman" w:hAnsi="Times New Roman"/>
          <w:sz w:val="28"/>
          <w:szCs w:val="28"/>
          <w:lang w:val="uk-UA"/>
        </w:rPr>
        <w:t>суперечить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3D4689" w:rsidRPr="00044B0B">
        <w:rPr>
          <w:rFonts w:ascii="Times New Roman" w:hAnsi="Times New Roman"/>
          <w:sz w:val="28"/>
          <w:szCs w:val="28"/>
          <w:lang w:val="uk-UA"/>
        </w:rPr>
        <w:t>ам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 xml:space="preserve"> Директиви 2004/35/ЄС, </w:t>
      </w:r>
      <w:r w:rsidR="00B830A6" w:rsidRPr="00044B0B">
        <w:rPr>
          <w:rFonts w:ascii="Times New Roman" w:hAnsi="Times New Roman"/>
          <w:sz w:val="28"/>
          <w:szCs w:val="28"/>
          <w:lang w:val="uk-UA"/>
        </w:rPr>
        <w:t xml:space="preserve">відповідно до якої оператор </w:t>
      </w:r>
      <w:r w:rsidR="00B830A6" w:rsidRPr="00044B0B">
        <w:rPr>
          <w:rFonts w:ascii="Times New Roman" w:hAnsi="Times New Roman"/>
          <w:sz w:val="28"/>
          <w:szCs w:val="28"/>
          <w:lang w:val="uk-UA"/>
        </w:rPr>
        <w:lastRenderedPageBreak/>
        <w:t xml:space="preserve">(забруднювач) оплачує витрати на відновлювальні та запобіжні заходи щодо 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 xml:space="preserve">природних ресурсів, </w:t>
      </w:r>
      <w:r w:rsidR="00CC119A" w:rsidRPr="00044B0B">
        <w:rPr>
          <w:rFonts w:ascii="Times New Roman" w:hAnsi="Times New Roman"/>
          <w:sz w:val="28"/>
          <w:szCs w:val="28"/>
          <w:lang w:val="uk-UA"/>
        </w:rPr>
        <w:t>та</w:t>
      </w:r>
      <w:r w:rsidR="004932F8" w:rsidRPr="00044B0B">
        <w:rPr>
          <w:rFonts w:ascii="Times New Roman" w:hAnsi="Times New Roman"/>
          <w:sz w:val="28"/>
          <w:szCs w:val="28"/>
          <w:lang w:val="uk-UA"/>
        </w:rPr>
        <w:t xml:space="preserve"> Директиви 2011/92/ЄС щодо оцінки впливу на довкілля стосовно планованої діяльності в майбутньому</w:t>
      </w:r>
      <w:r w:rsidR="00B830A6" w:rsidRPr="00044B0B">
        <w:rPr>
          <w:rFonts w:ascii="Times New Roman" w:hAnsi="Times New Roman"/>
          <w:sz w:val="28"/>
          <w:szCs w:val="28"/>
          <w:lang w:val="uk-UA"/>
        </w:rPr>
        <w:t>.</w:t>
      </w:r>
    </w:p>
    <w:p w:rsidR="004D14D5" w:rsidRPr="00044B0B" w:rsidRDefault="004D14D5" w:rsidP="004D14D5">
      <w:pPr>
        <w:spacing w:before="240"/>
        <w:ind w:firstLine="567"/>
        <w:jc w:val="both"/>
        <w:rPr>
          <w:bCs/>
        </w:rPr>
      </w:pPr>
      <w:bookmarkStart w:id="1" w:name="bookmark2"/>
      <w:r w:rsidRPr="00044B0B">
        <w:rPr>
          <w:rFonts w:eastAsia="Verdana"/>
          <w:b/>
          <w:bCs/>
        </w:rPr>
        <w:t>4.</w:t>
      </w:r>
      <w:r w:rsidRPr="00044B0B">
        <w:rPr>
          <w:rFonts w:eastAsia="Verdana"/>
          <w:bCs/>
        </w:rPr>
        <w:t>   </w:t>
      </w:r>
      <w:r w:rsidRPr="00044B0B">
        <w:rPr>
          <w:b/>
        </w:rPr>
        <w:t xml:space="preserve">Висновок Комітету з питань інтеграції України з Європейським Союзом. </w:t>
      </w:r>
    </w:p>
    <w:bookmarkEnd w:id="1"/>
    <w:p w:rsidR="004D14D5" w:rsidRPr="00044B0B" w:rsidRDefault="004D14D5" w:rsidP="004D14D5">
      <w:pPr>
        <w:spacing w:before="120"/>
        <w:ind w:firstLine="567"/>
        <w:jc w:val="both"/>
        <w:rPr>
          <w:color w:val="FF0000"/>
        </w:rPr>
      </w:pPr>
      <w:r w:rsidRPr="00044B0B">
        <w:t xml:space="preserve">Проект Закону </w:t>
      </w:r>
      <w:r w:rsidR="006D47F9" w:rsidRPr="00044B0B">
        <w:t>суперечить</w:t>
      </w:r>
      <w:r w:rsidRPr="00044B0B">
        <w:t xml:space="preserve"> </w:t>
      </w:r>
      <w:r w:rsidR="00AC247B" w:rsidRPr="00044B0B">
        <w:rPr>
          <w:color w:val="000000" w:themeColor="text1"/>
        </w:rPr>
        <w:t>зобов’язанням України відповідно до Угоди про асоціацію та праву ЄС</w:t>
      </w:r>
      <w:r w:rsidR="0095418F" w:rsidRPr="00044B0B">
        <w:t xml:space="preserve">, </w:t>
      </w:r>
      <w:r w:rsidR="00AC247B" w:rsidRPr="00044B0B">
        <w:t xml:space="preserve">а саме: </w:t>
      </w:r>
      <w:r w:rsidR="009963E6" w:rsidRPr="00044B0B">
        <w:t>Директив</w:t>
      </w:r>
      <w:r w:rsidR="00AC247B" w:rsidRPr="00044B0B">
        <w:t>і</w:t>
      </w:r>
      <w:r w:rsidR="009963E6" w:rsidRPr="00044B0B">
        <w:t xml:space="preserve"> 2004/35/ЄС та</w:t>
      </w:r>
      <w:r w:rsidRPr="00044B0B">
        <w:t xml:space="preserve"> Директив</w:t>
      </w:r>
      <w:r w:rsidR="00AC247B" w:rsidRPr="00044B0B">
        <w:t>і</w:t>
      </w:r>
      <w:r w:rsidR="009963E6" w:rsidRPr="00044B0B">
        <w:t xml:space="preserve"> 2011/92</w:t>
      </w:r>
      <w:r w:rsidRPr="00044B0B">
        <w:t>/ЄС</w:t>
      </w:r>
      <w:r w:rsidRPr="00044B0B">
        <w:rPr>
          <w:rFonts w:eastAsia="Calibri"/>
          <w:lang w:eastAsia="en-US"/>
        </w:rPr>
        <w:t>.</w:t>
      </w:r>
      <w:r w:rsidRPr="00044B0B">
        <w:rPr>
          <w:color w:val="FF0000"/>
        </w:rPr>
        <w:t xml:space="preserve"> </w:t>
      </w:r>
    </w:p>
    <w:p w:rsidR="004D14D5" w:rsidRPr="00044B0B" w:rsidRDefault="004D14D5" w:rsidP="004D14D5">
      <w:pPr>
        <w:spacing w:before="120"/>
        <w:ind w:firstLine="567"/>
        <w:jc w:val="both"/>
      </w:pPr>
    </w:p>
    <w:p w:rsidR="004D14D5" w:rsidRPr="00044B0B" w:rsidRDefault="004D14D5" w:rsidP="004D14D5">
      <w:pPr>
        <w:spacing w:before="120"/>
        <w:ind w:firstLine="567"/>
        <w:jc w:val="both"/>
      </w:pPr>
    </w:p>
    <w:sectPr w:rsidR="004D14D5" w:rsidRPr="00044B0B" w:rsidSect="00E8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0" w:left="1276" w:header="708" w:footer="6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75" w:rsidRDefault="00E81E75" w:rsidP="004D14D5">
      <w:r>
        <w:separator/>
      </w:r>
    </w:p>
  </w:endnote>
  <w:endnote w:type="continuationSeparator" w:id="0">
    <w:p w:rsidR="00E81E75" w:rsidRDefault="00E81E75" w:rsidP="004D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2" w:rsidRDefault="00E81E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87EE7" w:rsidRPr="00E1148D" w:rsidRDefault="00B330E2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603AC6">
          <w:rPr>
            <w:noProof/>
            <w:sz w:val="24"/>
            <w:szCs w:val="24"/>
          </w:rPr>
          <w:t>3</w:t>
        </w:r>
        <w:r w:rsidRPr="00E1148D">
          <w:rPr>
            <w:sz w:val="24"/>
            <w:szCs w:val="24"/>
          </w:rPr>
          <w:fldChar w:fldCharType="end"/>
        </w:r>
      </w:p>
    </w:sdtContent>
  </w:sdt>
  <w:p w:rsidR="00F87EE7" w:rsidRDefault="00E81E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2" w:rsidRDefault="00E81E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75" w:rsidRDefault="00E81E75" w:rsidP="004D14D5">
      <w:r>
        <w:separator/>
      </w:r>
    </w:p>
  </w:footnote>
  <w:footnote w:type="continuationSeparator" w:id="0">
    <w:p w:rsidR="00E81E75" w:rsidRDefault="00E81E75" w:rsidP="004D14D5">
      <w:r>
        <w:continuationSeparator/>
      </w:r>
    </w:p>
  </w:footnote>
  <w:footnote w:id="1">
    <w:p w:rsidR="00AD155B" w:rsidRDefault="00AD155B" w:rsidP="00AD155B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AD155B">
        <w:rPr>
          <w:b/>
          <w:i/>
          <w:sz w:val="26"/>
          <w:szCs w:val="26"/>
        </w:rPr>
        <w:t>Довідково:</w:t>
      </w:r>
      <w:r w:rsidRPr="00AD155B">
        <w:rPr>
          <w:sz w:val="26"/>
          <w:szCs w:val="26"/>
        </w:rPr>
        <w:t xml:space="preserve"> Відповідно до розпорядження Кабінету Міністрів України «</w:t>
      </w:r>
      <w:r w:rsidRPr="00870B8B">
        <w:rPr>
          <w:sz w:val="26"/>
          <w:szCs w:val="26"/>
        </w:rPr>
        <w:t xml:space="preserve">Про внесення змін до плану заходів щодо виконання </w:t>
      </w:r>
      <w:r w:rsidRPr="00AD155B">
        <w:rPr>
          <w:sz w:val="26"/>
          <w:szCs w:val="26"/>
        </w:rPr>
        <w:t>зобов’язань</w:t>
      </w:r>
      <w:r w:rsidRPr="00870B8B">
        <w:rPr>
          <w:sz w:val="26"/>
          <w:szCs w:val="26"/>
        </w:rPr>
        <w:t xml:space="preserve"> в рамках Договору про заснування Енергетичного Співтовариства</w:t>
      </w:r>
      <w:r w:rsidRPr="00AD155B">
        <w:rPr>
          <w:sz w:val="26"/>
          <w:szCs w:val="26"/>
        </w:rPr>
        <w:t xml:space="preserve">» </w:t>
      </w:r>
      <w:r w:rsidRPr="00870B8B">
        <w:rPr>
          <w:sz w:val="26"/>
          <w:szCs w:val="26"/>
        </w:rPr>
        <w:t>від 27</w:t>
      </w:r>
      <w:r w:rsidRPr="00AD155B">
        <w:rPr>
          <w:sz w:val="26"/>
          <w:szCs w:val="26"/>
        </w:rPr>
        <w:t>.09.</w:t>
      </w:r>
      <w:r w:rsidRPr="00870B8B">
        <w:rPr>
          <w:sz w:val="26"/>
          <w:szCs w:val="26"/>
        </w:rPr>
        <w:t xml:space="preserve">2017 р. </w:t>
      </w:r>
      <w:r w:rsidRPr="00AD155B">
        <w:rPr>
          <w:sz w:val="26"/>
          <w:szCs w:val="26"/>
        </w:rPr>
        <w:t>№</w:t>
      </w:r>
      <w:r w:rsidRPr="00870B8B">
        <w:rPr>
          <w:sz w:val="26"/>
          <w:szCs w:val="26"/>
        </w:rPr>
        <w:t xml:space="preserve"> 768-р</w:t>
      </w:r>
      <w:r w:rsidRPr="00AD155B">
        <w:rPr>
          <w:sz w:val="26"/>
          <w:szCs w:val="26"/>
        </w:rPr>
        <w:t xml:space="preserve"> відповідальним за р</w:t>
      </w:r>
      <w:r w:rsidRPr="00870B8B">
        <w:rPr>
          <w:sz w:val="26"/>
          <w:szCs w:val="26"/>
        </w:rPr>
        <w:t>озроб</w:t>
      </w:r>
      <w:r w:rsidRPr="00AD155B">
        <w:rPr>
          <w:sz w:val="26"/>
          <w:szCs w:val="26"/>
        </w:rPr>
        <w:t xml:space="preserve">лення </w:t>
      </w:r>
      <w:r w:rsidRPr="00870B8B">
        <w:rPr>
          <w:sz w:val="26"/>
          <w:szCs w:val="26"/>
        </w:rPr>
        <w:t>план</w:t>
      </w:r>
      <w:r w:rsidRPr="00AD155B">
        <w:rPr>
          <w:sz w:val="26"/>
          <w:szCs w:val="26"/>
        </w:rPr>
        <w:t>у</w:t>
      </w:r>
      <w:r w:rsidRPr="00870B8B">
        <w:rPr>
          <w:sz w:val="26"/>
          <w:szCs w:val="26"/>
        </w:rPr>
        <w:t xml:space="preserve"> заходів з імплементації положень</w:t>
      </w:r>
      <w:r w:rsidRPr="00AD155B">
        <w:rPr>
          <w:sz w:val="26"/>
          <w:szCs w:val="26"/>
        </w:rPr>
        <w:t xml:space="preserve"> Директиви 2004/35/ЄС визначено </w:t>
      </w:r>
      <w:proofErr w:type="spellStart"/>
      <w:r w:rsidRPr="00AD155B">
        <w:rPr>
          <w:sz w:val="26"/>
          <w:szCs w:val="26"/>
        </w:rPr>
        <w:t>Мінприроди</w:t>
      </w:r>
      <w:proofErr w:type="spellEnd"/>
      <w:r w:rsidRPr="00AD155B">
        <w:rPr>
          <w:sz w:val="26"/>
          <w:szCs w:val="26"/>
        </w:rPr>
        <w:t xml:space="preserve"> (постановою КМУ від 02.09.2019 р. № 829 Міністерство екології та природних ресурсів перейменовано на Міністерство енергетики та захисту довкілля України), термін – 1 січня 2021 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2" w:rsidRDefault="00E81E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2" w:rsidRDefault="00E81E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2" w:rsidRDefault="00E81E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7C7"/>
    <w:multiLevelType w:val="hybridMultilevel"/>
    <w:tmpl w:val="133E9AF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5"/>
    <w:rsid w:val="000066F3"/>
    <w:rsid w:val="00044B0B"/>
    <w:rsid w:val="000854AA"/>
    <w:rsid w:val="001D4089"/>
    <w:rsid w:val="00260BD2"/>
    <w:rsid w:val="00381C7C"/>
    <w:rsid w:val="003A50FA"/>
    <w:rsid w:val="003D4689"/>
    <w:rsid w:val="003D7858"/>
    <w:rsid w:val="00415BD3"/>
    <w:rsid w:val="004932F8"/>
    <w:rsid w:val="004D14D5"/>
    <w:rsid w:val="005144E5"/>
    <w:rsid w:val="00595430"/>
    <w:rsid w:val="00603AC6"/>
    <w:rsid w:val="006C167A"/>
    <w:rsid w:val="006D47F9"/>
    <w:rsid w:val="006E7047"/>
    <w:rsid w:val="00747136"/>
    <w:rsid w:val="007A436A"/>
    <w:rsid w:val="0080183E"/>
    <w:rsid w:val="00870B8B"/>
    <w:rsid w:val="008B3D65"/>
    <w:rsid w:val="0095418F"/>
    <w:rsid w:val="00965679"/>
    <w:rsid w:val="009963E6"/>
    <w:rsid w:val="00A40791"/>
    <w:rsid w:val="00A948BE"/>
    <w:rsid w:val="00AC247B"/>
    <w:rsid w:val="00AD155B"/>
    <w:rsid w:val="00B330E2"/>
    <w:rsid w:val="00B6095F"/>
    <w:rsid w:val="00B830A6"/>
    <w:rsid w:val="00BB5DCA"/>
    <w:rsid w:val="00CC119A"/>
    <w:rsid w:val="00CC4584"/>
    <w:rsid w:val="00CF1D55"/>
    <w:rsid w:val="00D21799"/>
    <w:rsid w:val="00D43A13"/>
    <w:rsid w:val="00DE050F"/>
    <w:rsid w:val="00E81E75"/>
    <w:rsid w:val="00E96413"/>
    <w:rsid w:val="00ED032A"/>
    <w:rsid w:val="00ED36F1"/>
    <w:rsid w:val="00F625C0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0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70B8B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4D1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4D14D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4D14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4D14D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footnote reference"/>
    <w:basedOn w:val="a0"/>
    <w:unhideWhenUsed/>
    <w:rsid w:val="004D14D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D14D5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4D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14D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D14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D14D5"/>
    <w:rPr>
      <w:color w:val="0563C1" w:themeColor="hyperlink"/>
      <w:u w:val="single"/>
    </w:rPr>
  </w:style>
  <w:style w:type="character" w:customStyle="1" w:styleId="st">
    <w:name w:val="st"/>
    <w:basedOn w:val="a0"/>
    <w:rsid w:val="00A948BE"/>
  </w:style>
  <w:style w:type="character" w:styleId="ab">
    <w:name w:val="Emphasis"/>
    <w:basedOn w:val="a0"/>
    <w:qFormat/>
    <w:rsid w:val="00A948BE"/>
    <w:rPr>
      <w:i/>
      <w:iCs/>
    </w:rPr>
  </w:style>
  <w:style w:type="paragraph" w:styleId="ac">
    <w:name w:val="List Paragraph"/>
    <w:basedOn w:val="a"/>
    <w:uiPriority w:val="34"/>
    <w:qFormat/>
    <w:rsid w:val="000066F3"/>
    <w:pPr>
      <w:ind w:left="720"/>
      <w:contextualSpacing/>
    </w:pPr>
  </w:style>
  <w:style w:type="character" w:styleId="ad">
    <w:name w:val="Strong"/>
    <w:basedOn w:val="a0"/>
    <w:uiPriority w:val="22"/>
    <w:qFormat/>
    <w:rsid w:val="00A40791"/>
    <w:rPr>
      <w:b/>
      <w:bCs/>
    </w:rPr>
  </w:style>
  <w:style w:type="character" w:customStyle="1" w:styleId="3">
    <w:name w:val="Основной текст (3)_"/>
    <w:basedOn w:val="a0"/>
    <w:link w:val="30"/>
    <w:rsid w:val="00A407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A40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40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40791"/>
    <w:pPr>
      <w:widowControl w:val="0"/>
      <w:shd w:val="clear" w:color="auto" w:fill="FFFFFF"/>
      <w:spacing w:line="323" w:lineRule="exact"/>
      <w:jc w:val="both"/>
    </w:pPr>
    <w:rPr>
      <w:b/>
      <w:bCs/>
      <w:sz w:val="26"/>
      <w:szCs w:val="26"/>
      <w:lang w:eastAsia="en-US"/>
    </w:rPr>
  </w:style>
  <w:style w:type="character" w:customStyle="1" w:styleId="rvts23">
    <w:name w:val="rvts23"/>
    <w:basedOn w:val="a0"/>
    <w:rsid w:val="00E96413"/>
  </w:style>
  <w:style w:type="character" w:customStyle="1" w:styleId="20">
    <w:name w:val="Заголовок 2 Знак"/>
    <w:basedOn w:val="a0"/>
    <w:link w:val="2"/>
    <w:uiPriority w:val="9"/>
    <w:rsid w:val="00870B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870B8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15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15BD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F9B8-B5DC-417D-9F2B-E36690DB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2020-03-10T11:06:00Z</dcterms:created>
  <dcterms:modified xsi:type="dcterms:W3CDTF">2020-03-11T14:11:00Z</dcterms:modified>
</cp:coreProperties>
</file>