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B2" w:rsidRDefault="001520B2" w:rsidP="001520B2">
      <w:pPr>
        <w:jc w:val="right"/>
        <w:rPr>
          <w:sz w:val="20"/>
          <w:szCs w:val="20"/>
        </w:rPr>
      </w:pPr>
    </w:p>
    <w:p w:rsidR="00310D63" w:rsidRDefault="00310D63" w:rsidP="001520B2">
      <w:pPr>
        <w:jc w:val="right"/>
        <w:rPr>
          <w:sz w:val="20"/>
          <w:szCs w:val="20"/>
        </w:rPr>
      </w:pPr>
    </w:p>
    <w:p w:rsidR="00310D63" w:rsidRPr="00FF6302" w:rsidRDefault="00310D63" w:rsidP="001520B2">
      <w:pPr>
        <w:jc w:val="right"/>
      </w:pPr>
    </w:p>
    <w:p w:rsidR="00310D63" w:rsidRPr="00FF6302" w:rsidRDefault="00310D63" w:rsidP="001520B2">
      <w:pPr>
        <w:jc w:val="right"/>
      </w:pPr>
    </w:p>
    <w:p w:rsidR="001520B2" w:rsidRDefault="001520B2" w:rsidP="00FF6302">
      <w:pPr>
        <w:rPr>
          <w:lang w:val="en-US"/>
        </w:rPr>
      </w:pPr>
    </w:p>
    <w:p w:rsidR="00FF6302" w:rsidRDefault="00FF6302" w:rsidP="00FF6302">
      <w:pPr>
        <w:rPr>
          <w:lang w:val="en-US"/>
        </w:rPr>
      </w:pPr>
    </w:p>
    <w:p w:rsidR="00580AE5" w:rsidRDefault="00580AE5" w:rsidP="00FF6302">
      <w:pPr>
        <w:rPr>
          <w:lang w:val="en-US"/>
        </w:rPr>
      </w:pPr>
    </w:p>
    <w:p w:rsidR="00580AE5" w:rsidRDefault="00580AE5" w:rsidP="00FF6302">
      <w:pPr>
        <w:rPr>
          <w:lang w:val="en-US"/>
        </w:rPr>
      </w:pPr>
    </w:p>
    <w:p w:rsidR="00580AE5" w:rsidRDefault="00580AE5" w:rsidP="00FF6302">
      <w:pPr>
        <w:rPr>
          <w:lang w:val="en-US"/>
        </w:rPr>
      </w:pPr>
      <w:bookmarkStart w:id="0" w:name="_GoBack"/>
      <w:bookmarkEnd w:id="0"/>
    </w:p>
    <w:p w:rsidR="001520B2" w:rsidRPr="00FF6302" w:rsidRDefault="001520B2" w:rsidP="001520B2">
      <w:pPr>
        <w:jc w:val="right"/>
      </w:pPr>
    </w:p>
    <w:p w:rsidR="001520B2" w:rsidRDefault="001520B2" w:rsidP="001520B2">
      <w:pPr>
        <w:jc w:val="right"/>
        <w:rPr>
          <w:sz w:val="20"/>
          <w:szCs w:val="20"/>
        </w:rPr>
      </w:pPr>
    </w:p>
    <w:p w:rsidR="001520B2" w:rsidRPr="008A3BBE" w:rsidRDefault="001520B2" w:rsidP="001520B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ВИСНОВОК</w:t>
      </w:r>
    </w:p>
    <w:p w:rsidR="00AC3D38" w:rsidRDefault="001520B2" w:rsidP="008D5F21">
      <w:pPr>
        <w:pStyle w:val="rvps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C0C8C">
        <w:rPr>
          <w:rStyle w:val="a4"/>
          <w:rFonts w:ascii="Times New Roman" w:hAnsi="Times New Roman" w:cs="Times New Roman"/>
          <w:sz w:val="28"/>
          <w:szCs w:val="28"/>
        </w:rPr>
        <w:t xml:space="preserve">на проект Закону України </w:t>
      </w:r>
      <w:bookmarkStart w:id="1" w:name="o3"/>
      <w:bookmarkStart w:id="2" w:name="o5"/>
      <w:bookmarkEnd w:id="1"/>
      <w:bookmarkEnd w:id="2"/>
      <w:r w:rsidRPr="00BC0C8C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8D5F21" w:rsidRPr="009A1379">
        <w:rPr>
          <w:b/>
          <w:bCs/>
          <w:sz w:val="28"/>
          <w:szCs w:val="28"/>
          <w:lang w:val="uk-UA"/>
        </w:rPr>
        <w:t xml:space="preserve">Про внесення змін до деяких </w:t>
      </w:r>
    </w:p>
    <w:p w:rsidR="00AC3D38" w:rsidRDefault="008D5F21" w:rsidP="008D5F21">
      <w:pPr>
        <w:pStyle w:val="rvps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A1379">
        <w:rPr>
          <w:b/>
          <w:bCs/>
          <w:sz w:val="28"/>
          <w:szCs w:val="28"/>
          <w:lang w:val="uk-UA"/>
        </w:rPr>
        <w:t xml:space="preserve">законодавчих актів України (щодо удосконалення механізму </w:t>
      </w:r>
    </w:p>
    <w:p w:rsidR="008D5F21" w:rsidRPr="009A1379" w:rsidRDefault="008D5F21" w:rsidP="008D5F21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  <w:lang w:val="uk-UA"/>
        </w:rPr>
      </w:pPr>
      <w:r w:rsidRPr="009A1379">
        <w:rPr>
          <w:b/>
          <w:bCs/>
          <w:sz w:val="28"/>
          <w:szCs w:val="28"/>
          <w:lang w:val="uk-UA"/>
        </w:rPr>
        <w:t>справляння акцизного податку при реалізації тютюнових виробів)</w:t>
      </w:r>
      <w:r w:rsidRPr="009A1379">
        <w:rPr>
          <w:rStyle w:val="rvts23"/>
          <w:b/>
          <w:sz w:val="28"/>
          <w:szCs w:val="28"/>
          <w:lang w:val="uk-UA"/>
        </w:rPr>
        <w:t>»</w:t>
      </w:r>
    </w:p>
    <w:p w:rsidR="008D5F21" w:rsidRDefault="008D5F21" w:rsidP="001520B2">
      <w:pPr>
        <w:widowControl w:val="0"/>
        <w:suppressAutoHyphens/>
        <w:autoSpaceDN w:val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AD070C" w:rsidRDefault="001520B2" w:rsidP="00AD070C">
      <w:pPr>
        <w:tabs>
          <w:tab w:val="left" w:pos="720"/>
        </w:tabs>
        <w:ind w:firstLine="720"/>
        <w:jc w:val="both"/>
      </w:pPr>
      <w:r w:rsidRPr="00A805BD">
        <w:t xml:space="preserve">У законопроекті шляхом внесення змін до </w:t>
      </w:r>
      <w:r w:rsidR="00EE4374" w:rsidRPr="00A805BD">
        <w:t>законів</w:t>
      </w:r>
      <w:r w:rsidRPr="00A805BD">
        <w:t xml:space="preserve"> України </w:t>
      </w:r>
      <w:r w:rsidR="004B505F">
        <w:br/>
      </w:r>
      <w:r w:rsidRPr="00A805BD">
        <w:rPr>
          <w:kern w:val="3"/>
          <w:lang w:eastAsia="ja-JP"/>
        </w:rPr>
        <w:t>«Про державне регулювання виробництва і обігу спирту етилового, коньячного і плодового, алкогольних напоїв, тютюнових виробів та пального»</w:t>
      </w:r>
      <w:r w:rsidR="00EE4374" w:rsidRPr="00A805BD">
        <w:rPr>
          <w:kern w:val="3"/>
          <w:lang w:eastAsia="ja-JP"/>
        </w:rPr>
        <w:t xml:space="preserve"> та </w:t>
      </w:r>
      <w:r w:rsidR="00A805BD" w:rsidRPr="00A805BD">
        <w:rPr>
          <w:rFonts w:eastAsia="BatangChe"/>
        </w:rPr>
        <w:t>«Про застосування реєстраторів розрахункових операцій у сфері торгівлі, громадського харчування та послуг»</w:t>
      </w:r>
      <w:r w:rsidR="00A805BD">
        <w:rPr>
          <w:rFonts w:eastAsia="BatangChe"/>
        </w:rPr>
        <w:t xml:space="preserve"> </w:t>
      </w:r>
      <w:r w:rsidR="004B505F">
        <w:rPr>
          <w:rFonts w:eastAsia="BatangChe"/>
        </w:rPr>
        <w:t xml:space="preserve">пропонується удосконалити </w:t>
      </w:r>
      <w:r w:rsidR="004B505F" w:rsidRPr="008F35A1">
        <w:t>вимог</w:t>
      </w:r>
      <w:r w:rsidR="004B505F">
        <w:t>и</w:t>
      </w:r>
      <w:r w:rsidR="004B505F" w:rsidRPr="008F35A1">
        <w:t xml:space="preserve"> для суб’єктів господарювання, які мають намір отримати ліцензію на право оптової торгівлі тютюновими виробами</w:t>
      </w:r>
      <w:r w:rsidR="004B505F">
        <w:t xml:space="preserve">, посилити </w:t>
      </w:r>
      <w:r w:rsidR="00AD070C" w:rsidRPr="008F35A1">
        <w:t>юридичн</w:t>
      </w:r>
      <w:r w:rsidR="004B505F">
        <w:t>у</w:t>
      </w:r>
      <w:r w:rsidR="00AD070C" w:rsidRPr="008F35A1">
        <w:t xml:space="preserve"> відповідальн</w:t>
      </w:r>
      <w:r w:rsidR="004B505F">
        <w:t>ість</w:t>
      </w:r>
      <w:r w:rsidR="00AD070C" w:rsidRPr="008F35A1">
        <w:t xml:space="preserve"> за проведення розрахункових операцій без використання реєстратора розрахункових операцій при здійсненні продажу підакцизних товарів</w:t>
      </w:r>
      <w:r w:rsidR="004B505F">
        <w:t>.</w:t>
      </w:r>
      <w:r w:rsidR="00AD070C">
        <w:t xml:space="preserve"> </w:t>
      </w:r>
    </w:p>
    <w:p w:rsidR="00AD070C" w:rsidRDefault="00AD070C" w:rsidP="00AD070C">
      <w:pPr>
        <w:ind w:firstLine="709"/>
        <w:jc w:val="both"/>
      </w:pPr>
      <w:r w:rsidRPr="008F35A1">
        <w:t>Метою законопроекту</w:t>
      </w:r>
      <w:r>
        <w:t xml:space="preserve">, як зазначається у </w:t>
      </w:r>
      <w:r w:rsidR="004B505F">
        <w:t>п</w:t>
      </w:r>
      <w:r>
        <w:t xml:space="preserve">ояснювальній записці до нього, </w:t>
      </w:r>
      <w:r w:rsidRPr="008F35A1">
        <w:t xml:space="preserve">є </w:t>
      </w:r>
      <w:r w:rsidR="004B505F">
        <w:t>«</w:t>
      </w:r>
      <w:r w:rsidRPr="008F35A1">
        <w:t>удосконалення окремих норм законодавства, що регулює правові засади застосування реєстраторів розрахункових операцій у сфері торгівлі, громадського харчування та послуг, а також законодавства, що визначає засади державної політики щодо регулювання виробництва, експорту, імпорту, оптової і роздрібної торгівлі тютюновими виробами, для досягнення позитивного ефекту адміністрування роздрібного акцизу з реалізації тютюнових виробів відповідно до запропонованих змін до Податкового кодексу України</w:t>
      </w:r>
      <w:r w:rsidR="004B505F">
        <w:t>» (п. 2)</w:t>
      </w:r>
      <w:r w:rsidRPr="008F35A1">
        <w:t>.</w:t>
      </w:r>
    </w:p>
    <w:p w:rsidR="005E3BC3" w:rsidRDefault="001520B2" w:rsidP="005E3BC3">
      <w:pPr>
        <w:ind w:firstLine="708"/>
        <w:jc w:val="both"/>
        <w:rPr>
          <w:rStyle w:val="rvts23"/>
          <w:color w:val="000000"/>
        </w:rPr>
      </w:pPr>
      <w:r w:rsidRPr="0022444A">
        <w:rPr>
          <w:rStyle w:val="rvts23"/>
          <w:color w:val="000000"/>
        </w:rPr>
        <w:t>Головне управління, проаналізувавши законопроект,</w:t>
      </w:r>
      <w:r>
        <w:rPr>
          <w:rStyle w:val="rvts23"/>
          <w:color w:val="000000"/>
        </w:rPr>
        <w:t xml:space="preserve"> вважає за доцільне висловити </w:t>
      </w:r>
      <w:r w:rsidR="004B505F">
        <w:rPr>
          <w:rStyle w:val="rvts23"/>
          <w:color w:val="000000"/>
        </w:rPr>
        <w:t>щодо нього такі зауваження</w:t>
      </w:r>
      <w:r>
        <w:rPr>
          <w:rStyle w:val="rvts23"/>
          <w:color w:val="000000"/>
        </w:rPr>
        <w:t>.</w:t>
      </w:r>
    </w:p>
    <w:p w:rsidR="00177DAB" w:rsidRDefault="001520B2" w:rsidP="00177DAB">
      <w:pPr>
        <w:ind w:firstLine="708"/>
        <w:jc w:val="both"/>
        <w:rPr>
          <w:lang w:eastAsia="en-US"/>
        </w:rPr>
      </w:pPr>
      <w:r w:rsidRPr="005E3BC3">
        <w:rPr>
          <w:b/>
        </w:rPr>
        <w:t>1</w:t>
      </w:r>
      <w:r w:rsidRPr="00592EB4">
        <w:rPr>
          <w:b/>
        </w:rPr>
        <w:t>.</w:t>
      </w:r>
      <w:r>
        <w:t xml:space="preserve"> </w:t>
      </w:r>
      <w:r w:rsidR="006F6214">
        <w:t xml:space="preserve">Звертаємо увагу, що </w:t>
      </w:r>
      <w:r w:rsidR="005E3BC3">
        <w:t>у</w:t>
      </w:r>
      <w:r w:rsidR="005E3BC3" w:rsidRPr="00D068E9">
        <w:t xml:space="preserve"> проекті невірно вказана назва Закону України </w:t>
      </w:r>
      <w:r w:rsidR="005E3BC3" w:rsidRPr="00D068E9">
        <w:rPr>
          <w:lang w:eastAsia="en-US"/>
        </w:rPr>
        <w:t>«</w:t>
      </w:r>
      <w:r w:rsidR="005E3BC3" w:rsidRPr="00D068E9">
        <w:t>Про державне регулювання виробництва і обігу спирту етилового, коньячного і плодового, алкогольних напоїв</w:t>
      </w:r>
      <w:r w:rsidR="004840A9">
        <w:t xml:space="preserve">, </w:t>
      </w:r>
      <w:r w:rsidR="005E3BC3" w:rsidRPr="00D068E9">
        <w:t xml:space="preserve">тютюнових виробів </w:t>
      </w:r>
      <w:r w:rsidR="005E3BC3" w:rsidRPr="00D068E9">
        <w:rPr>
          <w:i/>
          <w:u w:val="single"/>
        </w:rPr>
        <w:t>та пального</w:t>
      </w:r>
      <w:r w:rsidR="005E3BC3" w:rsidRPr="00D068E9">
        <w:rPr>
          <w:lang w:eastAsia="en-US"/>
        </w:rPr>
        <w:t>»</w:t>
      </w:r>
      <w:r w:rsidR="00925279">
        <w:rPr>
          <w:lang w:eastAsia="en-US"/>
        </w:rPr>
        <w:t xml:space="preserve"> (далі – Закон)</w:t>
      </w:r>
      <w:r w:rsidR="005E3BC3" w:rsidRPr="00D068E9">
        <w:rPr>
          <w:lang w:eastAsia="en-US"/>
        </w:rPr>
        <w:t xml:space="preserve">. У ній, зокрема, </w:t>
      </w:r>
      <w:r w:rsidR="004840A9">
        <w:rPr>
          <w:lang w:eastAsia="en-US"/>
        </w:rPr>
        <w:t>замість формулювання «, тютюнових виробів та пального» вживається формулювання «та тютюнових виробів».</w:t>
      </w:r>
    </w:p>
    <w:p w:rsidR="00925279" w:rsidRDefault="00177DAB" w:rsidP="00177DAB">
      <w:pPr>
        <w:tabs>
          <w:tab w:val="left" w:pos="720"/>
        </w:tabs>
        <w:ind w:firstLine="720"/>
        <w:jc w:val="both"/>
        <w:rPr>
          <w:bCs/>
        </w:rPr>
      </w:pPr>
      <w:r>
        <w:rPr>
          <w:lang w:eastAsia="en-US"/>
        </w:rPr>
        <w:t xml:space="preserve">Крім того, назва проекту </w:t>
      </w:r>
      <w:r w:rsidR="004B505F">
        <w:rPr>
          <w:lang w:eastAsia="en-US"/>
        </w:rPr>
        <w:t xml:space="preserve">– </w:t>
      </w:r>
      <w:r>
        <w:rPr>
          <w:lang w:eastAsia="en-US"/>
        </w:rPr>
        <w:t>«</w:t>
      </w:r>
      <w:r w:rsidRPr="00A44877">
        <w:rPr>
          <w:bCs/>
        </w:rPr>
        <w:t xml:space="preserve">Про внесення змін до деяких законодавчих актів України (щодо </w:t>
      </w:r>
      <w:r w:rsidRPr="00177DAB">
        <w:rPr>
          <w:bCs/>
          <w:i/>
          <w:u w:val="single"/>
        </w:rPr>
        <w:t>удосконалення механізму справляння акцизного податку при реалізації тютюнових виробів</w:t>
      </w:r>
      <w:r w:rsidRPr="00A44877">
        <w:rPr>
          <w:bCs/>
        </w:rPr>
        <w:t>)</w:t>
      </w:r>
      <w:r>
        <w:rPr>
          <w:bCs/>
        </w:rPr>
        <w:t>» не відповідає його змісту, оскільки</w:t>
      </w:r>
      <w:r w:rsidR="00057CF1">
        <w:rPr>
          <w:bCs/>
        </w:rPr>
        <w:t xml:space="preserve"> </w:t>
      </w:r>
      <w:r w:rsidR="00057CF1">
        <w:rPr>
          <w:bCs/>
        </w:rPr>
        <w:lastRenderedPageBreak/>
        <w:t xml:space="preserve">проектом </w:t>
      </w:r>
      <w:r w:rsidR="00925279">
        <w:rPr>
          <w:bCs/>
        </w:rPr>
        <w:t xml:space="preserve">не регулюються питання акцизного оподаткування, а </w:t>
      </w:r>
      <w:r w:rsidR="00DD660A">
        <w:rPr>
          <w:bCs/>
        </w:rPr>
        <w:t xml:space="preserve">значна частина </w:t>
      </w:r>
      <w:r w:rsidR="00925279">
        <w:rPr>
          <w:bCs/>
        </w:rPr>
        <w:t>п</w:t>
      </w:r>
      <w:r w:rsidR="00DD660A">
        <w:rPr>
          <w:bCs/>
        </w:rPr>
        <w:t>р</w:t>
      </w:r>
      <w:r w:rsidR="00925279">
        <w:rPr>
          <w:bCs/>
        </w:rPr>
        <w:t>о</w:t>
      </w:r>
      <w:r w:rsidR="00DD660A">
        <w:rPr>
          <w:bCs/>
        </w:rPr>
        <w:t>по</w:t>
      </w:r>
      <w:r w:rsidR="00925279">
        <w:rPr>
          <w:bCs/>
        </w:rPr>
        <w:t>нованих новел стосується не лише тютюнових виробів</w:t>
      </w:r>
      <w:r w:rsidR="00DD660A">
        <w:rPr>
          <w:bCs/>
        </w:rPr>
        <w:t>,</w:t>
      </w:r>
      <w:r w:rsidR="00592EB4">
        <w:rPr>
          <w:bCs/>
        </w:rPr>
        <w:t xml:space="preserve"> а й алкогольних напоїв</w:t>
      </w:r>
      <w:r w:rsidR="00925279">
        <w:rPr>
          <w:bCs/>
        </w:rPr>
        <w:t xml:space="preserve">. </w:t>
      </w:r>
    </w:p>
    <w:p w:rsidR="0034200A" w:rsidRDefault="005E3BC3" w:rsidP="0034200A">
      <w:pPr>
        <w:ind w:firstLine="708"/>
        <w:jc w:val="both"/>
        <w:rPr>
          <w:color w:val="000000"/>
        </w:rPr>
      </w:pPr>
      <w:r w:rsidRPr="005E3BC3">
        <w:rPr>
          <w:b/>
          <w:lang w:eastAsia="en-US"/>
        </w:rPr>
        <w:t>2</w:t>
      </w:r>
      <w:r w:rsidRPr="00592EB4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34200A">
        <w:rPr>
          <w:color w:val="000000"/>
        </w:rPr>
        <w:t xml:space="preserve">У новому абзаці ч. 18 ст. 3 Закону доповнюється перелік підстав для анулювання </w:t>
      </w:r>
      <w:r w:rsidR="0034200A">
        <w:rPr>
          <w:color w:val="000000"/>
          <w:highlight w:val="white"/>
        </w:rPr>
        <w:t>ліцензії на виробництво спирту етилового, коньячного і плодового та зернового дистиляту, спирту етилового ректифікованого виноградного, спирту етилового ректифікованого плодового, дистиляту виноградного спиртового, спирту-сирцю плодового, біоетанолу, алкогольних напоїв та тютюнових виробів і пального органом</w:t>
      </w:r>
      <w:r w:rsidR="00DC6579">
        <w:rPr>
          <w:color w:val="000000"/>
          <w:highlight w:val="white"/>
        </w:rPr>
        <w:t>,</w:t>
      </w:r>
      <w:r w:rsidR="0034200A">
        <w:rPr>
          <w:color w:val="000000"/>
          <w:highlight w:val="white"/>
        </w:rPr>
        <w:t xml:space="preserve"> який її видав, – </w:t>
      </w:r>
      <w:r w:rsidR="0034200A">
        <w:rPr>
          <w:color w:val="000000"/>
        </w:rPr>
        <w:t>встановлення</w:t>
      </w:r>
      <w:r w:rsidR="00665B14">
        <w:rPr>
          <w:color w:val="000000"/>
        </w:rPr>
        <w:t>м</w:t>
      </w:r>
      <w:r w:rsidR="0034200A">
        <w:rPr>
          <w:color w:val="000000"/>
        </w:rPr>
        <w:t xml:space="preserve"> факту відсутності ліцензіата </w:t>
      </w:r>
      <w:r w:rsidR="0034200A">
        <w:rPr>
          <w:i/>
          <w:color w:val="000000"/>
        </w:rPr>
        <w:t>за юридичною адресою</w:t>
      </w:r>
      <w:r w:rsidR="0034200A">
        <w:rPr>
          <w:color w:val="000000"/>
        </w:rPr>
        <w:t xml:space="preserve"> та/або за адресою провадження діяльності. Зауважимо, що, не дивлячись на широке вживання поняття «юридична адреса», законодавство України містить лише поняття «місцезнаходження юридичної особи». Зокрема</w:t>
      </w:r>
      <w:r w:rsidR="003C73B1">
        <w:rPr>
          <w:color w:val="000000"/>
        </w:rPr>
        <w:t>,</w:t>
      </w:r>
      <w:r w:rsidR="0034200A">
        <w:rPr>
          <w:color w:val="000000"/>
        </w:rPr>
        <w:t xml:space="preserve"> у ч. 1 ст. 93 Цивільного кодексу України зазначається, що місцезнаходженням юридичної особи є фактичне місце ведення діяльності </w:t>
      </w:r>
      <w:r w:rsidR="0034200A" w:rsidRPr="00FF6302">
        <w:t xml:space="preserve">чи розташування офісу, з якого проводиться щоденне керування діяльністю юридичної особи (переважно знаходиться керівництво) та здійснення управління </w:t>
      </w:r>
      <w:r w:rsidR="00824F2F" w:rsidRPr="00FF6302">
        <w:t>та</w:t>
      </w:r>
      <w:r w:rsidR="00FF6302" w:rsidRPr="00AC3D38">
        <w:t xml:space="preserve"> </w:t>
      </w:r>
      <w:r w:rsidR="0034200A" w:rsidRPr="00FF6302">
        <w:t>обліку. Це</w:t>
      </w:r>
      <w:r w:rsidR="0034200A">
        <w:rPr>
          <w:color w:val="000000"/>
        </w:rPr>
        <w:t xml:space="preserve"> зауваження також стосується змін до ч. 49 ст. 15 Закону.</w:t>
      </w:r>
    </w:p>
    <w:p w:rsidR="00246EE3" w:rsidRDefault="00790281" w:rsidP="00246EE3">
      <w:pPr>
        <w:ind w:firstLine="708"/>
        <w:jc w:val="both"/>
        <w:rPr>
          <w:color w:val="000000"/>
          <w:shd w:val="clear" w:color="auto" w:fill="FFFFFF"/>
        </w:rPr>
      </w:pPr>
      <w:r w:rsidRPr="00790281">
        <w:rPr>
          <w:b/>
          <w:lang w:eastAsia="en-US"/>
        </w:rPr>
        <w:t>3.</w:t>
      </w:r>
      <w:r>
        <w:rPr>
          <w:lang w:eastAsia="en-US"/>
        </w:rPr>
        <w:t xml:space="preserve"> </w:t>
      </w:r>
      <w:r w:rsidR="00246EE3">
        <w:rPr>
          <w:lang w:eastAsia="en-US"/>
        </w:rPr>
        <w:t xml:space="preserve">Пропозиція </w:t>
      </w:r>
      <w:r w:rsidR="00246EE3">
        <w:t>не маркувати номер ліцензії н</w:t>
      </w:r>
      <w:r w:rsidR="00246EE3" w:rsidRPr="00D94F4C">
        <w:rPr>
          <w:color w:val="000000"/>
          <w:shd w:val="clear" w:color="auto" w:fill="FFFFFF"/>
        </w:rPr>
        <w:t>а видимій стороні етикетки</w:t>
      </w:r>
      <w:r w:rsidR="00246EE3">
        <w:rPr>
          <w:color w:val="000000"/>
          <w:shd w:val="clear" w:color="auto" w:fill="FFFFFF"/>
        </w:rPr>
        <w:t xml:space="preserve">, </w:t>
      </w:r>
      <w:r w:rsidR="00246EE3" w:rsidRPr="009A1379">
        <w:rPr>
          <w:color w:val="000000"/>
          <w:shd w:val="clear" w:color="auto" w:fill="FFFFFF"/>
        </w:rPr>
        <w:t>або контретикетки, або корка, або пляшки (іншого посуду) виробу</w:t>
      </w:r>
      <w:r w:rsidR="00246EE3">
        <w:rPr>
          <w:color w:val="000000"/>
          <w:shd w:val="clear" w:color="auto" w:fill="FFFFFF"/>
        </w:rPr>
        <w:t xml:space="preserve"> (зміни до </w:t>
      </w:r>
      <w:r w:rsidR="003C73B1">
        <w:rPr>
          <w:color w:val="000000"/>
          <w:shd w:val="clear" w:color="auto" w:fill="FFFFFF"/>
        </w:rPr>
        <w:t xml:space="preserve">ст. </w:t>
      </w:r>
      <w:r w:rsidR="00246EE3">
        <w:rPr>
          <w:color w:val="000000"/>
          <w:shd w:val="clear" w:color="auto" w:fill="FFFFFF"/>
        </w:rPr>
        <w:t xml:space="preserve">11 Закону), на нашу </w:t>
      </w:r>
      <w:r w:rsidR="00246EE3" w:rsidRPr="00FF6302">
        <w:rPr>
          <w:color w:val="000000"/>
          <w:shd w:val="clear" w:color="auto" w:fill="FFFFFF"/>
        </w:rPr>
        <w:t>думку, виглядає вразливою у контексті</w:t>
      </w:r>
      <w:r w:rsidR="00B547C3" w:rsidRPr="00FF6302">
        <w:rPr>
          <w:color w:val="000000"/>
          <w:shd w:val="clear" w:color="auto" w:fill="FFFFFF"/>
        </w:rPr>
        <w:t xml:space="preserve"> забезпечення </w:t>
      </w:r>
      <w:r w:rsidR="00246EE3" w:rsidRPr="00FF6302">
        <w:rPr>
          <w:color w:val="000000"/>
          <w:shd w:val="clear" w:color="auto" w:fill="FFFFFF"/>
        </w:rPr>
        <w:t>відповідально</w:t>
      </w:r>
      <w:r w:rsidR="00B547C3" w:rsidRPr="00FF6302">
        <w:rPr>
          <w:color w:val="000000"/>
          <w:shd w:val="clear" w:color="auto" w:fill="FFFFFF"/>
        </w:rPr>
        <w:t>го в</w:t>
      </w:r>
      <w:r w:rsidR="00246EE3" w:rsidRPr="00FF6302">
        <w:rPr>
          <w:color w:val="000000"/>
          <w:shd w:val="clear" w:color="auto" w:fill="FFFFFF"/>
        </w:rPr>
        <w:t>ідношенн</w:t>
      </w:r>
      <w:r w:rsidR="00824F2F" w:rsidRPr="00FF6302">
        <w:rPr>
          <w:color w:val="000000"/>
          <w:shd w:val="clear" w:color="auto" w:fill="FFFFFF"/>
        </w:rPr>
        <w:t>я</w:t>
      </w:r>
      <w:r w:rsidR="00246EE3" w:rsidRPr="00FF6302">
        <w:rPr>
          <w:color w:val="000000"/>
          <w:shd w:val="clear" w:color="auto" w:fill="FFFFFF"/>
        </w:rPr>
        <w:t xml:space="preserve"> виробників</w:t>
      </w:r>
      <w:r w:rsidR="00246EE3">
        <w:rPr>
          <w:color w:val="000000"/>
          <w:shd w:val="clear" w:color="auto" w:fill="FFFFFF"/>
        </w:rPr>
        <w:t xml:space="preserve"> до виробництва алкогольної продукції та тютюнових виробів і</w:t>
      </w:r>
      <w:r w:rsidR="00B547C3">
        <w:rPr>
          <w:color w:val="000000"/>
          <w:shd w:val="clear" w:color="auto" w:fill="FFFFFF"/>
        </w:rPr>
        <w:t>,</w:t>
      </w:r>
      <w:r w:rsidR="00246EE3">
        <w:rPr>
          <w:color w:val="000000"/>
          <w:shd w:val="clear" w:color="auto" w:fill="FFFFFF"/>
        </w:rPr>
        <w:t xml:space="preserve"> як результат</w:t>
      </w:r>
      <w:r w:rsidR="00B547C3">
        <w:rPr>
          <w:color w:val="000000"/>
          <w:shd w:val="clear" w:color="auto" w:fill="FFFFFF"/>
        </w:rPr>
        <w:t>,</w:t>
      </w:r>
      <w:r w:rsidR="00246EE3">
        <w:rPr>
          <w:color w:val="000000"/>
          <w:shd w:val="clear" w:color="auto" w:fill="FFFFFF"/>
        </w:rPr>
        <w:t xml:space="preserve"> належного захисту споживачів цієї продукції.</w:t>
      </w:r>
    </w:p>
    <w:p w:rsidR="006A1CDC" w:rsidRPr="00FF6302" w:rsidRDefault="00B547C3" w:rsidP="005E3BC3">
      <w:pPr>
        <w:ind w:firstLine="708"/>
        <w:jc w:val="both"/>
        <w:rPr>
          <w:lang w:eastAsia="en-US"/>
        </w:rPr>
      </w:pPr>
      <w:r w:rsidRPr="00B547C3">
        <w:rPr>
          <w:b/>
          <w:lang w:eastAsia="en-US"/>
        </w:rPr>
        <w:t>4.</w:t>
      </w:r>
      <w:r>
        <w:rPr>
          <w:lang w:eastAsia="en-US"/>
        </w:rPr>
        <w:t xml:space="preserve"> </w:t>
      </w:r>
      <w:r w:rsidR="006A1CDC">
        <w:rPr>
          <w:lang w:eastAsia="en-US"/>
        </w:rPr>
        <w:t xml:space="preserve">У супровідних </w:t>
      </w:r>
      <w:r w:rsidR="00587BF5">
        <w:rPr>
          <w:lang w:eastAsia="en-US"/>
        </w:rPr>
        <w:t xml:space="preserve">до проекту </w:t>
      </w:r>
      <w:r w:rsidR="006A1CDC">
        <w:rPr>
          <w:lang w:eastAsia="en-US"/>
        </w:rPr>
        <w:t xml:space="preserve">документах відсутнє будь-яке економічне обґрунтування пропонованого розміру річної плати за ліцензії на право оптової </w:t>
      </w:r>
      <w:r w:rsidR="006A1CDC" w:rsidRPr="00FF6302">
        <w:rPr>
          <w:lang w:eastAsia="en-US"/>
        </w:rPr>
        <w:t xml:space="preserve">торгівлі </w:t>
      </w:r>
      <w:r w:rsidR="00AB6F4B" w:rsidRPr="00FF6302">
        <w:rPr>
          <w:lang w:eastAsia="en-US"/>
        </w:rPr>
        <w:t xml:space="preserve">тютюновими виробами </w:t>
      </w:r>
      <w:r w:rsidR="0033657F" w:rsidRPr="00FF6302">
        <w:rPr>
          <w:lang w:eastAsia="en-US"/>
        </w:rPr>
        <w:t xml:space="preserve">у розмірі </w:t>
      </w:r>
      <w:r w:rsidR="00AB6F4B" w:rsidRPr="00FF6302">
        <w:rPr>
          <w:lang w:eastAsia="en-US"/>
        </w:rPr>
        <w:t>3000000 грн.</w:t>
      </w:r>
      <w:r w:rsidR="0033657F" w:rsidRPr="00FF6302">
        <w:rPr>
          <w:lang w:eastAsia="en-US"/>
        </w:rPr>
        <w:t xml:space="preserve">, що у 6 разів більше, порівняно з існуючим </w:t>
      </w:r>
      <w:r w:rsidR="00AB6F4B" w:rsidRPr="00FF6302">
        <w:rPr>
          <w:lang w:eastAsia="en-US"/>
        </w:rPr>
        <w:t xml:space="preserve">(зміни до </w:t>
      </w:r>
      <w:r w:rsidR="0033657F" w:rsidRPr="00FF6302">
        <w:rPr>
          <w:lang w:eastAsia="en-US"/>
        </w:rPr>
        <w:t xml:space="preserve">абз. 3 ч. 6 </w:t>
      </w:r>
      <w:r w:rsidR="00AB6F4B" w:rsidRPr="00FF6302">
        <w:rPr>
          <w:lang w:eastAsia="en-US"/>
        </w:rPr>
        <w:t>ст.15 Закону)</w:t>
      </w:r>
    </w:p>
    <w:p w:rsidR="00AB6F4B" w:rsidRPr="00FF6302" w:rsidRDefault="00B547C3" w:rsidP="00AB6F4B">
      <w:pPr>
        <w:ind w:firstLine="708"/>
        <w:jc w:val="both"/>
        <w:rPr>
          <w:lang w:eastAsia="en-US"/>
        </w:rPr>
      </w:pPr>
      <w:r w:rsidRPr="00FF6302">
        <w:rPr>
          <w:b/>
          <w:lang w:eastAsia="en-US"/>
        </w:rPr>
        <w:t>5</w:t>
      </w:r>
      <w:r w:rsidR="00AB6F4B" w:rsidRPr="00FF6302">
        <w:rPr>
          <w:b/>
          <w:lang w:eastAsia="en-US"/>
        </w:rPr>
        <w:t>.</w:t>
      </w:r>
      <w:r w:rsidR="00AB6F4B" w:rsidRPr="00FF6302">
        <w:rPr>
          <w:lang w:eastAsia="en-US"/>
        </w:rPr>
        <w:t xml:space="preserve"> </w:t>
      </w:r>
      <w:r w:rsidR="0033657F" w:rsidRPr="00FF6302">
        <w:rPr>
          <w:lang w:eastAsia="en-US"/>
        </w:rPr>
        <w:t xml:space="preserve">Згідно з новими ч.ч. 65-67 </w:t>
      </w:r>
      <w:r w:rsidR="00AB6F4B" w:rsidRPr="00FF6302">
        <w:rPr>
          <w:shd w:val="clear" w:color="auto" w:fill="FFFFFF"/>
        </w:rPr>
        <w:t>ст.</w:t>
      </w:r>
      <w:r w:rsidR="004B505F" w:rsidRPr="00FF6302">
        <w:rPr>
          <w:shd w:val="clear" w:color="auto" w:fill="FFFFFF"/>
        </w:rPr>
        <w:t xml:space="preserve"> </w:t>
      </w:r>
      <w:r w:rsidR="00AB6F4B" w:rsidRPr="00FF6302">
        <w:rPr>
          <w:shd w:val="clear" w:color="auto" w:fill="FFFFFF"/>
        </w:rPr>
        <w:t>15 Закону:</w:t>
      </w:r>
    </w:p>
    <w:p w:rsidR="00AB6F4B" w:rsidRPr="00587BF5" w:rsidRDefault="00AB6F4B" w:rsidP="00AB6F4B">
      <w:pPr>
        <w:ind w:firstLine="709"/>
        <w:jc w:val="both"/>
        <w:rPr>
          <w:rFonts w:eastAsia="BatangChe"/>
          <w:i/>
        </w:rPr>
      </w:pPr>
      <w:r w:rsidRPr="00FF6302">
        <w:rPr>
          <w:rFonts w:eastAsia="BatangChe"/>
        </w:rPr>
        <w:t>«</w:t>
      </w:r>
      <w:r w:rsidRPr="00FF6302">
        <w:rPr>
          <w:rFonts w:eastAsia="BatangChe"/>
          <w:i/>
        </w:rPr>
        <w:t>Ліцензії на оптову</w:t>
      </w:r>
      <w:r w:rsidRPr="00587BF5">
        <w:rPr>
          <w:rFonts w:eastAsia="BatangChe"/>
          <w:i/>
        </w:rPr>
        <w:t xml:space="preserve"> торгівлю тютюновими виробами видаються лише суб'єктам господарювання, які відповідають наступним вимогам:</w:t>
      </w:r>
    </w:p>
    <w:p w:rsidR="00AB6F4B" w:rsidRPr="00587BF5" w:rsidRDefault="00AB6F4B" w:rsidP="00AB6F4B">
      <w:pPr>
        <w:ind w:firstLine="709"/>
        <w:jc w:val="both"/>
        <w:rPr>
          <w:i/>
        </w:rPr>
      </w:pPr>
      <w:bookmarkStart w:id="3" w:name="n844"/>
      <w:bookmarkStart w:id="4" w:name="n845"/>
      <w:bookmarkStart w:id="5" w:name="n846"/>
      <w:bookmarkStart w:id="6" w:name="n847"/>
      <w:bookmarkEnd w:id="3"/>
      <w:bookmarkEnd w:id="4"/>
      <w:bookmarkEnd w:id="5"/>
      <w:bookmarkEnd w:id="6"/>
      <w:r w:rsidRPr="00587BF5">
        <w:rPr>
          <w:i/>
        </w:rPr>
        <w:t>кількість осіб, які перебувають у трудових відносинах із суб’єктом господарювання, становить не менше 50 осіб;</w:t>
      </w:r>
    </w:p>
    <w:p w:rsidR="00AB6F4B" w:rsidRPr="00587BF5" w:rsidRDefault="00AB6F4B" w:rsidP="00AB6F4B">
      <w:pPr>
        <w:ind w:firstLine="709"/>
        <w:jc w:val="both"/>
        <w:rPr>
          <w:i/>
        </w:rPr>
      </w:pPr>
      <w:r w:rsidRPr="00587BF5">
        <w:rPr>
          <w:i/>
        </w:rPr>
        <w:t xml:space="preserve">у суб’єкта господарювання на праві власності або користування перебуває не менше двох вантажних автомобілів, або суб’єкт господарювання уклав договори перевезення тютюнових виробів </w:t>
      </w:r>
      <w:r w:rsidRPr="00587BF5">
        <w:rPr>
          <w:bCs/>
          <w:i/>
        </w:rPr>
        <w:t xml:space="preserve">із суб’єктом господарювання, у якого основний вид діяльності відповідно до КВЕД </w:t>
      </w:r>
      <w:hyperlink r:id="rId7" w:history="1">
        <w:r w:rsidRPr="00587BF5">
          <w:rPr>
            <w:bCs/>
            <w:i/>
          </w:rPr>
          <w:t>49.41</w:t>
        </w:r>
      </w:hyperlink>
      <w:r w:rsidRPr="00587BF5">
        <w:rPr>
          <w:bCs/>
          <w:i/>
        </w:rPr>
        <w:t> Вантажний автомобільний транспорт</w:t>
      </w:r>
      <w:r w:rsidRPr="00587BF5">
        <w:rPr>
          <w:i/>
        </w:rPr>
        <w:t>;</w:t>
      </w:r>
    </w:p>
    <w:p w:rsidR="00AB6F4B" w:rsidRPr="00587BF5" w:rsidRDefault="00AB6F4B" w:rsidP="00AB6F4B">
      <w:pPr>
        <w:pStyle w:val="ab"/>
        <w:spacing w:before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87BF5">
        <w:rPr>
          <w:rFonts w:ascii="Times New Roman" w:hAnsi="Times New Roman" w:cs="Times New Roman"/>
          <w:i/>
          <w:sz w:val="28"/>
          <w:szCs w:val="28"/>
        </w:rPr>
        <w:t>у суб’єкта господарювання відсутній податковий борг на день подання заяви про видачу ліцензії на оптову торгівлю тютюновими виробами.</w:t>
      </w:r>
    </w:p>
    <w:p w:rsidR="00AB6F4B" w:rsidRPr="00587BF5" w:rsidRDefault="00AB6F4B" w:rsidP="00AB6F4B">
      <w:pPr>
        <w:pStyle w:val="ab"/>
        <w:spacing w:before="0"/>
        <w:ind w:firstLine="709"/>
        <w:rPr>
          <w:rFonts w:ascii="Times New Roman" w:eastAsia="BatangChe" w:hAnsi="Times New Roman" w:cs="Times New Roman"/>
          <w:i/>
          <w:sz w:val="28"/>
          <w:szCs w:val="28"/>
        </w:rPr>
      </w:pPr>
      <w:r w:rsidRPr="00587BF5">
        <w:rPr>
          <w:rFonts w:ascii="Times New Roman" w:eastAsia="BatangChe" w:hAnsi="Times New Roman" w:cs="Times New Roman"/>
          <w:i/>
          <w:sz w:val="28"/>
          <w:szCs w:val="28"/>
        </w:rPr>
        <w:t xml:space="preserve">Для суб'єктів господарювання, які отримали ліцензію на оптову торгівлю тютюновими виробами у порядку, який був чинним станом на момент видачі ліцензії, проте станом на поточний рік не відповідають </w:t>
      </w:r>
      <w:r w:rsidRPr="00587BF5">
        <w:rPr>
          <w:rFonts w:ascii="Times New Roman" w:eastAsia="BatangChe" w:hAnsi="Times New Roman" w:cs="Times New Roman"/>
          <w:i/>
          <w:sz w:val="28"/>
          <w:szCs w:val="28"/>
        </w:rPr>
        <w:lastRenderedPageBreak/>
        <w:t>вимогам, встановленим частиною шістдесят п’ятою цієї статті, ліцензія дійсна до кінця поточного року.</w:t>
      </w:r>
    </w:p>
    <w:p w:rsidR="00AB6F4B" w:rsidRDefault="00AB6F4B" w:rsidP="00AB6F4B">
      <w:pPr>
        <w:pStyle w:val="ab"/>
        <w:spacing w:before="0"/>
        <w:ind w:firstLine="709"/>
        <w:rPr>
          <w:rFonts w:ascii="Times New Roman" w:eastAsia="BatangChe" w:hAnsi="Times New Roman" w:cs="Times New Roman"/>
          <w:sz w:val="28"/>
          <w:szCs w:val="28"/>
        </w:rPr>
      </w:pPr>
      <w:r w:rsidRPr="00587BF5">
        <w:rPr>
          <w:rFonts w:ascii="Times New Roman" w:eastAsia="BatangChe" w:hAnsi="Times New Roman" w:cs="Times New Roman"/>
          <w:i/>
          <w:sz w:val="28"/>
          <w:szCs w:val="28"/>
        </w:rPr>
        <w:t>Вимоги, встановлені частиною шістдесят п’ятою цієї статті, не застосовуються до суб’єктів господарювання, які отримали ліцензію на виробництво тютюнових виробів</w:t>
      </w:r>
      <w:r w:rsidRPr="006D1C77">
        <w:rPr>
          <w:rFonts w:ascii="Times New Roman" w:eastAsia="BatangChe" w:hAnsi="Times New Roman" w:cs="Times New Roman"/>
          <w:sz w:val="28"/>
          <w:szCs w:val="28"/>
        </w:rPr>
        <w:t>»</w:t>
      </w:r>
      <w:r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6C0403" w:rsidRDefault="00B613FC" w:rsidP="006C04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 xml:space="preserve">На наш погляд, встановлення таких вимог </w:t>
      </w:r>
      <w:r w:rsidR="006C0403">
        <w:rPr>
          <w:color w:val="000000"/>
          <w:highlight w:val="white"/>
        </w:rPr>
        <w:t xml:space="preserve">для отримання </w:t>
      </w:r>
      <w:r w:rsidR="006C0403" w:rsidRPr="00FF6302">
        <w:rPr>
          <w:color w:val="000000"/>
        </w:rPr>
        <w:t>ліцензії на оптову торгівлю тютюновими виробами суб’єктом господарювання</w:t>
      </w:r>
      <w:bookmarkStart w:id="7" w:name="gjdgxs" w:colFirst="0" w:colLast="0"/>
      <w:bookmarkEnd w:id="7"/>
      <w:r w:rsidR="006C0403" w:rsidRPr="00FF6302">
        <w:rPr>
          <w:color w:val="000000"/>
        </w:rPr>
        <w:t xml:space="preserve">, </w:t>
      </w:r>
      <w:r w:rsidRPr="00FF6302">
        <w:rPr>
          <w:color w:val="000000"/>
        </w:rPr>
        <w:t>як</w:t>
      </w:r>
      <w:r w:rsidR="00824F2F" w:rsidRPr="00FF6302">
        <w:rPr>
          <w:color w:val="000000"/>
        </w:rPr>
        <w:t>:</w:t>
      </w:r>
      <w:r>
        <w:rPr>
          <w:color w:val="000000"/>
        </w:rPr>
        <w:t xml:space="preserve"> </w:t>
      </w:r>
      <w:r w:rsidR="006C0403">
        <w:rPr>
          <w:color w:val="000000"/>
        </w:rPr>
        <w:t>кількість осіб, які перебувають у трудових відносинах із цим суб’єктом</w:t>
      </w:r>
      <w:r>
        <w:rPr>
          <w:color w:val="000000"/>
        </w:rPr>
        <w:t>,</w:t>
      </w:r>
      <w:r w:rsidR="006C0403">
        <w:rPr>
          <w:color w:val="000000"/>
        </w:rPr>
        <w:t xml:space="preserve"> має бути не менше 50; володіння або користування суб’єктом не менше двох вантажних автомобілів, або наявність відповідних договорів перевезення тютюнових виробів</w:t>
      </w:r>
      <w:r w:rsidR="00246EE3">
        <w:rPr>
          <w:color w:val="000000"/>
        </w:rPr>
        <w:t>,</w:t>
      </w:r>
      <w:r>
        <w:rPr>
          <w:color w:val="000000"/>
        </w:rPr>
        <w:t xml:space="preserve"> </w:t>
      </w:r>
      <w:r w:rsidR="006C0403">
        <w:rPr>
          <w:color w:val="000000"/>
        </w:rPr>
        <w:t xml:space="preserve">потребує додаткового </w:t>
      </w:r>
      <w:r w:rsidR="00246EE3">
        <w:rPr>
          <w:color w:val="000000"/>
        </w:rPr>
        <w:t>обґрунтування</w:t>
      </w:r>
      <w:r w:rsidR="006C0403">
        <w:rPr>
          <w:color w:val="000000"/>
        </w:rPr>
        <w:t>, адже немає прямого зв’язку між кількістю працюючих чи наявністю автотранспорту і дотриманням правил оптової торгівлі тютюновими виробами, встановленими цим Законом.</w:t>
      </w:r>
    </w:p>
    <w:p w:rsidR="009660D5" w:rsidRDefault="009660D5" w:rsidP="00246D8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Також, н</w:t>
      </w:r>
      <w:r w:rsidRPr="004F01E7">
        <w:t xml:space="preserve">а нашу думку, наявність додаткових ліцензійних умов не сприятиме конкуренції на ринку оптової торгівлі тютюновими виробами та </w:t>
      </w:r>
      <w:r>
        <w:t xml:space="preserve">обмежуватиме </w:t>
      </w:r>
      <w:r w:rsidRPr="004F01E7">
        <w:t xml:space="preserve">доступ до нього нових суб’єктів господарювання. </w:t>
      </w:r>
      <w:r>
        <w:t xml:space="preserve">З цього приводу зауважимо, що </w:t>
      </w:r>
      <w:r w:rsidRPr="004F01E7">
        <w:t xml:space="preserve">одним із загальних принципів державної політики у сфері ліцензування згідно з абз. 6 п. 5 ч. 1 ст. 3 Закону України </w:t>
      </w:r>
      <w:r>
        <w:br/>
      </w:r>
      <w:r w:rsidRPr="004F01E7">
        <w:t>«Про ліцензування видів господарської діяльності» є заборона використання ліцензування видів господарської діяльності для обмеження</w:t>
      </w:r>
      <w:r>
        <w:t xml:space="preserve"> конкуренції.</w:t>
      </w:r>
    </w:p>
    <w:p w:rsidR="00A00C5F" w:rsidRDefault="00246D8A" w:rsidP="00246D8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</w:rPr>
        <w:t xml:space="preserve">Крім того, </w:t>
      </w:r>
      <w:r w:rsidR="00AB6F4B">
        <w:rPr>
          <w:color w:val="000000"/>
        </w:rPr>
        <w:t>Головне управління зазначає, що</w:t>
      </w:r>
      <w:r w:rsidR="001520B2">
        <w:rPr>
          <w:rStyle w:val="rvts9"/>
          <w:shd w:val="clear" w:color="auto" w:fill="FFFFFF"/>
        </w:rPr>
        <w:t xml:space="preserve"> </w:t>
      </w:r>
      <w:r w:rsidR="001520B2">
        <w:t>відповідно до правил</w:t>
      </w:r>
      <w:r w:rsidR="001520B2" w:rsidRPr="00F1761A">
        <w:t xml:space="preserve"> законодавчої техніки</w:t>
      </w:r>
      <w:r w:rsidR="001520B2" w:rsidRPr="00F1761A">
        <w:rPr>
          <w:rStyle w:val="a7"/>
        </w:rPr>
        <w:footnoteReference w:id="1"/>
      </w:r>
      <w:r w:rsidR="001520B2">
        <w:t xml:space="preserve"> </w:t>
      </w:r>
      <w:r w:rsidR="0054744D">
        <w:t xml:space="preserve">Закон – це державний нормативно-правовий акт вищої юридичної сили, що регулює найбільш важливі суспільні відносини. </w:t>
      </w:r>
      <w:r w:rsidR="001520B2">
        <w:t xml:space="preserve">На </w:t>
      </w:r>
      <w:r w:rsidR="0054744D">
        <w:t xml:space="preserve">нашу </w:t>
      </w:r>
      <w:r w:rsidR="001520B2">
        <w:t>думку</w:t>
      </w:r>
      <w:r w:rsidR="0054744D">
        <w:t xml:space="preserve">, вбачається недоцільним переобтяження закону </w:t>
      </w:r>
      <w:r w:rsidR="001520B2" w:rsidRPr="000347AF">
        <w:t>другорядними</w:t>
      </w:r>
      <w:r>
        <w:t>,</w:t>
      </w:r>
      <w:r w:rsidR="001520B2" w:rsidRPr="000347AF">
        <w:t xml:space="preserve"> з точки зору його мети</w:t>
      </w:r>
      <w:r>
        <w:t>,</w:t>
      </w:r>
      <w:r w:rsidR="001520B2" w:rsidRPr="000347AF">
        <w:t xml:space="preserve"> положеннями, які </w:t>
      </w:r>
      <w:r w:rsidR="00AA594C">
        <w:t xml:space="preserve">цілком </w:t>
      </w:r>
      <w:r w:rsidR="001520B2" w:rsidRPr="000347AF">
        <w:t xml:space="preserve">можуть бути врегульовані </w:t>
      </w:r>
      <w:r>
        <w:t>підзаконними но</w:t>
      </w:r>
      <w:r w:rsidR="001520B2" w:rsidRPr="000347AF">
        <w:t xml:space="preserve">рмативно-правовими актами. </w:t>
      </w:r>
    </w:p>
    <w:p w:rsidR="0029114F" w:rsidRPr="0029114F" w:rsidRDefault="00246D8A" w:rsidP="0029114F">
      <w:pPr>
        <w:ind w:firstLine="708"/>
        <w:jc w:val="both"/>
      </w:pPr>
      <w:r>
        <w:rPr>
          <w:lang w:eastAsia="uk-UA"/>
        </w:rPr>
        <w:t xml:space="preserve">У цьому </w:t>
      </w:r>
      <w:r w:rsidRPr="00FF6302">
        <w:rPr>
          <w:lang w:eastAsia="uk-UA"/>
        </w:rPr>
        <w:t>зв’язку звертаємо увагу, що н</w:t>
      </w:r>
      <w:r w:rsidR="001520B2" w:rsidRPr="00FF6302">
        <w:rPr>
          <w:lang w:eastAsia="uk-UA"/>
        </w:rPr>
        <w:t>а</w:t>
      </w:r>
      <w:r w:rsidR="00A00C5F" w:rsidRPr="00FF6302">
        <w:rPr>
          <w:lang w:eastAsia="uk-UA"/>
        </w:rPr>
        <w:t xml:space="preserve"> сьогодні є чинним Положення</w:t>
      </w:r>
      <w:r w:rsidR="00A00C5F" w:rsidRPr="00FF6302">
        <w:rPr>
          <w:b/>
        </w:rPr>
        <w:t xml:space="preserve"> </w:t>
      </w:r>
      <w:r w:rsidR="00A00C5F" w:rsidRPr="00FF6302">
        <w:t>про порядок видачі ліцензій на право оптової торгівлі спиртом етиловим і плодовим, алкогольними напоями та тютюновими виробами, затверджене</w:t>
      </w:r>
      <w:r w:rsidR="00A00C5F" w:rsidRPr="00FF6302">
        <w:rPr>
          <w:lang w:eastAsia="uk-UA"/>
        </w:rPr>
        <w:t xml:space="preserve"> </w:t>
      </w:r>
      <w:r w:rsidRPr="00FF6302">
        <w:rPr>
          <w:lang w:eastAsia="uk-UA"/>
        </w:rPr>
        <w:t>п</w:t>
      </w:r>
      <w:r w:rsidR="00A00C5F" w:rsidRPr="00FF6302">
        <w:rPr>
          <w:lang w:eastAsia="uk-UA"/>
        </w:rPr>
        <w:t>остановою</w:t>
      </w:r>
      <w:r w:rsidR="005E3DB5" w:rsidRPr="00FF6302">
        <w:rPr>
          <w:lang w:eastAsia="uk-UA"/>
        </w:rPr>
        <w:t xml:space="preserve"> Кабінету Міністрів України </w:t>
      </w:r>
      <w:r w:rsidR="00407A8B" w:rsidRPr="00FF6302">
        <w:rPr>
          <w:lang w:eastAsia="uk-UA"/>
        </w:rPr>
        <w:t xml:space="preserve">від 31.03.1999 № 500 </w:t>
      </w:r>
      <w:r w:rsidR="00407A8B" w:rsidRPr="00FF6302">
        <w:rPr>
          <w:lang w:eastAsia="uk-UA"/>
        </w:rPr>
        <w:br/>
      </w:r>
      <w:r w:rsidR="001252C9" w:rsidRPr="00FF6302">
        <w:rPr>
          <w:lang w:eastAsia="uk-UA"/>
        </w:rPr>
        <w:t xml:space="preserve">(у редакції від. 30.08.2019) </w:t>
      </w:r>
      <w:r w:rsidR="005E3DB5" w:rsidRPr="00FF6302">
        <w:rPr>
          <w:lang w:eastAsia="uk-UA"/>
        </w:rPr>
        <w:t>«</w:t>
      </w:r>
      <w:r w:rsidR="005E3DB5" w:rsidRPr="00FF6302">
        <w:t>Про впорядкування видачі суб'єктам підприємницької діяльності ліцензій на право оптової торгівлі спиртом  етиловим і плодовим, алкогольними</w:t>
      </w:r>
      <w:r w:rsidR="005E3DB5">
        <w:t xml:space="preserve"> напоями </w:t>
      </w:r>
      <w:r w:rsidR="005E3DB5" w:rsidRPr="005E3DB5">
        <w:t>та тютюновими виробами</w:t>
      </w:r>
      <w:r w:rsidR="005E3DB5">
        <w:t>»</w:t>
      </w:r>
      <w:r>
        <w:t xml:space="preserve"> </w:t>
      </w:r>
      <w:r w:rsidR="00AA594C">
        <w:rPr>
          <w:lang w:eastAsia="uk-UA"/>
        </w:rPr>
        <w:t>(далі – Положення)</w:t>
      </w:r>
      <w:r w:rsidR="005E3DB5">
        <w:t>.</w:t>
      </w:r>
      <w:r>
        <w:t xml:space="preserve"> Зокрема, в</w:t>
      </w:r>
      <w:r w:rsidR="0029114F" w:rsidRPr="0029114F">
        <w:t>ідповідно до п.</w:t>
      </w:r>
      <w:r>
        <w:t xml:space="preserve"> </w:t>
      </w:r>
      <w:r w:rsidR="0029114F" w:rsidRPr="0029114F">
        <w:t xml:space="preserve">3 Положення </w:t>
      </w:r>
      <w:bookmarkStart w:id="8" w:name="o13"/>
      <w:bookmarkEnd w:id="8"/>
      <w:r w:rsidR="0029114F" w:rsidRPr="0029114F">
        <w:t>суб'є</w:t>
      </w:r>
      <w:r w:rsidR="0029114F">
        <w:t xml:space="preserve">кти підприємницької діяльності, які одержали ліцензії на право оптової </w:t>
      </w:r>
      <w:r>
        <w:t xml:space="preserve">торгівлі </w:t>
      </w:r>
      <w:r w:rsidR="0029114F" w:rsidRPr="0029114F">
        <w:t>алкогол</w:t>
      </w:r>
      <w:r w:rsidR="0029114F">
        <w:t xml:space="preserve">ьними напоями та тютюновими </w:t>
      </w:r>
      <w:r w:rsidR="0029114F" w:rsidRPr="0029114F">
        <w:t>виро</w:t>
      </w:r>
      <w:r w:rsidR="0029114F">
        <w:t xml:space="preserve">бами, зобов'язані протягом зазначеного терміну подати </w:t>
      </w:r>
      <w:r w:rsidR="0029114F" w:rsidRPr="0029114F">
        <w:t xml:space="preserve">Міністерству фінансів такі документи, в тому числі, довідку державної податкової </w:t>
      </w:r>
      <w:r w:rsidR="0029114F">
        <w:t xml:space="preserve">інспекції </w:t>
      </w:r>
      <w:r w:rsidR="0029114F" w:rsidRPr="0029114F">
        <w:rPr>
          <w:i/>
          <w:u w:val="single"/>
        </w:rPr>
        <w:t>про відсутність у суб'єкта підприємницької діяльності заборгованості з обов'язкових платежів до бюджету.</w:t>
      </w:r>
      <w:r w:rsidR="0029114F" w:rsidRPr="0029114F">
        <w:t xml:space="preserve"> </w:t>
      </w:r>
    </w:p>
    <w:p w:rsidR="001527EB" w:rsidRPr="001527EB" w:rsidRDefault="001527EB" w:rsidP="001527EB">
      <w:pPr>
        <w:ind w:firstLine="708"/>
        <w:jc w:val="both"/>
      </w:pPr>
      <w:r w:rsidRPr="001527EB">
        <w:lastRenderedPageBreak/>
        <w:t>Ліцензії на право оптової то</w:t>
      </w:r>
      <w:r>
        <w:t xml:space="preserve">ргівлі алкогольними напоями та </w:t>
      </w:r>
      <w:r w:rsidRPr="001527EB">
        <w:t>тютюновими виробами видаються за н</w:t>
      </w:r>
      <w:r>
        <w:t xml:space="preserve">аявності </w:t>
      </w:r>
      <w:r w:rsidRPr="00FF6302">
        <w:t xml:space="preserve">необхідних складських приміщень і </w:t>
      </w:r>
      <w:r w:rsidRPr="00FF6302">
        <w:rPr>
          <w:i/>
          <w:u w:val="single"/>
        </w:rPr>
        <w:t xml:space="preserve">відповідної  матеріально-технічної бази </w:t>
      </w:r>
      <w:r w:rsidR="001252C9" w:rsidRPr="00FF6302">
        <w:rPr>
          <w:i/>
          <w:u w:val="single"/>
        </w:rPr>
        <w:t>(</w:t>
      </w:r>
      <w:r w:rsidRPr="00FF6302">
        <w:rPr>
          <w:i/>
          <w:u w:val="single"/>
        </w:rPr>
        <w:t>стенд або вітрина  із зразками продукції в асортименті, робочими місцями для оформлення документів і укладання  угод, реєстраторами розрахункових</w:t>
      </w:r>
      <w:r w:rsidRPr="001252C9">
        <w:rPr>
          <w:i/>
          <w:u w:val="single"/>
        </w:rPr>
        <w:t xml:space="preserve"> операцій</w:t>
      </w:r>
      <w:r w:rsidRPr="00CC6052">
        <w:rPr>
          <w:i/>
          <w:u w:val="single"/>
        </w:rPr>
        <w:t xml:space="preserve"> для розрахунків з покупцями готівкою, обладнанням для перевірки справжності марок акцизного збору</w:t>
      </w:r>
      <w:r>
        <w:t xml:space="preserve">). </w:t>
      </w:r>
      <w:r w:rsidRPr="001527EB">
        <w:t>Приміщення повинні бути телефонізова</w:t>
      </w:r>
      <w:r>
        <w:t xml:space="preserve">ні, електрифіковані, обладнані </w:t>
      </w:r>
      <w:r w:rsidRPr="001527EB">
        <w:t>охоронною і пожежною сигналізаціє</w:t>
      </w:r>
      <w:r>
        <w:t xml:space="preserve">ю, а також відповідати іншим </w:t>
      </w:r>
      <w:r w:rsidRPr="001527EB">
        <w:t>вимогам, встановленим для підприємств торгівлі  алкогольн</w:t>
      </w:r>
      <w:r>
        <w:t xml:space="preserve">ими </w:t>
      </w:r>
      <w:r w:rsidRPr="001527EB">
        <w:t>напоями та тютюновими виробами</w:t>
      </w:r>
      <w:r>
        <w:t xml:space="preserve"> (п.</w:t>
      </w:r>
      <w:r w:rsidR="00246D8A">
        <w:t xml:space="preserve"> </w:t>
      </w:r>
      <w:r>
        <w:t>8</w:t>
      </w:r>
      <w:r w:rsidR="00246D8A">
        <w:t xml:space="preserve"> Положення</w:t>
      </w:r>
      <w:r>
        <w:t>)</w:t>
      </w:r>
      <w:r w:rsidRPr="001527EB">
        <w:t>.</w:t>
      </w:r>
    </w:p>
    <w:p w:rsidR="00AA594C" w:rsidRPr="00FF6302" w:rsidRDefault="00B547C3" w:rsidP="00AA594C">
      <w:pPr>
        <w:ind w:firstLine="708"/>
        <w:jc w:val="both"/>
      </w:pPr>
      <w:r>
        <w:rPr>
          <w:b/>
        </w:rPr>
        <w:t>6</w:t>
      </w:r>
      <w:r w:rsidR="00AA594C" w:rsidRPr="00AA594C">
        <w:rPr>
          <w:b/>
        </w:rPr>
        <w:t>.</w:t>
      </w:r>
      <w:r w:rsidR="00AA594C">
        <w:t xml:space="preserve"> Відповідно до нового п.</w:t>
      </w:r>
      <w:r w:rsidR="00AA594C" w:rsidRPr="00A97BAB">
        <w:t xml:space="preserve"> 1</w:t>
      </w:r>
      <w:r w:rsidR="00AA594C" w:rsidRPr="00A97BAB">
        <w:rPr>
          <w:vertAlign w:val="superscript"/>
        </w:rPr>
        <w:t>1</w:t>
      </w:r>
      <w:r w:rsidR="00AA594C" w:rsidRPr="0039608A">
        <w:t xml:space="preserve"> ст. 17 </w:t>
      </w:r>
      <w:r w:rsidR="00AA594C" w:rsidRPr="0039608A">
        <w:rPr>
          <w:rFonts w:eastAsia="BatangChe"/>
        </w:rPr>
        <w:t>Закону України «Про застосування реєстраторів розрахункових операцій у сфері торгівлі, громадського харчування та послуг»</w:t>
      </w:r>
      <w:r w:rsidR="00B32041">
        <w:rPr>
          <w:rFonts w:eastAsia="BatangChe"/>
        </w:rPr>
        <w:t xml:space="preserve"> </w:t>
      </w:r>
      <w:r w:rsidR="00982932">
        <w:rPr>
          <w:rFonts w:eastAsia="BatangChe"/>
        </w:rPr>
        <w:t xml:space="preserve">(далі – Закон) </w:t>
      </w:r>
      <w:r w:rsidR="00AA594C">
        <w:rPr>
          <w:rFonts w:eastAsia="BatangChe"/>
        </w:rPr>
        <w:t>пропон</w:t>
      </w:r>
      <w:r w:rsidR="00AA594C" w:rsidRPr="00A97BAB">
        <w:rPr>
          <w:rFonts w:eastAsia="BatangChe"/>
        </w:rPr>
        <w:t xml:space="preserve">ується </w:t>
      </w:r>
      <w:r w:rsidR="00AA594C" w:rsidRPr="0039608A">
        <w:rPr>
          <w:rFonts w:eastAsia="BatangChe"/>
        </w:rPr>
        <w:t>в</w:t>
      </w:r>
      <w:r w:rsidR="00AA594C">
        <w:rPr>
          <w:rFonts w:eastAsia="BatangChe"/>
        </w:rPr>
        <w:t>и</w:t>
      </w:r>
      <w:r w:rsidR="00AA594C" w:rsidRPr="0039608A">
        <w:rPr>
          <w:rFonts w:eastAsia="BatangChe"/>
        </w:rPr>
        <w:t xml:space="preserve">окремити </w:t>
      </w:r>
      <w:r w:rsidR="00982932">
        <w:rPr>
          <w:rFonts w:eastAsia="BatangChe"/>
        </w:rPr>
        <w:t>і</w:t>
      </w:r>
      <w:r w:rsidR="00AA594C">
        <w:t>з встановлених чинним п. 1</w:t>
      </w:r>
      <w:r w:rsidR="00982932">
        <w:t xml:space="preserve"> цієї ж </w:t>
      </w:r>
      <w:r w:rsidR="00AA594C">
        <w:t>статті</w:t>
      </w:r>
      <w:r w:rsidR="00982932">
        <w:t xml:space="preserve"> </w:t>
      </w:r>
      <w:r w:rsidR="00AA594C" w:rsidRPr="0039608A">
        <w:t>фінансов</w:t>
      </w:r>
      <w:r w:rsidR="00AA594C">
        <w:t>і</w:t>
      </w:r>
      <w:r w:rsidR="00982932">
        <w:t xml:space="preserve"> </w:t>
      </w:r>
      <w:r w:rsidR="00AA594C" w:rsidRPr="0039608A">
        <w:t>санкці</w:t>
      </w:r>
      <w:r w:rsidR="00AA594C">
        <w:t xml:space="preserve">ї </w:t>
      </w:r>
      <w:r w:rsidR="00AA594C" w:rsidRPr="0039608A">
        <w:t xml:space="preserve">за порушення проведення </w:t>
      </w:r>
      <w:r w:rsidR="00AA594C" w:rsidRPr="0039608A">
        <w:rPr>
          <w:rFonts w:eastAsia="BatangChe"/>
        </w:rPr>
        <w:t>операцій з підакцизними товарами</w:t>
      </w:r>
      <w:r w:rsidR="00AA594C">
        <w:rPr>
          <w:rFonts w:eastAsia="BatangChe"/>
        </w:rPr>
        <w:t xml:space="preserve"> та передбачити для них збільшений розмір санкцій. На наш погляд, запропонований підхід </w:t>
      </w:r>
      <w:r w:rsidR="00AA594C" w:rsidRPr="0039608A">
        <w:rPr>
          <w:rFonts w:eastAsia="BatangChe"/>
        </w:rPr>
        <w:t>потребує додаткового обґрунтування</w:t>
      </w:r>
      <w:r w:rsidR="00AA594C">
        <w:rPr>
          <w:rFonts w:eastAsia="BatangChe"/>
        </w:rPr>
        <w:t>, зокрема</w:t>
      </w:r>
      <w:r w:rsidR="00982932">
        <w:rPr>
          <w:rFonts w:eastAsia="BatangChe"/>
        </w:rPr>
        <w:t>, у</w:t>
      </w:r>
      <w:r w:rsidR="00AA594C">
        <w:rPr>
          <w:rFonts w:eastAsia="BatangChe"/>
        </w:rPr>
        <w:t xml:space="preserve"> частині </w:t>
      </w:r>
      <w:r w:rsidR="00AA594C" w:rsidRPr="0039608A">
        <w:rPr>
          <w:rFonts w:eastAsia="BatangChe"/>
        </w:rPr>
        <w:t xml:space="preserve">неефективності </w:t>
      </w:r>
      <w:r w:rsidR="00AA594C">
        <w:rPr>
          <w:rFonts w:eastAsia="BatangChe"/>
        </w:rPr>
        <w:t xml:space="preserve">передбачених загальних </w:t>
      </w:r>
      <w:r w:rsidR="00AA594C" w:rsidRPr="0039608A">
        <w:rPr>
          <w:rFonts w:eastAsia="BatangChe"/>
        </w:rPr>
        <w:t>фі</w:t>
      </w:r>
      <w:r w:rsidR="00AA594C">
        <w:rPr>
          <w:rFonts w:eastAsia="BatangChe"/>
        </w:rPr>
        <w:t>нансових санкцій саме для операцій з підакцизними товарами та</w:t>
      </w:r>
      <w:r w:rsidR="00AA594C" w:rsidRPr="0039608A">
        <w:t xml:space="preserve"> доцільності запровадж</w:t>
      </w:r>
      <w:r w:rsidR="00AA594C">
        <w:t xml:space="preserve">ення штрафів </w:t>
      </w:r>
      <w:r w:rsidR="00982932">
        <w:t xml:space="preserve">саме </w:t>
      </w:r>
      <w:r w:rsidR="00AA594C">
        <w:t>у запропонованих</w:t>
      </w:r>
      <w:r w:rsidR="00AA594C" w:rsidRPr="0039608A">
        <w:t xml:space="preserve"> проектом </w:t>
      </w:r>
      <w:r w:rsidR="00AA594C" w:rsidRPr="00FF6302">
        <w:t>розмірах.</w:t>
      </w:r>
    </w:p>
    <w:p w:rsidR="00AA594C" w:rsidRDefault="00AA594C" w:rsidP="00AA594C">
      <w:pPr>
        <w:ind w:firstLine="709"/>
        <w:jc w:val="both"/>
        <w:rPr>
          <w:rStyle w:val="rvts0"/>
        </w:rPr>
      </w:pPr>
      <w:r w:rsidRPr="00FF6302">
        <w:rPr>
          <w:rStyle w:val="st44"/>
          <w:b w:val="0"/>
        </w:rPr>
        <w:t>Також</w:t>
      </w:r>
      <w:r w:rsidR="00FF6302" w:rsidRPr="00AC3D38">
        <w:rPr>
          <w:rStyle w:val="st44"/>
          <w:b w:val="0"/>
          <w:lang w:val="ru-RU"/>
        </w:rPr>
        <w:t xml:space="preserve"> </w:t>
      </w:r>
      <w:r w:rsidRPr="00FF6302">
        <w:rPr>
          <w:rStyle w:val="st44"/>
          <w:b w:val="0"/>
        </w:rPr>
        <w:t xml:space="preserve"> за змістом пропонованої норми</w:t>
      </w:r>
      <w:r w:rsidR="00982932" w:rsidRPr="00FF6302">
        <w:rPr>
          <w:rStyle w:val="st44"/>
          <w:b w:val="0"/>
        </w:rPr>
        <w:t xml:space="preserve"> </w:t>
      </w:r>
      <w:r w:rsidRPr="00FF6302">
        <w:rPr>
          <w:rStyle w:val="st44"/>
          <w:b w:val="0"/>
        </w:rPr>
        <w:t>виглядає незрозумілим</w:t>
      </w:r>
      <w:r w:rsidR="00982932" w:rsidRPr="00FF6302">
        <w:rPr>
          <w:rStyle w:val="st44"/>
          <w:b w:val="0"/>
        </w:rPr>
        <w:t>,</w:t>
      </w:r>
      <w:r w:rsidR="004F7561" w:rsidRPr="00FF6302">
        <w:rPr>
          <w:rStyle w:val="st44"/>
          <w:b w:val="0"/>
        </w:rPr>
        <w:t xml:space="preserve"> про яку </w:t>
      </w:r>
      <w:r w:rsidRPr="00FF6302">
        <w:rPr>
          <w:rStyle w:val="st44"/>
          <w:b w:val="0"/>
        </w:rPr>
        <w:t>саме юридичну особу</w:t>
      </w:r>
      <w:r w:rsidRPr="00982932">
        <w:rPr>
          <w:rStyle w:val="st44"/>
          <w:b w:val="0"/>
        </w:rPr>
        <w:t xml:space="preserve"> йдеться</w:t>
      </w:r>
      <w:r w:rsidRPr="00982932">
        <w:rPr>
          <w:rFonts w:eastAsia="BatangChe"/>
        </w:rPr>
        <w:t>, оскільки згідно з преамбулою</w:t>
      </w:r>
      <w:r w:rsidR="00982932">
        <w:rPr>
          <w:rFonts w:eastAsia="BatangChe"/>
        </w:rPr>
        <w:t xml:space="preserve"> </w:t>
      </w:r>
      <w:r w:rsidRPr="00982932">
        <w:rPr>
          <w:rFonts w:eastAsia="BatangChe"/>
        </w:rPr>
        <w:t>Закону</w:t>
      </w:r>
      <w:r w:rsidR="00982932">
        <w:rPr>
          <w:rFonts w:eastAsia="BatangChe"/>
        </w:rPr>
        <w:t xml:space="preserve"> </w:t>
      </w:r>
      <w:r w:rsidRPr="00982932">
        <w:rPr>
          <w:rFonts w:eastAsia="BatangChe"/>
        </w:rPr>
        <w:t xml:space="preserve">його </w:t>
      </w:r>
      <w:r w:rsidRPr="00982932">
        <w:rPr>
          <w:rStyle w:val="rvts0"/>
        </w:rPr>
        <w:t>дія поширюєтьс</w:t>
      </w:r>
      <w:r>
        <w:rPr>
          <w:rStyle w:val="rvts0"/>
        </w:rPr>
        <w:t>я на усіх суб’</w:t>
      </w:r>
      <w:r w:rsidRPr="0039608A">
        <w:rPr>
          <w:rStyle w:val="rvts0"/>
        </w:rPr>
        <w:t>єктів господарювання, їх господарські одиниці та представників (уповноважених осіб) суб</w:t>
      </w:r>
      <w:r>
        <w:rPr>
          <w:rStyle w:val="rvts0"/>
        </w:rPr>
        <w:t>’</w:t>
      </w:r>
      <w:r w:rsidRPr="0039608A">
        <w:rPr>
          <w:rStyle w:val="rvts0"/>
        </w:rPr>
        <w:t>єктів господарювання, які здійснюють розрахункові операції у готівковій та/або безготівковій формі.</w:t>
      </w:r>
    </w:p>
    <w:p w:rsidR="00AA594C" w:rsidRPr="0039608A" w:rsidRDefault="00AA594C" w:rsidP="00AA594C">
      <w:pPr>
        <w:ind w:firstLine="709"/>
        <w:jc w:val="both"/>
      </w:pPr>
      <w:r>
        <w:t>Принагідно з</w:t>
      </w:r>
      <w:r w:rsidRPr="0039608A">
        <w:t xml:space="preserve">вертаємо увагу, що з метою детінізації обігу готівкових коштів, розширення фіскалізації розрахункових операцій, залучення більшої кількості суб’єктів господарювання до застосування </w:t>
      </w:r>
      <w:r w:rsidR="00982932">
        <w:t xml:space="preserve">реєстраторів розрахункових операцій </w:t>
      </w:r>
      <w:r w:rsidRPr="0039608A">
        <w:t xml:space="preserve">та створення таким чином рівних конкурентних умов для ведення </w:t>
      </w:r>
      <w:r w:rsidRPr="00FF6302">
        <w:t xml:space="preserve">господарської діяльності </w:t>
      </w:r>
      <w:r w:rsidRPr="00FF6302">
        <w:rPr>
          <w:rStyle w:val="rvts44"/>
        </w:rPr>
        <w:t xml:space="preserve">20.09.2019 </w:t>
      </w:r>
      <w:r w:rsidRPr="00FF6302">
        <w:t xml:space="preserve">Верховною Радою України прийнято Закон України </w:t>
      </w:r>
      <w:r w:rsidR="004F7561" w:rsidRPr="00FF6302">
        <w:rPr>
          <w:rStyle w:val="rvts44"/>
        </w:rPr>
        <w:t>№ 128-IX</w:t>
      </w:r>
      <w:r w:rsidR="004F7561" w:rsidRPr="00FF6302">
        <w:t xml:space="preserve"> </w:t>
      </w:r>
      <w:r w:rsidRPr="00FF6302">
        <w:t>«</w:t>
      </w:r>
      <w:r w:rsidRPr="00FF6302">
        <w:rPr>
          <w:rStyle w:val="rvts23"/>
        </w:rPr>
        <w:t>Про внесення змін до Закону України «Про застосування реєстраторів розрахункових операцій у сфері торгівлі, громадського харчування та послуг» та інших законів України щодо детінізації розрахунків у сфері торгівлі та послуг»</w:t>
      </w:r>
      <w:r w:rsidR="004F7561" w:rsidRPr="00FF6302">
        <w:rPr>
          <w:rStyle w:val="rvts23"/>
        </w:rPr>
        <w:t xml:space="preserve"> (далі – Закон </w:t>
      </w:r>
      <w:r w:rsidR="004F7561" w:rsidRPr="00FF6302">
        <w:t>№ 128-IX)</w:t>
      </w:r>
      <w:r w:rsidRPr="00FF6302">
        <w:rPr>
          <w:rStyle w:val="rvts44"/>
        </w:rPr>
        <w:t>.</w:t>
      </w:r>
      <w:r w:rsidR="00982932" w:rsidRPr="00FF6302">
        <w:rPr>
          <w:rStyle w:val="rvts44"/>
        </w:rPr>
        <w:t xml:space="preserve"> </w:t>
      </w:r>
      <w:r w:rsidRPr="00FF6302">
        <w:t>Проте відсутність практики застосування запропонованих Законом № 128-IX інструментів контролю не дозволяє об’єктивно оцінити їх вплив на,</w:t>
      </w:r>
      <w:r w:rsidRPr="0039608A">
        <w:t xml:space="preserve"> з одного боку, </w:t>
      </w:r>
      <w:r w:rsidRPr="0039608A">
        <w:rPr>
          <w:lang w:eastAsia="uk-UA"/>
        </w:rPr>
        <w:t>подолання тіньової економіки</w:t>
      </w:r>
      <w:r w:rsidRPr="0039608A">
        <w:t xml:space="preserve">, а, з другого боку, умови ведення бізнесу. За таких умов перегляд зазначених інструментів має здійснюватися, виходячи з необхідності вирішення завдань детінізації економіки, підвищення рівня захисту прав споживачів, врахування балансу інтересів бізнесу та держави. </w:t>
      </w:r>
    </w:p>
    <w:p w:rsidR="00F833A3" w:rsidRDefault="00B547C3" w:rsidP="00B547C3">
      <w:pPr>
        <w:ind w:firstLine="709"/>
        <w:jc w:val="both"/>
        <w:rPr>
          <w:rStyle w:val="rvts0"/>
        </w:rPr>
      </w:pPr>
      <w:r w:rsidRPr="00B547C3">
        <w:rPr>
          <w:rStyle w:val="rvts0"/>
          <w:b/>
        </w:rPr>
        <w:t>7</w:t>
      </w:r>
      <w:r w:rsidR="005918AA" w:rsidRPr="00B547C3">
        <w:rPr>
          <w:rStyle w:val="rvts0"/>
          <w:b/>
        </w:rPr>
        <w:t xml:space="preserve">. </w:t>
      </w:r>
      <w:r w:rsidR="00F833A3" w:rsidRPr="00F833A3">
        <w:rPr>
          <w:rStyle w:val="rvts0"/>
        </w:rPr>
        <w:t xml:space="preserve">Зауваження до </w:t>
      </w:r>
      <w:r w:rsidR="00F833A3">
        <w:rPr>
          <w:rStyle w:val="rvts0"/>
        </w:rPr>
        <w:t>розділу ІІ «Прикінцеві положення» проекту.</w:t>
      </w:r>
    </w:p>
    <w:p w:rsidR="00B710C0" w:rsidRDefault="00F833A3" w:rsidP="00B710C0">
      <w:pPr>
        <w:ind w:firstLine="709"/>
        <w:jc w:val="both"/>
        <w:rPr>
          <w:lang w:eastAsia="uk-UA"/>
        </w:rPr>
      </w:pPr>
      <w:r>
        <w:rPr>
          <w:rStyle w:val="rvts0"/>
        </w:rPr>
        <w:t>7.1.</w:t>
      </w:r>
      <w:r w:rsidR="00B710C0">
        <w:rPr>
          <w:rStyle w:val="rvts0"/>
        </w:rPr>
        <w:t xml:space="preserve"> Згідно з п. 1 розділу ІІ проекту «ц</w:t>
      </w:r>
      <w:r w:rsidR="00B710C0">
        <w:rPr>
          <w:lang w:eastAsia="uk-UA"/>
        </w:rPr>
        <w:t xml:space="preserve">ей Закон набирає чинності з дня, наступного за днем його опублікування </w:t>
      </w:r>
      <w:r w:rsidR="00B710C0" w:rsidRPr="002725F9">
        <w:rPr>
          <w:lang w:eastAsia="uk-UA"/>
        </w:rPr>
        <w:t>крім розділу І цього Закону</w:t>
      </w:r>
      <w:r w:rsidR="00B710C0">
        <w:rPr>
          <w:lang w:eastAsia="uk-UA"/>
        </w:rPr>
        <w:t xml:space="preserve">, який набирає чинності з 01 липня 2020 року». Відповідно ж до п. 2 цього ж розділу </w:t>
      </w:r>
      <w:r w:rsidR="00B710C0">
        <w:rPr>
          <w:lang w:eastAsia="uk-UA"/>
        </w:rPr>
        <w:lastRenderedPageBreak/>
        <w:t>«в</w:t>
      </w:r>
      <w:r w:rsidR="00B710C0" w:rsidRPr="003E7C2D">
        <w:rPr>
          <w:lang w:eastAsia="uk-UA"/>
        </w:rPr>
        <w:t xml:space="preserve">имоги </w:t>
      </w:r>
      <w:r w:rsidR="00B710C0" w:rsidRPr="002725F9">
        <w:rPr>
          <w:lang w:eastAsia="uk-UA"/>
        </w:rPr>
        <w:t>пункту сьомого частини першої розділу І</w:t>
      </w:r>
      <w:r w:rsidR="00B710C0" w:rsidRPr="003E7C2D">
        <w:rPr>
          <w:lang w:eastAsia="uk-UA"/>
        </w:rPr>
        <w:t xml:space="preserve"> цього Закону не застосовуються до суб’єктів господарювання, які отримали ліцензію на право оптової торгівлі тютюновими виробами до набрання чинності цим Законом</w:t>
      </w:r>
      <w:r w:rsidR="00B710C0">
        <w:rPr>
          <w:lang w:eastAsia="uk-UA"/>
        </w:rPr>
        <w:t>»</w:t>
      </w:r>
      <w:r w:rsidR="00B710C0" w:rsidRPr="003E7C2D">
        <w:rPr>
          <w:lang w:eastAsia="uk-UA"/>
        </w:rPr>
        <w:t>.</w:t>
      </w:r>
    </w:p>
    <w:p w:rsidR="00E6000C" w:rsidRDefault="00B710C0" w:rsidP="00B710C0">
      <w:pPr>
        <w:ind w:firstLine="709"/>
        <w:jc w:val="both"/>
        <w:rPr>
          <w:lang w:eastAsia="uk-UA"/>
        </w:rPr>
      </w:pPr>
      <w:r>
        <w:rPr>
          <w:lang w:eastAsia="uk-UA"/>
        </w:rPr>
        <w:t xml:space="preserve">У даному випадку виникає питання щодо порядку регулювання відповідних відносин </w:t>
      </w:r>
      <w:r w:rsidRPr="0057466E">
        <w:rPr>
          <w:i/>
          <w:lang w:eastAsia="uk-UA"/>
        </w:rPr>
        <w:t xml:space="preserve">у період з </w:t>
      </w:r>
      <w:r w:rsidR="00F022A2" w:rsidRPr="0057466E">
        <w:rPr>
          <w:i/>
          <w:lang w:eastAsia="uk-UA"/>
        </w:rPr>
        <w:t xml:space="preserve">дня набрання чинності Законом, проект якого розглядається, </w:t>
      </w:r>
      <w:r w:rsidR="00061D2D">
        <w:rPr>
          <w:i/>
          <w:lang w:eastAsia="uk-UA"/>
        </w:rPr>
        <w:t>п</w:t>
      </w:r>
      <w:r w:rsidR="00F022A2" w:rsidRPr="0057466E">
        <w:rPr>
          <w:i/>
          <w:lang w:eastAsia="uk-UA"/>
        </w:rPr>
        <w:t>о 3</w:t>
      </w:r>
      <w:r w:rsidR="002F0C7E">
        <w:rPr>
          <w:i/>
          <w:lang w:eastAsia="uk-UA"/>
        </w:rPr>
        <w:t>0</w:t>
      </w:r>
      <w:r w:rsidR="00F022A2" w:rsidRPr="0057466E">
        <w:rPr>
          <w:i/>
          <w:lang w:eastAsia="uk-UA"/>
        </w:rPr>
        <w:t xml:space="preserve"> червня 2020 року</w:t>
      </w:r>
      <w:r w:rsidR="00F022A2">
        <w:rPr>
          <w:lang w:eastAsia="uk-UA"/>
        </w:rPr>
        <w:t>.</w:t>
      </w:r>
      <w:r w:rsidR="0057466E">
        <w:rPr>
          <w:lang w:eastAsia="uk-UA"/>
        </w:rPr>
        <w:t xml:space="preserve"> </w:t>
      </w:r>
      <w:r w:rsidR="00E6000C">
        <w:rPr>
          <w:lang w:eastAsia="uk-UA"/>
        </w:rPr>
        <w:t>Адже за змістом п. 2 розділу ІІ проекту складається враження, що вимоги п</w:t>
      </w:r>
      <w:r w:rsidR="0057466E">
        <w:rPr>
          <w:lang w:eastAsia="uk-UA"/>
        </w:rPr>
        <w:t xml:space="preserve">. 7 ч. 1 розділу І Закону, проект якого розглядається, </w:t>
      </w:r>
      <w:r w:rsidR="00E6000C">
        <w:rPr>
          <w:lang w:eastAsia="uk-UA"/>
        </w:rPr>
        <w:t xml:space="preserve">застосовуються </w:t>
      </w:r>
      <w:r w:rsidR="0057466E">
        <w:rPr>
          <w:lang w:eastAsia="uk-UA"/>
        </w:rPr>
        <w:t>стосовно суб’єктів господарювання, які отримали ліцензію на право оптової торгівлі тютюновими виробами, у зазначений період</w:t>
      </w:r>
      <w:r w:rsidR="00DC5021">
        <w:rPr>
          <w:lang w:eastAsia="uk-UA"/>
        </w:rPr>
        <w:t>, тобто, до набрання чинності цього п. 7</w:t>
      </w:r>
      <w:r w:rsidR="0057466E">
        <w:rPr>
          <w:lang w:eastAsia="uk-UA"/>
        </w:rPr>
        <w:t>.</w:t>
      </w:r>
      <w:r w:rsidR="00E6000C">
        <w:rPr>
          <w:lang w:eastAsia="uk-UA"/>
        </w:rPr>
        <w:t xml:space="preserve"> </w:t>
      </w:r>
      <w:r w:rsidR="00DC5021">
        <w:rPr>
          <w:lang w:eastAsia="uk-UA"/>
        </w:rPr>
        <w:t xml:space="preserve">У такому разі, </w:t>
      </w:r>
      <w:r w:rsidR="00DC5021">
        <w:rPr>
          <w:lang w:eastAsia="uk-UA"/>
        </w:rPr>
        <w:br/>
        <w:t>п</w:t>
      </w:r>
      <w:r w:rsidR="00E6000C">
        <w:rPr>
          <w:lang w:eastAsia="uk-UA"/>
        </w:rPr>
        <w:t>о-перше, некоректн</w:t>
      </w:r>
      <w:r w:rsidR="00DC5021">
        <w:rPr>
          <w:lang w:eastAsia="uk-UA"/>
        </w:rPr>
        <w:t xml:space="preserve">о говорити про застосування норми у період </w:t>
      </w:r>
      <w:r w:rsidR="00E6000C">
        <w:rPr>
          <w:lang w:eastAsia="uk-UA"/>
        </w:rPr>
        <w:t>до набрання нею чинності</w:t>
      </w:r>
      <w:r w:rsidR="00D76463">
        <w:rPr>
          <w:lang w:eastAsia="uk-UA"/>
        </w:rPr>
        <w:t>, а, п</w:t>
      </w:r>
      <w:r w:rsidR="00E6000C">
        <w:rPr>
          <w:lang w:eastAsia="uk-UA"/>
        </w:rPr>
        <w:t xml:space="preserve">о-друге, </w:t>
      </w:r>
      <w:r w:rsidR="00D76463">
        <w:rPr>
          <w:lang w:eastAsia="uk-UA"/>
        </w:rPr>
        <w:t>має місце зворотна дія норми у часі.</w:t>
      </w:r>
      <w:r w:rsidR="00F64489">
        <w:rPr>
          <w:lang w:eastAsia="uk-UA"/>
        </w:rPr>
        <w:t xml:space="preserve"> З приводу останнього зауважимо, що відповідно до ст. 58 Конституції України «з</w:t>
      </w:r>
      <w:r w:rsidR="00F64489" w:rsidRPr="00F64489">
        <w:t>акони та інші нормативно-правові акти не мають зворотної дії в часі, крім випадків, коли вони пом'якшують або скасовують відповідальність особи</w:t>
      </w:r>
      <w:r w:rsidR="00F64489">
        <w:t>»</w:t>
      </w:r>
      <w:r w:rsidR="00F64489" w:rsidRPr="00F64489">
        <w:t>.</w:t>
      </w:r>
      <w:r w:rsidR="00D76463">
        <w:rPr>
          <w:lang w:eastAsia="uk-UA"/>
        </w:rPr>
        <w:t xml:space="preserve"> </w:t>
      </w:r>
    </w:p>
    <w:p w:rsidR="00A06984" w:rsidRPr="00FC7F30" w:rsidRDefault="00F833A3" w:rsidP="00A06984">
      <w:pPr>
        <w:ind w:firstLine="709"/>
        <w:jc w:val="both"/>
      </w:pPr>
      <w:r>
        <w:rPr>
          <w:rStyle w:val="rvts0"/>
        </w:rPr>
        <w:t>7.</w:t>
      </w:r>
      <w:r w:rsidR="00AF764B">
        <w:rPr>
          <w:rStyle w:val="rvts0"/>
        </w:rPr>
        <w:t>2</w:t>
      </w:r>
      <w:r>
        <w:rPr>
          <w:rStyle w:val="rvts0"/>
        </w:rPr>
        <w:t xml:space="preserve">. </w:t>
      </w:r>
      <w:r w:rsidR="00A06984">
        <w:rPr>
          <w:rStyle w:val="rvts0"/>
        </w:rPr>
        <w:t>Виникає питання щодо змісту положення п. 3 розділу ІІ проекту, за яким «в</w:t>
      </w:r>
      <w:r w:rsidR="00A06984" w:rsidRPr="00FC7F30">
        <w:t>ідповідно до статей 8 та 58 Конституції України правовідносини, що виникли чи змінилися відповідно до положень законодавчих актів України, змінених цим Законом, припиняються не пізніш як з моменту набрання чинності цим Законом та не мають юридичних наслідків</w:t>
      </w:r>
      <w:r w:rsidR="00A06984">
        <w:t>»</w:t>
      </w:r>
      <w:r w:rsidR="00A06984" w:rsidRPr="00FC7F30">
        <w:t>.</w:t>
      </w:r>
      <w:r w:rsidR="00A06984">
        <w:t xml:space="preserve"> </w:t>
      </w:r>
      <w:r w:rsidR="003C73B1">
        <w:t xml:space="preserve">Зокрема, </w:t>
      </w:r>
      <w:r w:rsidR="00A06984">
        <w:t>незрозуміло, яким чином можуть виникати чи змінюватися правовідносини до набрання чинності законодавчого акту, яки</w:t>
      </w:r>
      <w:r w:rsidR="003C73B1">
        <w:t>м передбачено їх унормування.</w:t>
      </w:r>
    </w:p>
    <w:p w:rsidR="009B234A" w:rsidRDefault="00AF764B" w:rsidP="00B547C3">
      <w:pPr>
        <w:ind w:firstLine="709"/>
        <w:jc w:val="both"/>
        <w:rPr>
          <w:color w:val="000000"/>
          <w:shd w:val="clear" w:color="auto" w:fill="FFFFFF"/>
        </w:rPr>
      </w:pPr>
      <w:r>
        <w:rPr>
          <w:rStyle w:val="rvts0"/>
        </w:rPr>
        <w:t xml:space="preserve">7.3. </w:t>
      </w:r>
      <w:r w:rsidR="009B234A" w:rsidRPr="005C6482">
        <w:t xml:space="preserve">У п. 4 розділу ІІ «Прикінцеві положення» проекту </w:t>
      </w:r>
      <w:r w:rsidR="009B234A" w:rsidRPr="00FC7F30">
        <w:t>органам державної влади, іншим суб'єктам владних повноважень</w:t>
      </w:r>
      <w:r w:rsidR="009B234A">
        <w:t xml:space="preserve"> дається доручення в</w:t>
      </w:r>
      <w:r w:rsidR="009B234A" w:rsidRPr="00FC7F30">
        <w:t xml:space="preserve">ідповідно до вимог </w:t>
      </w:r>
      <w:r w:rsidR="00B547C3">
        <w:t xml:space="preserve">ст.ст. </w:t>
      </w:r>
      <w:r w:rsidR="009B234A" w:rsidRPr="00FC7F30">
        <w:t>8, 19, 124 Конституції України привести свої рішення, включаючи судові рішення, прийняті чи змінені на підставі законодавчих актів України, змінених цим Законом, у відповідність з положеннями законодавчих актів у редакції цього Закону.</w:t>
      </w:r>
      <w:r w:rsidR="009B234A">
        <w:t xml:space="preserve"> Вважаємо, що вказаний припис має ознаки втручання органу законодавчої влади у здійснення повноважень, зокрема, органами судової влади, що не узгоджується зі ст. 6 Конституції України, згідно з якою  «</w:t>
      </w:r>
      <w:r w:rsidR="009B234A">
        <w:rPr>
          <w:color w:val="000000"/>
          <w:shd w:val="clear" w:color="auto" w:fill="FFFFFF"/>
        </w:rPr>
        <w:t>д</w:t>
      </w:r>
      <w:r w:rsidR="009B234A" w:rsidRPr="005A04AF">
        <w:rPr>
          <w:color w:val="000000"/>
          <w:shd w:val="clear" w:color="auto" w:fill="FFFFFF"/>
        </w:rPr>
        <w:t>ержавна влада в Україні здійснюється на засадах її поділу на законодавчу, виконавчу та судову</w:t>
      </w:r>
      <w:r w:rsidR="009B234A">
        <w:rPr>
          <w:color w:val="000000"/>
          <w:shd w:val="clear" w:color="auto" w:fill="FFFFFF"/>
        </w:rPr>
        <w:t>»</w:t>
      </w:r>
      <w:r w:rsidR="009B234A" w:rsidRPr="005A04AF">
        <w:rPr>
          <w:color w:val="000000"/>
          <w:shd w:val="clear" w:color="auto" w:fill="FFFFFF"/>
        </w:rPr>
        <w:t>.</w:t>
      </w:r>
      <w:r w:rsidR="009B234A">
        <w:rPr>
          <w:color w:val="000000"/>
          <w:shd w:val="clear" w:color="auto" w:fill="FFFFFF"/>
        </w:rPr>
        <w:t xml:space="preserve"> </w:t>
      </w:r>
    </w:p>
    <w:p w:rsidR="00B33B7E" w:rsidRDefault="00B33B7E" w:rsidP="00B33B7E">
      <w:pPr>
        <w:pStyle w:val="ab"/>
        <w:spacing w:before="0"/>
        <w:ind w:firstLine="6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Зазначимо також, що судові рішення приймаються на підставі чинного на момент їх винесення законодавства і внесення до судових рішень, які набрали законну силу, змін на підставі «нового» законодавства не передбачено. Звертаємо увагу, що наприклад, згідно зі ст. 432 Цивільного процесуального кодексу України </w:t>
      </w:r>
      <w:r w:rsidRPr="0072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2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ішення, постанова або ухвала суду, якими закінчено розгляд справи, що набрали законної сили, можуть бути переглянуті за нововиявленими або виключними обставинами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до яких зміна відповідного законодавства не відноситься.</w:t>
      </w:r>
    </w:p>
    <w:p w:rsidR="00AF764B" w:rsidRDefault="00F833A3" w:rsidP="00AF764B">
      <w:pPr>
        <w:ind w:firstLine="709"/>
        <w:jc w:val="both"/>
        <w:rPr>
          <w:rStyle w:val="rvts0"/>
        </w:rPr>
      </w:pPr>
      <w:r>
        <w:rPr>
          <w:color w:val="000000"/>
          <w:shd w:val="clear" w:color="auto" w:fill="FFFFFF"/>
        </w:rPr>
        <w:t xml:space="preserve">7.4. </w:t>
      </w:r>
      <w:r w:rsidR="00AF764B">
        <w:rPr>
          <w:rStyle w:val="rvts0"/>
        </w:rPr>
        <w:t>Виглядає некоректним, з точки зору вимог законодавчої техніки, посилання у п.п. 3, 4 розділу ІІ проекту на статті Конституції України.</w:t>
      </w:r>
    </w:p>
    <w:p w:rsidR="009B234A" w:rsidRPr="001F3F77" w:rsidRDefault="00AF764B" w:rsidP="00AF764B">
      <w:pPr>
        <w:ind w:firstLine="709"/>
        <w:jc w:val="both"/>
        <w:rPr>
          <w:color w:val="000000"/>
          <w:shd w:val="clear" w:color="auto" w:fill="FFFFFF"/>
        </w:rPr>
      </w:pPr>
      <w:r>
        <w:rPr>
          <w:rStyle w:val="rvts0"/>
        </w:rPr>
        <w:lastRenderedPageBreak/>
        <w:t xml:space="preserve">7.5. </w:t>
      </w:r>
      <w:r w:rsidR="00F833A3">
        <w:rPr>
          <w:color w:val="000000"/>
          <w:shd w:val="clear" w:color="auto" w:fill="FFFFFF"/>
        </w:rPr>
        <w:t>З</w:t>
      </w:r>
      <w:r w:rsidR="009B234A" w:rsidRPr="001F3F77">
        <w:rPr>
          <w:color w:val="000000"/>
          <w:shd w:val="clear" w:color="auto" w:fill="FFFFFF"/>
        </w:rPr>
        <w:t xml:space="preserve">гідно з правилами законодавчої техніки у </w:t>
      </w:r>
      <w:r w:rsidR="009B234A" w:rsidRPr="001F3F77">
        <w:t>прикінцевих положеннях законопроекту</w:t>
      </w:r>
      <w:r w:rsidR="00B547C3">
        <w:t>, як правило,</w:t>
      </w:r>
      <w:r w:rsidR="009B234A" w:rsidRPr="001F3F77">
        <w:t xml:space="preserve"> передбач</w:t>
      </w:r>
      <w:r w:rsidR="00B547C3">
        <w:t xml:space="preserve">ається </w:t>
      </w:r>
      <w:r w:rsidR="009B234A">
        <w:t>в</w:t>
      </w:r>
      <w:r w:rsidR="009B234A" w:rsidRPr="001F3F77">
        <w:t>становлення терміну, протягом якого Кабінет Міністрів України має забезпечити прийняття нових та приведення у відповідність із законом чинних підзаконних актів органів виконавчої влади.</w:t>
      </w:r>
    </w:p>
    <w:p w:rsidR="009B234A" w:rsidRPr="005A04AF" w:rsidRDefault="009B234A" w:rsidP="009B234A"/>
    <w:p w:rsidR="00AA594C" w:rsidRDefault="00AA594C" w:rsidP="001520B2">
      <w:pPr>
        <w:ind w:firstLine="708"/>
        <w:jc w:val="both"/>
      </w:pPr>
    </w:p>
    <w:p w:rsidR="001520B2" w:rsidRPr="00460E78" w:rsidRDefault="001520B2" w:rsidP="001520B2">
      <w:pPr>
        <w:ind w:firstLine="708"/>
        <w:jc w:val="both"/>
      </w:pPr>
      <w:r w:rsidRPr="00460E78">
        <w:t xml:space="preserve">Керівник Головного управління                            </w:t>
      </w:r>
      <w:r w:rsidR="00AC338D">
        <w:tab/>
      </w:r>
      <w:r w:rsidRPr="00460E78">
        <w:t xml:space="preserve">         </w:t>
      </w:r>
      <w:r>
        <w:t>С</w:t>
      </w:r>
      <w:r w:rsidRPr="00460E78">
        <w:t xml:space="preserve">. </w:t>
      </w:r>
      <w:r>
        <w:t>Тихонюк</w:t>
      </w:r>
    </w:p>
    <w:p w:rsidR="001520B2" w:rsidRPr="00AC338D" w:rsidRDefault="001520B2" w:rsidP="001520B2">
      <w:pPr>
        <w:ind w:firstLine="708"/>
        <w:jc w:val="both"/>
      </w:pPr>
    </w:p>
    <w:p w:rsidR="001520B2" w:rsidRPr="00AC338D" w:rsidRDefault="001520B2" w:rsidP="001520B2">
      <w:pPr>
        <w:ind w:firstLine="708"/>
        <w:jc w:val="both"/>
      </w:pPr>
    </w:p>
    <w:p w:rsidR="001520B2" w:rsidRDefault="00860891" w:rsidP="00982562">
      <w:pPr>
        <w:ind w:firstLine="708"/>
        <w:jc w:val="both"/>
      </w:pPr>
      <w:r>
        <w:rPr>
          <w:sz w:val="20"/>
          <w:szCs w:val="20"/>
        </w:rPr>
        <w:t>Вик.: О.</w:t>
      </w:r>
      <w:r w:rsidR="00982562">
        <w:rPr>
          <w:sz w:val="20"/>
          <w:szCs w:val="20"/>
        </w:rPr>
        <w:t xml:space="preserve"> </w:t>
      </w:r>
      <w:r>
        <w:rPr>
          <w:sz w:val="20"/>
          <w:szCs w:val="20"/>
        </w:rPr>
        <w:t>Олещенко</w:t>
      </w:r>
      <w:r w:rsidR="00982562">
        <w:rPr>
          <w:sz w:val="20"/>
          <w:szCs w:val="20"/>
        </w:rPr>
        <w:t xml:space="preserve">, І. Крегул, </w:t>
      </w:r>
      <w:r w:rsidR="00F44799">
        <w:rPr>
          <w:sz w:val="20"/>
          <w:szCs w:val="20"/>
        </w:rPr>
        <w:t xml:space="preserve">Є. Гришко, </w:t>
      </w:r>
      <w:r w:rsidR="00982562">
        <w:rPr>
          <w:sz w:val="20"/>
          <w:szCs w:val="20"/>
        </w:rPr>
        <w:t>Е. Вальковський</w:t>
      </w:r>
    </w:p>
    <w:sectPr w:rsidR="001520B2" w:rsidSect="00EC3106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67" w:rsidRDefault="006B7B67">
      <w:r>
        <w:separator/>
      </w:r>
    </w:p>
  </w:endnote>
  <w:endnote w:type="continuationSeparator" w:id="0">
    <w:p w:rsidR="006B7B67" w:rsidRDefault="006B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67" w:rsidRDefault="006B7B67">
      <w:r>
        <w:separator/>
      </w:r>
    </w:p>
  </w:footnote>
  <w:footnote w:type="continuationSeparator" w:id="0">
    <w:p w:rsidR="006B7B67" w:rsidRDefault="006B7B67">
      <w:r>
        <w:continuationSeparator/>
      </w:r>
    </w:p>
  </w:footnote>
  <w:footnote w:id="1">
    <w:p w:rsidR="00407A8B" w:rsidRPr="008D177A" w:rsidRDefault="00CC6052" w:rsidP="00B32041">
      <w:pPr>
        <w:pStyle w:val="a5"/>
        <w:jc w:val="both"/>
        <w:rPr>
          <w:color w:val="000000" w:themeColor="text1"/>
          <w:lang w:val="uk-UA"/>
        </w:rPr>
      </w:pPr>
      <w:r>
        <w:rPr>
          <w:rStyle w:val="a7"/>
        </w:rPr>
        <w:footnoteRef/>
      </w:r>
      <w:r>
        <w:t xml:space="preserve"> </w:t>
      </w:r>
      <w:r w:rsidRPr="00157A2D">
        <w:rPr>
          <w:lang w:val="uk-UA"/>
        </w:rPr>
        <w:t xml:space="preserve">Правила оформлення проектів законів та основні вимоги законодавчої техніки (Методичні рекомендації) Видання  четверте , виправлене і доповнене. Київ. 2014. URL: </w:t>
      </w:r>
      <w:hyperlink r:id="rId1" w:history="1">
        <w:r w:rsidR="00FF6302" w:rsidRPr="008D177A">
          <w:rPr>
            <w:rStyle w:val="a8"/>
            <w:color w:val="000000" w:themeColor="text1"/>
            <w:u w:val="none"/>
            <w:lang w:val="uk-UA"/>
          </w:rPr>
          <w:t>http://static.rada.gov.ua/site/bills/info/z</w:t>
        </w:r>
        <w:r w:rsidR="00FF6302" w:rsidRPr="008D177A">
          <w:rPr>
            <w:rStyle w:val="a8"/>
            <w:color w:val="000000" w:themeColor="text1"/>
            <w:u w:val="none"/>
            <w:lang w:val="uk-UA"/>
          </w:rPr>
          <w:br/>
          <w:t>ak_rules.pdf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06" w:rsidRDefault="00580AE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EC3106" w:rsidRDefault="00EC310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06" w:rsidRDefault="00EC3106" w:rsidP="00EC3106">
    <w:pPr>
      <w:jc w:val="right"/>
      <w:rPr>
        <w:sz w:val="20"/>
        <w:szCs w:val="20"/>
      </w:rPr>
    </w:pPr>
    <w:r w:rsidRPr="00AF4221">
      <w:rPr>
        <w:sz w:val="20"/>
        <w:szCs w:val="20"/>
      </w:rPr>
      <w:t xml:space="preserve">До </w:t>
    </w:r>
    <w:r>
      <w:rPr>
        <w:sz w:val="20"/>
        <w:szCs w:val="20"/>
      </w:rPr>
      <w:t xml:space="preserve">реєстр. </w:t>
    </w:r>
    <w:r w:rsidRPr="00AF4221">
      <w:rPr>
        <w:sz w:val="20"/>
        <w:szCs w:val="20"/>
      </w:rPr>
      <w:t>№</w:t>
    </w:r>
    <w:r>
      <w:rPr>
        <w:sz w:val="20"/>
        <w:szCs w:val="20"/>
      </w:rPr>
      <w:t xml:space="preserve"> </w:t>
    </w:r>
    <w:r>
      <w:rPr>
        <w:sz w:val="20"/>
        <w:szCs w:val="20"/>
        <w:lang w:val="ru-RU"/>
      </w:rPr>
      <w:t>2501</w:t>
    </w:r>
    <w:r w:rsidRPr="00AF4221">
      <w:rPr>
        <w:sz w:val="20"/>
        <w:szCs w:val="20"/>
      </w:rPr>
      <w:t xml:space="preserve"> від </w:t>
    </w:r>
    <w:r>
      <w:rPr>
        <w:sz w:val="20"/>
        <w:szCs w:val="20"/>
        <w:lang w:val="ru-RU"/>
      </w:rPr>
      <w:t>21</w:t>
    </w:r>
    <w:r>
      <w:rPr>
        <w:sz w:val="20"/>
        <w:szCs w:val="20"/>
      </w:rPr>
      <w:t>.</w:t>
    </w:r>
    <w:r>
      <w:rPr>
        <w:sz w:val="20"/>
        <w:szCs w:val="20"/>
        <w:lang w:val="ru-RU"/>
      </w:rPr>
      <w:t>02</w:t>
    </w:r>
    <w:r>
      <w:rPr>
        <w:sz w:val="20"/>
        <w:szCs w:val="20"/>
      </w:rPr>
      <w:t>.2020</w:t>
    </w:r>
  </w:p>
  <w:p w:rsidR="00EC3106" w:rsidRPr="006A1C20" w:rsidRDefault="00EC3106" w:rsidP="00EC3106">
    <w:pPr>
      <w:jc w:val="right"/>
      <w:rPr>
        <w:sz w:val="20"/>
        <w:szCs w:val="20"/>
        <w:lang w:val="ru-RU"/>
      </w:rPr>
    </w:pPr>
    <w:r>
      <w:rPr>
        <w:sz w:val="20"/>
        <w:szCs w:val="20"/>
        <w:lang w:val="ru-RU"/>
      </w:rPr>
      <w:t>доопрацьований</w:t>
    </w:r>
  </w:p>
  <w:p w:rsidR="00EC3106" w:rsidRDefault="00EC3106" w:rsidP="00EC3106">
    <w:pPr>
      <w:jc w:val="right"/>
      <w:rPr>
        <w:sz w:val="20"/>
        <w:szCs w:val="20"/>
      </w:rPr>
    </w:pPr>
    <w:r>
      <w:rPr>
        <w:sz w:val="20"/>
        <w:szCs w:val="20"/>
      </w:rPr>
      <w:t>Народний депутат</w:t>
    </w:r>
    <w:r w:rsidRPr="00AF4221">
      <w:rPr>
        <w:sz w:val="20"/>
        <w:szCs w:val="20"/>
      </w:rPr>
      <w:t xml:space="preserve"> України</w:t>
    </w:r>
    <w:r>
      <w:rPr>
        <w:sz w:val="20"/>
        <w:szCs w:val="20"/>
      </w:rPr>
      <w:t xml:space="preserve"> </w:t>
    </w:r>
  </w:p>
  <w:p w:rsidR="00EC3106" w:rsidRDefault="00EC3106" w:rsidP="00EC3106">
    <w:pPr>
      <w:jc w:val="right"/>
    </w:pPr>
    <w:r>
      <w:rPr>
        <w:sz w:val="20"/>
        <w:szCs w:val="20"/>
      </w:rPr>
      <w:t>О. Ковальов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0DA5"/>
    <w:multiLevelType w:val="hybridMultilevel"/>
    <w:tmpl w:val="FBE04BAA"/>
    <w:lvl w:ilvl="0" w:tplc="203C1B84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" w15:restartNumberingAfterBreak="0">
    <w:nsid w:val="32BD455D"/>
    <w:multiLevelType w:val="hybridMultilevel"/>
    <w:tmpl w:val="4DAAE774"/>
    <w:lvl w:ilvl="0" w:tplc="145682F4">
      <w:start w:val="1"/>
      <w:numFmt w:val="decimal"/>
      <w:lvlText w:val="%1."/>
      <w:lvlJc w:val="left"/>
      <w:pPr>
        <w:ind w:left="111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 w15:restartNumberingAfterBreak="0">
    <w:nsid w:val="53CA3904"/>
    <w:multiLevelType w:val="hybridMultilevel"/>
    <w:tmpl w:val="3830D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B2"/>
    <w:rsid w:val="00035173"/>
    <w:rsid w:val="00057CF1"/>
    <w:rsid w:val="00061D2D"/>
    <w:rsid w:val="000A10D7"/>
    <w:rsid w:val="000A4064"/>
    <w:rsid w:val="000C63A0"/>
    <w:rsid w:val="001252C9"/>
    <w:rsid w:val="001320AE"/>
    <w:rsid w:val="00134888"/>
    <w:rsid w:val="001520B2"/>
    <w:rsid w:val="001527EB"/>
    <w:rsid w:val="00177DAB"/>
    <w:rsid w:val="00220E57"/>
    <w:rsid w:val="00243309"/>
    <w:rsid w:val="00246D8A"/>
    <w:rsid w:val="00246EE3"/>
    <w:rsid w:val="00286352"/>
    <w:rsid w:val="0029114F"/>
    <w:rsid w:val="0029624B"/>
    <w:rsid w:val="002F0C7E"/>
    <w:rsid w:val="002F5CDC"/>
    <w:rsid w:val="002F779E"/>
    <w:rsid w:val="00310D63"/>
    <w:rsid w:val="00315365"/>
    <w:rsid w:val="0033657F"/>
    <w:rsid w:val="0034200A"/>
    <w:rsid w:val="003C73B1"/>
    <w:rsid w:val="003F0F1B"/>
    <w:rsid w:val="00407A8B"/>
    <w:rsid w:val="004840A9"/>
    <w:rsid w:val="00484C8B"/>
    <w:rsid w:val="004B4B64"/>
    <w:rsid w:val="004B505F"/>
    <w:rsid w:val="004C5304"/>
    <w:rsid w:val="004F7561"/>
    <w:rsid w:val="00516852"/>
    <w:rsid w:val="0054744D"/>
    <w:rsid w:val="00571B7B"/>
    <w:rsid w:val="0057466E"/>
    <w:rsid w:val="00580AE5"/>
    <w:rsid w:val="00587BF5"/>
    <w:rsid w:val="005918AA"/>
    <w:rsid w:val="00592EB4"/>
    <w:rsid w:val="005D753B"/>
    <w:rsid w:val="005E3BC3"/>
    <w:rsid w:val="005E3DB5"/>
    <w:rsid w:val="005F30B1"/>
    <w:rsid w:val="00665B14"/>
    <w:rsid w:val="00690386"/>
    <w:rsid w:val="006A1CDC"/>
    <w:rsid w:val="006B7B67"/>
    <w:rsid w:val="006C0403"/>
    <w:rsid w:val="006F6214"/>
    <w:rsid w:val="00790281"/>
    <w:rsid w:val="00824F2F"/>
    <w:rsid w:val="00860891"/>
    <w:rsid w:val="008779DA"/>
    <w:rsid w:val="00881C34"/>
    <w:rsid w:val="008D177A"/>
    <w:rsid w:val="008D5F21"/>
    <w:rsid w:val="00925279"/>
    <w:rsid w:val="009660D5"/>
    <w:rsid w:val="00982562"/>
    <w:rsid w:val="00982932"/>
    <w:rsid w:val="00984546"/>
    <w:rsid w:val="009B234A"/>
    <w:rsid w:val="00A00C5F"/>
    <w:rsid w:val="00A06984"/>
    <w:rsid w:val="00A805BD"/>
    <w:rsid w:val="00A80791"/>
    <w:rsid w:val="00AA594C"/>
    <w:rsid w:val="00AB6F4B"/>
    <w:rsid w:val="00AC338D"/>
    <w:rsid w:val="00AC3D38"/>
    <w:rsid w:val="00AD070C"/>
    <w:rsid w:val="00AF764B"/>
    <w:rsid w:val="00B32041"/>
    <w:rsid w:val="00B33B7E"/>
    <w:rsid w:val="00B547C3"/>
    <w:rsid w:val="00B613FC"/>
    <w:rsid w:val="00B710C0"/>
    <w:rsid w:val="00B921BC"/>
    <w:rsid w:val="00C73041"/>
    <w:rsid w:val="00CC6052"/>
    <w:rsid w:val="00D05791"/>
    <w:rsid w:val="00D3135F"/>
    <w:rsid w:val="00D76463"/>
    <w:rsid w:val="00DC5021"/>
    <w:rsid w:val="00DC6579"/>
    <w:rsid w:val="00DD660A"/>
    <w:rsid w:val="00DE0BAC"/>
    <w:rsid w:val="00DE47DE"/>
    <w:rsid w:val="00E03215"/>
    <w:rsid w:val="00E13803"/>
    <w:rsid w:val="00E6000C"/>
    <w:rsid w:val="00E76893"/>
    <w:rsid w:val="00EB530E"/>
    <w:rsid w:val="00EC3106"/>
    <w:rsid w:val="00EE4374"/>
    <w:rsid w:val="00F022A2"/>
    <w:rsid w:val="00F0533C"/>
    <w:rsid w:val="00F245BC"/>
    <w:rsid w:val="00F44799"/>
    <w:rsid w:val="00F64489"/>
    <w:rsid w:val="00F833A3"/>
    <w:rsid w:val="00FA6C56"/>
    <w:rsid w:val="00FB529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1B15E"/>
  <w15:docId w15:val="{96EE781D-5A9B-4214-B9F2-19BA23CD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B2"/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link w:val="a4"/>
    <w:rsid w:val="001520B2"/>
    <w:pPr>
      <w:keepNext/>
      <w:keepLines/>
      <w:spacing w:before="360" w:after="360"/>
      <w:jc w:val="center"/>
    </w:pPr>
    <w:rPr>
      <w:rFonts w:ascii="Antiqua" w:hAnsi="Antiqua" w:cs="Antiqua"/>
      <w:b/>
      <w:bCs/>
      <w:sz w:val="26"/>
      <w:szCs w:val="26"/>
    </w:rPr>
  </w:style>
  <w:style w:type="character" w:customStyle="1" w:styleId="a4">
    <w:name w:val="Назва документа Знак"/>
    <w:basedOn w:val="a0"/>
    <w:link w:val="a3"/>
    <w:locked/>
    <w:rsid w:val="001520B2"/>
    <w:rPr>
      <w:rFonts w:ascii="Antiqua" w:eastAsia="Calibri" w:hAnsi="Antiqua" w:cs="Antiqua"/>
      <w:b/>
      <w:bCs/>
      <w:sz w:val="26"/>
      <w:szCs w:val="26"/>
      <w:lang w:val="uk-UA" w:eastAsia="ru-RU" w:bidi="ar-SA"/>
    </w:rPr>
  </w:style>
  <w:style w:type="character" w:customStyle="1" w:styleId="rvts23">
    <w:name w:val="rvts23"/>
    <w:basedOn w:val="a0"/>
    <w:rsid w:val="001520B2"/>
    <w:rPr>
      <w:rFonts w:cs="Times New Roman"/>
    </w:rPr>
  </w:style>
  <w:style w:type="paragraph" w:customStyle="1" w:styleId="1">
    <w:name w:val="Без интервала1"/>
    <w:rsid w:val="001520B2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rvts9">
    <w:name w:val="rvts9"/>
    <w:rsid w:val="001520B2"/>
  </w:style>
  <w:style w:type="paragraph" w:styleId="a5">
    <w:name w:val="footnote text"/>
    <w:basedOn w:val="a"/>
    <w:link w:val="a6"/>
    <w:semiHidden/>
    <w:rsid w:val="001520B2"/>
    <w:pPr>
      <w:widowControl w:val="0"/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6">
    <w:name w:val="Текст виноски Знак"/>
    <w:basedOn w:val="a0"/>
    <w:link w:val="a5"/>
    <w:semiHidden/>
    <w:locked/>
    <w:rsid w:val="001520B2"/>
    <w:rPr>
      <w:rFonts w:eastAsia="Calibri"/>
      <w:lang w:val="ru-RU" w:eastAsia="ru-RU" w:bidi="ar-SA"/>
    </w:rPr>
  </w:style>
  <w:style w:type="character" w:styleId="a7">
    <w:name w:val="footnote reference"/>
    <w:basedOn w:val="a0"/>
    <w:semiHidden/>
    <w:rsid w:val="001520B2"/>
    <w:rPr>
      <w:rFonts w:cs="Times New Roman"/>
      <w:vertAlign w:val="superscript"/>
    </w:rPr>
  </w:style>
  <w:style w:type="character" w:customStyle="1" w:styleId="rvts0">
    <w:name w:val="rvts0"/>
    <w:basedOn w:val="a0"/>
    <w:rsid w:val="001520B2"/>
    <w:rPr>
      <w:rFonts w:cs="Times New Roman"/>
    </w:rPr>
  </w:style>
  <w:style w:type="character" w:styleId="a8">
    <w:name w:val="Hyperlink"/>
    <w:basedOn w:val="a0"/>
    <w:semiHidden/>
    <w:rsid w:val="001520B2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8D5F2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9">
    <w:name w:val="Body Text"/>
    <w:basedOn w:val="a"/>
    <w:link w:val="aa"/>
    <w:semiHidden/>
    <w:rsid w:val="00AD070C"/>
    <w:pPr>
      <w:autoSpaceDE w:val="0"/>
      <w:autoSpaceDN w:val="0"/>
      <w:spacing w:after="120"/>
    </w:pPr>
    <w:rPr>
      <w:rFonts w:eastAsia="Times New Roman"/>
      <w:lang w:eastAsia="uk-UA"/>
    </w:rPr>
  </w:style>
  <w:style w:type="character" w:customStyle="1" w:styleId="aa">
    <w:name w:val="Основний текст Знак"/>
    <w:basedOn w:val="a0"/>
    <w:link w:val="a9"/>
    <w:semiHidden/>
    <w:locked/>
    <w:rsid w:val="00AD070C"/>
    <w:rPr>
      <w:sz w:val="28"/>
      <w:szCs w:val="28"/>
      <w:lang w:val="uk-UA" w:eastAsia="uk-UA" w:bidi="ar-SA"/>
    </w:rPr>
  </w:style>
  <w:style w:type="paragraph" w:customStyle="1" w:styleId="ab">
    <w:name w:val="Нормальний текст"/>
    <w:basedOn w:val="a"/>
    <w:link w:val="ac"/>
    <w:uiPriority w:val="99"/>
    <w:rsid w:val="00AB6F4B"/>
    <w:pPr>
      <w:spacing w:before="120"/>
      <w:ind w:firstLine="567"/>
      <w:jc w:val="both"/>
    </w:pPr>
    <w:rPr>
      <w:rFonts w:ascii="Antiqua" w:eastAsia="Times New Roman" w:hAnsi="Antiqua" w:cs="Antiqua"/>
      <w:sz w:val="26"/>
      <w:szCs w:val="26"/>
    </w:rPr>
  </w:style>
  <w:style w:type="character" w:customStyle="1" w:styleId="ac">
    <w:name w:val="Нормальний текст Знак"/>
    <w:basedOn w:val="a0"/>
    <w:link w:val="ab"/>
    <w:uiPriority w:val="99"/>
    <w:locked/>
    <w:rsid w:val="00AB6F4B"/>
    <w:rPr>
      <w:rFonts w:ascii="Antiqua" w:hAnsi="Antiqua" w:cs="Antiqua"/>
      <w:sz w:val="26"/>
      <w:szCs w:val="26"/>
      <w:lang w:val="uk-UA" w:eastAsia="ru-RU" w:bidi="ar-SA"/>
    </w:rPr>
  </w:style>
  <w:style w:type="paragraph" w:styleId="HTML">
    <w:name w:val="HTML Preformatted"/>
    <w:basedOn w:val="a"/>
    <w:rsid w:val="005E3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st44">
    <w:name w:val="st44"/>
    <w:rsid w:val="00134888"/>
    <w:rPr>
      <w:rFonts w:ascii="Times New Roman" w:hAnsi="Times New Roman"/>
      <w:b/>
      <w:bCs/>
      <w:color w:val="000000"/>
    </w:rPr>
  </w:style>
  <w:style w:type="character" w:customStyle="1" w:styleId="rvts44">
    <w:name w:val="rvts44"/>
    <w:basedOn w:val="a0"/>
    <w:rsid w:val="00134888"/>
  </w:style>
  <w:style w:type="paragraph" w:styleId="ad">
    <w:name w:val="header"/>
    <w:basedOn w:val="a"/>
    <w:link w:val="ae"/>
    <w:uiPriority w:val="99"/>
    <w:rsid w:val="00EC3106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EC3106"/>
    <w:rPr>
      <w:rFonts w:eastAsia="Calibri"/>
      <w:sz w:val="28"/>
      <w:szCs w:val="28"/>
      <w:lang w:eastAsia="ru-RU"/>
    </w:rPr>
  </w:style>
  <w:style w:type="paragraph" w:styleId="af">
    <w:name w:val="footer"/>
    <w:basedOn w:val="a"/>
    <w:link w:val="af0"/>
    <w:rsid w:val="00EC3106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rsid w:val="00EC3106"/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ved.ukrstat.gov.ua/KVED2010/49/KVED10_49_41.html%22%20%5Co%20%22%D0%9F%D0%B5%D1%80%D0%B5%D0%B9%D1%82%D0%B8%20%D0%B4%D0%BE%20%D1%80%D0%BE%D0%B7%D0%B3%D0%BB%D1%8F%D0%B4%D1%83%20%D0%BF%D0%BE%D1%8F%D1%81%D0%BD%D0%B5%D0%BD%D1%8C%20%D0%B4%D0%BE%20%D1%86%D1%8C%D0%BE%D0%B3%D0%BE%20%D0%BA%D0%BE%D0%B4%D1%83%20%D1%83%20%D0%9A%D0%92%D0%95%D0%94-2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tic.rada.gov.ua/site/bills/info/zak_rule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1780</Words>
  <Characters>12397</Characters>
  <Application>Microsoft Office Word</Application>
  <DocSecurity>0</DocSecurity>
  <Lines>103</Lines>
  <Paragraphs>28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До реєстр</vt:lpstr>
      <vt:lpstr>До реєстр</vt:lpstr>
      <vt:lpstr>До реєстр</vt:lpstr>
    </vt:vector>
  </TitlesOfParts>
  <Company>Home</Company>
  <LinksUpToDate>false</LinksUpToDate>
  <CharactersWithSpaces>14149</CharactersWithSpaces>
  <SharedDoc>false</SharedDoc>
  <HLinks>
    <vt:vector size="6" baseType="variant"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http://kved.ukrstat.gov.ua/KVED2010/49/KVED10_49_41.html%22 %5Co %22%D0%9F%D0%B5%D1%80%D0%B5%D0%B9%D1%82%D0%B8 %D0%B4%D0%BE %D1%80%D0%BE%D0%B7%D0%B3%D0%BB%D1%8F%D0%B4%D1%83 %D0%BF%D0%BE%D1%8F%D1%81%D0%BD%D0%B5%D0%BD%D1%8C %D0%B4%D0%BE %D1%86%D1%8C%D0%BE%D0%B3%D0%BE %D0%BA%D0%BE%D0%B4%D1%83 %D1%83 %D0%9A%D0%92%D0%95%D0%94-2010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реєстр</dc:title>
  <dc:creator>user</dc:creator>
  <cp:lastModifiedBy>Лопотуха Інна Григорівна</cp:lastModifiedBy>
  <cp:revision>7</cp:revision>
  <dcterms:created xsi:type="dcterms:W3CDTF">2020-05-15T06:28:00Z</dcterms:created>
  <dcterms:modified xsi:type="dcterms:W3CDTF">2020-05-15T06:31:00Z</dcterms:modified>
</cp:coreProperties>
</file>