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60" w:rsidRDefault="003F7760" w:rsidP="003F7760">
      <w:pPr>
        <w:spacing w:line="235" w:lineRule="auto"/>
        <w:jc w:val="center"/>
        <w:rPr>
          <w:b/>
          <w:bCs/>
          <w:sz w:val="28"/>
          <w:szCs w:val="28"/>
          <w:lang w:val="uk-UA"/>
        </w:rPr>
      </w:pPr>
      <w:r w:rsidRPr="002570F6">
        <w:rPr>
          <w:b/>
          <w:bCs/>
          <w:sz w:val="28"/>
          <w:szCs w:val="28"/>
          <w:lang w:val="uk-UA"/>
        </w:rPr>
        <w:t>ПОРІВНЯЛЬНА ТАБЛИЦЯ</w:t>
      </w:r>
    </w:p>
    <w:p w:rsidR="003F7760" w:rsidRDefault="003F7760" w:rsidP="003F7760">
      <w:pPr>
        <w:pStyle w:val="a3"/>
        <w:spacing w:line="235" w:lineRule="auto"/>
        <w:jc w:val="center"/>
        <w:rPr>
          <w:b/>
          <w:bCs/>
          <w:szCs w:val="28"/>
        </w:rPr>
      </w:pPr>
      <w:r w:rsidRPr="00F40C04">
        <w:rPr>
          <w:b/>
          <w:bCs/>
          <w:szCs w:val="28"/>
        </w:rPr>
        <w:t xml:space="preserve">до проекту Закону України </w:t>
      </w:r>
      <w:r w:rsidR="00D60B75">
        <w:rPr>
          <w:b/>
          <w:bCs/>
          <w:szCs w:val="28"/>
        </w:rPr>
        <w:t>«</w:t>
      </w:r>
      <w:r w:rsidRPr="0018592F">
        <w:rPr>
          <w:b/>
          <w:bCs/>
          <w:szCs w:val="28"/>
        </w:rPr>
        <w:t>Про в</w:t>
      </w:r>
      <w:r w:rsidR="00D60B75">
        <w:rPr>
          <w:b/>
          <w:bCs/>
          <w:szCs w:val="28"/>
        </w:rPr>
        <w:t>несення змін до Закону України «</w:t>
      </w:r>
      <w:r w:rsidRPr="0018592F">
        <w:rPr>
          <w:b/>
          <w:bCs/>
          <w:szCs w:val="28"/>
        </w:rPr>
        <w:t>Про Державне бюро розслідувань</w:t>
      </w:r>
      <w:r w:rsidR="00D60B75">
        <w:rPr>
          <w:b/>
          <w:bCs/>
          <w:szCs w:val="28"/>
        </w:rPr>
        <w:t>»</w:t>
      </w:r>
      <w:r w:rsidRPr="0018592F">
        <w:rPr>
          <w:b/>
          <w:bCs/>
          <w:szCs w:val="28"/>
        </w:rPr>
        <w:t xml:space="preserve"> </w:t>
      </w:r>
    </w:p>
    <w:p w:rsidR="003F7760" w:rsidRDefault="003F7760" w:rsidP="003F7760">
      <w:pPr>
        <w:pStyle w:val="a3"/>
        <w:spacing w:line="235" w:lineRule="auto"/>
        <w:jc w:val="center"/>
        <w:rPr>
          <w:b/>
          <w:bCs/>
          <w:szCs w:val="28"/>
        </w:rPr>
      </w:pPr>
      <w:r w:rsidRPr="0018592F">
        <w:rPr>
          <w:b/>
          <w:bCs/>
          <w:szCs w:val="28"/>
        </w:rPr>
        <w:t xml:space="preserve">щодо </w:t>
      </w:r>
      <w:r w:rsidR="006A6CAC">
        <w:rPr>
          <w:b/>
          <w:bCs/>
          <w:szCs w:val="28"/>
        </w:rPr>
        <w:t xml:space="preserve">забезпечення досудового розслідування </w:t>
      </w:r>
      <w:r w:rsidR="001609DA">
        <w:rPr>
          <w:b/>
          <w:bCs/>
          <w:szCs w:val="28"/>
        </w:rPr>
        <w:t xml:space="preserve">у </w:t>
      </w:r>
      <w:r w:rsidR="006A6CAC">
        <w:rPr>
          <w:b/>
          <w:bCs/>
          <w:szCs w:val="28"/>
        </w:rPr>
        <w:t>окремих кримінальних проваджен</w:t>
      </w:r>
      <w:r w:rsidR="001609DA">
        <w:rPr>
          <w:b/>
          <w:bCs/>
          <w:szCs w:val="28"/>
        </w:rPr>
        <w:t>нях</w:t>
      </w:r>
      <w:r w:rsidR="00D60B75">
        <w:rPr>
          <w:b/>
          <w:bCs/>
          <w:szCs w:val="28"/>
        </w:rPr>
        <w:t>»</w:t>
      </w:r>
    </w:p>
    <w:p w:rsidR="003F7760" w:rsidRDefault="003F7760" w:rsidP="003F7760">
      <w:pPr>
        <w:pStyle w:val="a3"/>
        <w:spacing w:line="235" w:lineRule="auto"/>
        <w:jc w:val="center"/>
        <w:rPr>
          <w:b/>
          <w:bCs/>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371"/>
      </w:tblGrid>
      <w:tr w:rsidR="003F7760" w:rsidRPr="002C3AB8" w:rsidTr="00B9774A">
        <w:tc>
          <w:tcPr>
            <w:tcW w:w="7371" w:type="dxa"/>
          </w:tcPr>
          <w:p w:rsidR="003F7760" w:rsidRPr="002C3AB8" w:rsidRDefault="003F7760" w:rsidP="00B9774A">
            <w:pPr>
              <w:spacing w:before="60" w:after="60" w:line="235" w:lineRule="auto"/>
              <w:jc w:val="center"/>
              <w:rPr>
                <w:b/>
                <w:sz w:val="28"/>
                <w:szCs w:val="28"/>
                <w:lang w:val="uk-UA"/>
              </w:rPr>
            </w:pPr>
            <w:r w:rsidRPr="002C3AB8">
              <w:rPr>
                <w:b/>
                <w:sz w:val="28"/>
                <w:szCs w:val="28"/>
                <w:lang w:val="uk-UA"/>
              </w:rPr>
              <w:t>Чинна редакція</w:t>
            </w:r>
          </w:p>
        </w:tc>
        <w:tc>
          <w:tcPr>
            <w:tcW w:w="7371" w:type="dxa"/>
          </w:tcPr>
          <w:p w:rsidR="003F7760" w:rsidRPr="002C3AB8" w:rsidRDefault="003F7760" w:rsidP="00B9774A">
            <w:pPr>
              <w:spacing w:before="60" w:after="60" w:line="235" w:lineRule="auto"/>
              <w:jc w:val="center"/>
              <w:rPr>
                <w:b/>
                <w:sz w:val="28"/>
                <w:szCs w:val="28"/>
                <w:lang w:val="uk-UA"/>
              </w:rPr>
            </w:pPr>
            <w:r w:rsidRPr="002570F6">
              <w:rPr>
                <w:b/>
                <w:sz w:val="28"/>
                <w:szCs w:val="28"/>
                <w:lang w:val="uk-UA"/>
              </w:rPr>
              <w:t>Запропонована редакція</w:t>
            </w:r>
          </w:p>
        </w:tc>
      </w:tr>
    </w:tbl>
    <w:p w:rsidR="003F7760" w:rsidRPr="00F02458" w:rsidRDefault="003F7760" w:rsidP="003F7760">
      <w:pPr>
        <w:spacing w:line="235" w:lineRule="auto"/>
        <w:rPr>
          <w:sz w:val="2"/>
          <w:szCs w:val="2"/>
        </w:rPr>
      </w:pPr>
    </w:p>
    <w:tbl>
      <w:tblPr>
        <w:tblW w:w="1474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71"/>
        <w:gridCol w:w="7371"/>
      </w:tblGrid>
      <w:tr w:rsidR="003F7760" w:rsidRPr="00586140" w:rsidTr="00B9774A">
        <w:trPr>
          <w:trHeight w:val="277"/>
        </w:trPr>
        <w:tc>
          <w:tcPr>
            <w:tcW w:w="14742" w:type="dxa"/>
            <w:gridSpan w:val="2"/>
            <w:tcBorders>
              <w:top w:val="single" w:sz="4" w:space="0" w:color="auto"/>
              <w:bottom w:val="single" w:sz="4" w:space="0" w:color="auto"/>
            </w:tcBorders>
          </w:tcPr>
          <w:p w:rsidR="003F7760" w:rsidRPr="00586140" w:rsidRDefault="00D60B75" w:rsidP="00D60B75">
            <w:pPr>
              <w:spacing w:before="120" w:after="120" w:line="235" w:lineRule="auto"/>
              <w:jc w:val="center"/>
              <w:rPr>
                <w:b/>
                <w:bCs/>
                <w:sz w:val="28"/>
                <w:szCs w:val="28"/>
                <w:lang w:val="uk-UA"/>
              </w:rPr>
            </w:pPr>
            <w:r>
              <w:rPr>
                <w:b/>
                <w:sz w:val="28"/>
                <w:szCs w:val="28"/>
                <w:lang w:val="uk-UA"/>
              </w:rPr>
              <w:t>Закон України «</w:t>
            </w:r>
            <w:r w:rsidR="003F7760" w:rsidRPr="0018592F">
              <w:rPr>
                <w:b/>
                <w:sz w:val="28"/>
                <w:szCs w:val="28"/>
                <w:lang w:val="uk-UA"/>
              </w:rPr>
              <w:t>Про Державне бюро розслідувань</w:t>
            </w:r>
            <w:r>
              <w:rPr>
                <w:b/>
                <w:sz w:val="28"/>
                <w:szCs w:val="28"/>
                <w:lang w:val="uk-UA"/>
              </w:rPr>
              <w:t>»</w:t>
            </w:r>
          </w:p>
        </w:tc>
      </w:tr>
      <w:tr w:rsidR="003F7760" w:rsidRPr="00812347" w:rsidTr="00B9774A">
        <w:trPr>
          <w:trHeight w:val="562"/>
        </w:trPr>
        <w:tc>
          <w:tcPr>
            <w:tcW w:w="7371" w:type="dxa"/>
            <w:tcBorders>
              <w:top w:val="single" w:sz="4" w:space="0" w:color="auto"/>
              <w:bottom w:val="single" w:sz="4" w:space="0" w:color="auto"/>
            </w:tcBorders>
          </w:tcPr>
          <w:p w:rsidR="003F7760" w:rsidRDefault="003F7760" w:rsidP="006A6CAC">
            <w:pPr>
              <w:spacing w:after="120" w:line="235" w:lineRule="auto"/>
              <w:jc w:val="center"/>
              <w:rPr>
                <w:rStyle w:val="rvts15"/>
                <w:b/>
                <w:bCs/>
                <w:color w:val="000000"/>
                <w:sz w:val="28"/>
                <w:szCs w:val="28"/>
                <w:shd w:val="clear" w:color="auto" w:fill="FFFFFF"/>
                <w:lang w:val="uk-UA"/>
              </w:rPr>
            </w:pPr>
            <w:proofErr w:type="spellStart"/>
            <w:r>
              <w:rPr>
                <w:rStyle w:val="rvts15"/>
                <w:b/>
                <w:bCs/>
                <w:color w:val="000000"/>
                <w:sz w:val="28"/>
                <w:szCs w:val="28"/>
                <w:shd w:val="clear" w:color="auto" w:fill="FFFFFF"/>
              </w:rPr>
              <w:t>Розділ</w:t>
            </w:r>
            <w:proofErr w:type="spellEnd"/>
            <w:r>
              <w:rPr>
                <w:rStyle w:val="rvts15"/>
                <w:b/>
                <w:bCs/>
                <w:color w:val="000000"/>
                <w:sz w:val="28"/>
                <w:szCs w:val="28"/>
                <w:shd w:val="clear" w:color="auto" w:fill="FFFFFF"/>
              </w:rPr>
              <w:t xml:space="preserve"> VI</w:t>
            </w:r>
            <w:r>
              <w:rPr>
                <w:color w:val="000000"/>
                <w:sz w:val="21"/>
                <w:szCs w:val="21"/>
              </w:rPr>
              <w:br/>
            </w:r>
            <w:r>
              <w:rPr>
                <w:rStyle w:val="rvts15"/>
                <w:b/>
                <w:bCs/>
                <w:color w:val="000000"/>
                <w:sz w:val="28"/>
                <w:szCs w:val="28"/>
                <w:shd w:val="clear" w:color="auto" w:fill="FFFFFF"/>
              </w:rPr>
              <w:t>ПРИКІНЦЕВІ ТА ПЕРЕХІДНІ ПОЛОЖЕННЯ</w:t>
            </w:r>
          </w:p>
          <w:p w:rsidR="003F7760" w:rsidRDefault="003F7760" w:rsidP="006A6CAC">
            <w:pPr>
              <w:spacing w:after="120" w:line="235" w:lineRule="auto"/>
              <w:jc w:val="center"/>
              <w:rPr>
                <w:rStyle w:val="rvts15"/>
                <w:b/>
                <w:bCs/>
                <w:color w:val="000000"/>
                <w:sz w:val="28"/>
                <w:szCs w:val="28"/>
                <w:shd w:val="clear" w:color="auto" w:fill="FFFFFF"/>
                <w:lang w:val="uk-UA"/>
              </w:rPr>
            </w:pPr>
            <w:r>
              <w:rPr>
                <w:rStyle w:val="rvts15"/>
                <w:b/>
                <w:bCs/>
                <w:color w:val="000000"/>
                <w:sz w:val="28"/>
                <w:szCs w:val="28"/>
                <w:shd w:val="clear" w:color="auto" w:fill="FFFFFF"/>
                <w:lang w:val="uk-UA"/>
              </w:rPr>
              <w:t>...</w:t>
            </w:r>
          </w:p>
          <w:p w:rsidR="003F7760" w:rsidRPr="003F7760" w:rsidRDefault="003F7760" w:rsidP="00B4467B">
            <w:pPr>
              <w:pStyle w:val="rvps2"/>
              <w:shd w:val="clear" w:color="auto" w:fill="FFFFFF"/>
              <w:spacing w:before="0" w:beforeAutospacing="0" w:after="133" w:afterAutospacing="0"/>
              <w:ind w:firstLine="400"/>
              <w:jc w:val="center"/>
              <w:rPr>
                <w:b/>
                <w:bCs/>
                <w:sz w:val="28"/>
                <w:szCs w:val="28"/>
              </w:rPr>
            </w:pPr>
            <w:r>
              <w:rPr>
                <w:b/>
                <w:bCs/>
                <w:sz w:val="28"/>
                <w:szCs w:val="28"/>
              </w:rPr>
              <w:t>Відсутній</w:t>
            </w:r>
          </w:p>
        </w:tc>
        <w:tc>
          <w:tcPr>
            <w:tcW w:w="7371" w:type="dxa"/>
            <w:tcBorders>
              <w:top w:val="single" w:sz="4" w:space="0" w:color="auto"/>
              <w:bottom w:val="single" w:sz="4" w:space="0" w:color="auto"/>
            </w:tcBorders>
          </w:tcPr>
          <w:p w:rsidR="003F7760" w:rsidRDefault="003F7760" w:rsidP="006A6CAC">
            <w:pPr>
              <w:spacing w:after="120" w:line="235" w:lineRule="auto"/>
              <w:jc w:val="center"/>
              <w:rPr>
                <w:rStyle w:val="rvts15"/>
                <w:b/>
                <w:bCs/>
                <w:color w:val="000000"/>
                <w:sz w:val="28"/>
                <w:szCs w:val="28"/>
                <w:shd w:val="clear" w:color="auto" w:fill="FFFFFF"/>
                <w:lang w:val="uk-UA"/>
              </w:rPr>
            </w:pPr>
            <w:proofErr w:type="spellStart"/>
            <w:r>
              <w:rPr>
                <w:rStyle w:val="rvts15"/>
                <w:b/>
                <w:bCs/>
                <w:color w:val="000000"/>
                <w:sz w:val="28"/>
                <w:szCs w:val="28"/>
                <w:shd w:val="clear" w:color="auto" w:fill="FFFFFF"/>
              </w:rPr>
              <w:t>Розділ</w:t>
            </w:r>
            <w:proofErr w:type="spellEnd"/>
            <w:r>
              <w:rPr>
                <w:rStyle w:val="rvts15"/>
                <w:b/>
                <w:bCs/>
                <w:color w:val="000000"/>
                <w:sz w:val="28"/>
                <w:szCs w:val="28"/>
                <w:shd w:val="clear" w:color="auto" w:fill="FFFFFF"/>
              </w:rPr>
              <w:t xml:space="preserve"> VI</w:t>
            </w:r>
            <w:r>
              <w:rPr>
                <w:color w:val="000000"/>
                <w:sz w:val="21"/>
                <w:szCs w:val="21"/>
              </w:rPr>
              <w:br/>
            </w:r>
            <w:r>
              <w:rPr>
                <w:rStyle w:val="rvts15"/>
                <w:b/>
                <w:bCs/>
                <w:color w:val="000000"/>
                <w:sz w:val="28"/>
                <w:szCs w:val="28"/>
                <w:shd w:val="clear" w:color="auto" w:fill="FFFFFF"/>
              </w:rPr>
              <w:t>ПРИКІНЦЕВІ ТА ПЕРЕХІДНІ ПОЛОЖЕННЯ</w:t>
            </w:r>
          </w:p>
          <w:p w:rsidR="003F7760" w:rsidRDefault="003F7760" w:rsidP="003F7760">
            <w:pPr>
              <w:spacing w:after="120" w:line="235" w:lineRule="auto"/>
              <w:jc w:val="both"/>
              <w:rPr>
                <w:rStyle w:val="rvts15"/>
                <w:b/>
                <w:bCs/>
                <w:color w:val="000000"/>
                <w:sz w:val="28"/>
                <w:szCs w:val="28"/>
                <w:shd w:val="clear" w:color="auto" w:fill="FFFFFF"/>
                <w:lang w:val="uk-UA"/>
              </w:rPr>
            </w:pPr>
            <w:r>
              <w:rPr>
                <w:rStyle w:val="rvts15"/>
                <w:b/>
                <w:bCs/>
                <w:color w:val="000000"/>
                <w:sz w:val="28"/>
                <w:szCs w:val="28"/>
                <w:shd w:val="clear" w:color="auto" w:fill="FFFFFF"/>
                <w:lang w:val="uk-UA"/>
              </w:rPr>
              <w:t>...</w:t>
            </w:r>
          </w:p>
          <w:p w:rsidR="00083A2A" w:rsidRPr="00083A2A" w:rsidRDefault="00B4467B" w:rsidP="00083A2A">
            <w:pPr>
              <w:spacing w:before="120" w:after="120" w:line="235" w:lineRule="auto"/>
              <w:ind w:firstLine="34"/>
              <w:jc w:val="both"/>
              <w:rPr>
                <w:b/>
                <w:sz w:val="28"/>
                <w:szCs w:val="28"/>
                <w:lang w:val="uk-UA"/>
              </w:rPr>
            </w:pPr>
            <w:r w:rsidRPr="00B4467B">
              <w:rPr>
                <w:b/>
                <w:bCs/>
                <w:sz w:val="28"/>
                <w:szCs w:val="28"/>
                <w:lang w:val="uk-UA"/>
              </w:rPr>
              <w:t>3</w:t>
            </w:r>
            <w:r w:rsidRPr="00B4467B">
              <w:rPr>
                <w:b/>
                <w:bCs/>
                <w:sz w:val="28"/>
                <w:szCs w:val="28"/>
                <w:vertAlign w:val="superscript"/>
                <w:lang w:val="uk-UA"/>
              </w:rPr>
              <w:t>1</w:t>
            </w:r>
            <w:r w:rsidRPr="00B4467B">
              <w:rPr>
                <w:b/>
                <w:bCs/>
                <w:sz w:val="28"/>
                <w:szCs w:val="28"/>
                <w:lang w:val="uk-UA"/>
              </w:rPr>
              <w:t xml:space="preserve">. </w:t>
            </w:r>
            <w:r w:rsidRPr="00B4467B">
              <w:rPr>
                <w:b/>
                <w:sz w:val="28"/>
                <w:szCs w:val="28"/>
                <w:lang w:val="uk-UA"/>
              </w:rPr>
              <w:t xml:space="preserve">Для забезпечення безперервності та ефективності досудових розслідувань слідчі органів прокуратури, прокурори можуть бути переведені за їхньою згодою до Державного бюро розслідувань без обов’язкового проведення конкурсу, якщо вони до спливу строку, передбаченого абзацом другим пункту 1 розділу XI «Перехідні положення» Кримінального процесуального кодексу України, проводили досудове розслідування або здійснювали процесуальне керівництво (не менше чотирьох місяців поспіль входили до складу груп слідчих або прокурорів) у кримінальних провадженнях щодо подій, які мали місце під час мирних акцій протесту у період з 21 листопада 2013 року по 22 лютого 2014 року, що підлягають передачі за підслідністю до Державного бюро розслідувань, але не пізніше 11 січня 2020 року. </w:t>
            </w:r>
          </w:p>
          <w:p w:rsidR="00B4467B" w:rsidRPr="00B4467B" w:rsidRDefault="00B4467B" w:rsidP="00083A2A">
            <w:pPr>
              <w:spacing w:before="120" w:after="120" w:line="235" w:lineRule="auto"/>
              <w:ind w:firstLine="34"/>
              <w:jc w:val="both"/>
              <w:rPr>
                <w:b/>
                <w:sz w:val="28"/>
                <w:szCs w:val="28"/>
                <w:lang w:val="uk-UA"/>
              </w:rPr>
            </w:pPr>
            <w:r w:rsidRPr="00B4467B">
              <w:rPr>
                <w:b/>
                <w:sz w:val="28"/>
                <w:szCs w:val="28"/>
                <w:lang w:val="uk-UA"/>
              </w:rPr>
              <w:t xml:space="preserve">Слідчі органів прокуратури та прокурори, переведені до Державного бюро розслідувань без проведення конкурсу, не можуть здійснювати досудове </w:t>
            </w:r>
            <w:r w:rsidRPr="00B4467B">
              <w:rPr>
                <w:b/>
                <w:sz w:val="28"/>
                <w:szCs w:val="28"/>
                <w:lang w:val="uk-UA"/>
              </w:rPr>
              <w:lastRenderedPageBreak/>
              <w:t xml:space="preserve">розслідування </w:t>
            </w:r>
            <w:r w:rsidR="00933E39">
              <w:rPr>
                <w:b/>
                <w:sz w:val="28"/>
                <w:szCs w:val="28"/>
                <w:lang w:val="uk-UA"/>
              </w:rPr>
              <w:t xml:space="preserve">у </w:t>
            </w:r>
            <w:r w:rsidRPr="00B4467B">
              <w:rPr>
                <w:b/>
                <w:sz w:val="28"/>
                <w:szCs w:val="28"/>
                <w:lang w:val="uk-UA"/>
              </w:rPr>
              <w:t>будь-яких інших кримінальних проваджен</w:t>
            </w:r>
            <w:r w:rsidR="00933E39">
              <w:rPr>
                <w:b/>
                <w:sz w:val="28"/>
                <w:szCs w:val="28"/>
                <w:lang w:val="uk-UA"/>
              </w:rPr>
              <w:t>нях</w:t>
            </w:r>
            <w:r w:rsidRPr="00B4467B">
              <w:rPr>
                <w:b/>
                <w:sz w:val="28"/>
                <w:szCs w:val="28"/>
                <w:lang w:val="uk-UA"/>
              </w:rPr>
              <w:t>, окрім зазначених у абзаці першому даного пункту.</w:t>
            </w:r>
          </w:p>
          <w:p w:rsidR="003F7760" w:rsidRPr="00D21082" w:rsidRDefault="00B4467B" w:rsidP="00933E39">
            <w:pPr>
              <w:spacing w:before="120" w:after="120" w:line="235" w:lineRule="auto"/>
              <w:jc w:val="both"/>
              <w:rPr>
                <w:b/>
                <w:bCs/>
                <w:sz w:val="28"/>
                <w:szCs w:val="28"/>
              </w:rPr>
            </w:pPr>
            <w:r w:rsidRPr="00B4467B">
              <w:rPr>
                <w:b/>
                <w:sz w:val="28"/>
                <w:szCs w:val="28"/>
                <w:lang w:val="uk-UA"/>
              </w:rPr>
              <w:t xml:space="preserve">З моменту закінчення досудового розслідування </w:t>
            </w:r>
            <w:r w:rsidR="00933E39">
              <w:rPr>
                <w:b/>
                <w:sz w:val="28"/>
                <w:szCs w:val="28"/>
                <w:lang w:val="uk-UA"/>
              </w:rPr>
              <w:t xml:space="preserve">у </w:t>
            </w:r>
            <w:r w:rsidRPr="00B4467B">
              <w:rPr>
                <w:b/>
                <w:sz w:val="28"/>
                <w:szCs w:val="28"/>
                <w:lang w:val="uk-UA"/>
              </w:rPr>
              <w:t>кримінальних проваджен</w:t>
            </w:r>
            <w:r w:rsidR="00933E39">
              <w:rPr>
                <w:b/>
                <w:sz w:val="28"/>
                <w:szCs w:val="28"/>
                <w:lang w:val="uk-UA"/>
              </w:rPr>
              <w:t>нях</w:t>
            </w:r>
            <w:r w:rsidRPr="00B4467B">
              <w:rPr>
                <w:b/>
                <w:sz w:val="28"/>
                <w:szCs w:val="28"/>
                <w:lang w:val="uk-UA"/>
              </w:rPr>
              <w:t>, зазначених у абзаці першому даного пункту, слідчі органів прокуратури та прокурори, переведені до Державного бюро розслідувань без проведення конкурсу, вважаються звільненими з Державного бюро розслідувань</w:t>
            </w:r>
            <w:r>
              <w:rPr>
                <w:b/>
                <w:sz w:val="28"/>
                <w:szCs w:val="28"/>
                <w:lang w:val="uk-UA"/>
              </w:rPr>
              <w:t>.</w:t>
            </w:r>
          </w:p>
        </w:tc>
      </w:tr>
    </w:tbl>
    <w:p w:rsidR="00A70795" w:rsidRDefault="003718A2">
      <w:pPr>
        <w:rPr>
          <w:lang w:val="uk-UA"/>
        </w:rPr>
      </w:pPr>
    </w:p>
    <w:p w:rsidR="005356D7" w:rsidRDefault="005356D7">
      <w:pPr>
        <w:rPr>
          <w:b/>
          <w:sz w:val="28"/>
          <w:szCs w:val="28"/>
          <w:lang w:val="uk-UA"/>
        </w:rPr>
      </w:pPr>
    </w:p>
    <w:p w:rsidR="005356D7" w:rsidRDefault="003718A2" w:rsidP="00D21082">
      <w:pPr>
        <w:rPr>
          <w:b/>
          <w:bCs/>
          <w:sz w:val="28"/>
          <w:szCs w:val="28"/>
          <w:lang w:val="uk-UA"/>
        </w:rPr>
      </w:pPr>
      <w:r>
        <w:rPr>
          <w:b/>
          <w:bCs/>
          <w:sz w:val="28"/>
          <w:szCs w:val="28"/>
          <w:lang w:val="uk-UA"/>
        </w:rPr>
        <w:t>Народні</w:t>
      </w:r>
      <w:r w:rsidR="00D21082" w:rsidRPr="000C51F8">
        <w:rPr>
          <w:b/>
          <w:bCs/>
          <w:sz w:val="28"/>
          <w:szCs w:val="28"/>
          <w:lang w:val="uk-UA"/>
        </w:rPr>
        <w:t xml:space="preserve"> депутат</w:t>
      </w:r>
      <w:r>
        <w:rPr>
          <w:b/>
          <w:bCs/>
          <w:sz w:val="28"/>
          <w:szCs w:val="28"/>
          <w:lang w:val="uk-UA"/>
        </w:rPr>
        <w:t>и</w:t>
      </w:r>
      <w:r w:rsidR="00D21082" w:rsidRPr="000C51F8">
        <w:rPr>
          <w:b/>
          <w:bCs/>
          <w:sz w:val="28"/>
          <w:szCs w:val="28"/>
          <w:lang w:val="uk-UA"/>
        </w:rPr>
        <w:t xml:space="preserve"> України </w:t>
      </w:r>
      <w:r w:rsidR="00D21082" w:rsidRPr="000C51F8">
        <w:rPr>
          <w:b/>
          <w:bCs/>
          <w:sz w:val="28"/>
          <w:szCs w:val="28"/>
          <w:lang w:val="uk-UA"/>
        </w:rPr>
        <w:tab/>
      </w:r>
    </w:p>
    <w:p w:rsidR="00D21082" w:rsidRDefault="00D21082" w:rsidP="00D21082">
      <w:pPr>
        <w:rPr>
          <w:b/>
          <w:bCs/>
          <w:sz w:val="28"/>
          <w:szCs w:val="28"/>
          <w:lang w:val="uk-UA"/>
        </w:rPr>
      </w:pPr>
      <w:r>
        <w:rPr>
          <w:b/>
          <w:bCs/>
          <w:sz w:val="28"/>
          <w:szCs w:val="28"/>
          <w:lang w:val="uk-UA"/>
        </w:rPr>
        <w:t>Алєксєєв Сергій Олегович</w:t>
      </w:r>
    </w:p>
    <w:p w:rsidR="003718A2" w:rsidRPr="00D21082" w:rsidRDefault="003718A2" w:rsidP="00D21082">
      <w:pPr>
        <w:rPr>
          <w:b/>
          <w:sz w:val="28"/>
          <w:szCs w:val="28"/>
          <w:lang w:val="uk-UA"/>
        </w:rPr>
      </w:pPr>
      <w:r>
        <w:rPr>
          <w:b/>
          <w:bCs/>
          <w:sz w:val="28"/>
          <w:szCs w:val="28"/>
          <w:lang w:val="uk-UA"/>
        </w:rPr>
        <w:t>Князевич Руслан Петрович</w:t>
      </w:r>
      <w:bookmarkStart w:id="0" w:name="_GoBack"/>
      <w:bookmarkEnd w:id="0"/>
    </w:p>
    <w:sectPr w:rsidR="003718A2" w:rsidRPr="00D21082" w:rsidSect="003F7760">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60"/>
    <w:rsid w:val="00083A2A"/>
    <w:rsid w:val="001609DA"/>
    <w:rsid w:val="001E383B"/>
    <w:rsid w:val="003718A2"/>
    <w:rsid w:val="003F7760"/>
    <w:rsid w:val="005356D7"/>
    <w:rsid w:val="005443B4"/>
    <w:rsid w:val="006A6CAC"/>
    <w:rsid w:val="008B64F9"/>
    <w:rsid w:val="00933E39"/>
    <w:rsid w:val="00B4467B"/>
    <w:rsid w:val="00C65449"/>
    <w:rsid w:val="00D21082"/>
    <w:rsid w:val="00D54FAF"/>
    <w:rsid w:val="00D60B75"/>
    <w:rsid w:val="00DD3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82750-2D35-445C-A1B7-783FF79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76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7760"/>
    <w:pPr>
      <w:spacing w:after="0" w:line="240" w:lineRule="auto"/>
    </w:pPr>
    <w:rPr>
      <w:rFonts w:ascii="Times New Roman" w:eastAsia="Times New Roman" w:hAnsi="Times New Roman" w:cs="Times New Roman"/>
      <w:sz w:val="28"/>
    </w:rPr>
  </w:style>
  <w:style w:type="character" w:customStyle="1" w:styleId="rvts15">
    <w:name w:val="rvts15"/>
    <w:basedOn w:val="a0"/>
    <w:rsid w:val="003F7760"/>
  </w:style>
  <w:style w:type="paragraph" w:customStyle="1" w:styleId="rvps2">
    <w:name w:val="rvps2"/>
    <w:basedOn w:val="a"/>
    <w:rsid w:val="003F7760"/>
    <w:pPr>
      <w:spacing w:before="100" w:beforeAutospacing="1" w:after="100" w:afterAutospacing="1"/>
    </w:pPr>
    <w:rPr>
      <w:lang w:val="uk-UA" w:eastAsia="uk-UA"/>
    </w:rPr>
  </w:style>
  <w:style w:type="paragraph" w:styleId="a4">
    <w:name w:val="Balloon Text"/>
    <w:basedOn w:val="a"/>
    <w:link w:val="a5"/>
    <w:uiPriority w:val="99"/>
    <w:semiHidden/>
    <w:unhideWhenUsed/>
    <w:rsid w:val="00D60B75"/>
    <w:rPr>
      <w:rFonts w:ascii="Segoe UI" w:hAnsi="Segoe UI" w:cs="Segoe UI"/>
      <w:sz w:val="18"/>
      <w:szCs w:val="18"/>
    </w:rPr>
  </w:style>
  <w:style w:type="character" w:customStyle="1" w:styleId="a5">
    <w:name w:val="Текст у виносці Знак"/>
    <w:basedOn w:val="a0"/>
    <w:link w:val="a4"/>
    <w:uiPriority w:val="99"/>
    <w:semiHidden/>
    <w:rsid w:val="00D60B7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1132</Words>
  <Characters>646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Алєксєєв Сергій Олегович</dc:creator>
  <cp:keywords/>
  <dc:description/>
  <cp:lastModifiedBy>Алєксєєв Сергій Олегович</cp:lastModifiedBy>
  <cp:revision>6</cp:revision>
  <cp:lastPrinted>2019-12-03T06:48:00Z</cp:lastPrinted>
  <dcterms:created xsi:type="dcterms:W3CDTF">2019-12-03T06:31:00Z</dcterms:created>
  <dcterms:modified xsi:type="dcterms:W3CDTF">2019-12-03T07:47:00Z</dcterms:modified>
</cp:coreProperties>
</file>