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E8" w:rsidRPr="00E22A41" w:rsidRDefault="006805E8" w:rsidP="0068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A41">
        <w:rPr>
          <w:rFonts w:ascii="Times New Roman" w:hAnsi="Times New Roman" w:cs="Times New Roman"/>
          <w:b/>
          <w:sz w:val="28"/>
          <w:szCs w:val="28"/>
          <w:lang w:val="uk-UA"/>
        </w:rPr>
        <w:t>ПРОГНОЗ ВПЛИВУ</w:t>
      </w:r>
    </w:p>
    <w:p w:rsidR="006805E8" w:rsidRPr="006805E8" w:rsidRDefault="006805E8" w:rsidP="0068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</w:t>
      </w:r>
      <w:r w:rsidR="007714AA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68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Закону України </w:t>
      </w:r>
      <w:r w:rsidRPr="006805E8">
        <w:rPr>
          <w:rFonts w:ascii="Times New Roman" w:eastAsia="SimSun" w:hAnsi="Times New Roman"/>
          <w:b/>
          <w:sz w:val="28"/>
          <w:szCs w:val="28"/>
        </w:rPr>
        <w:t>«</w:t>
      </w:r>
      <w:r w:rsidRPr="006805E8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6805E8">
        <w:rPr>
          <w:rFonts w:ascii="Times New Roman" w:hAnsi="Times New Roman"/>
          <w:b/>
          <w:bCs/>
          <w:sz w:val="28"/>
          <w:szCs w:val="28"/>
        </w:rPr>
        <w:t>ратифікацію</w:t>
      </w:r>
      <w:proofErr w:type="spellEnd"/>
      <w:r w:rsidRPr="00680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05E8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 w:rsidRPr="006805E8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680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E8">
        <w:rPr>
          <w:rFonts w:ascii="Times New Roman" w:hAnsi="Times New Roman" w:cs="Times New Roman"/>
          <w:b/>
          <w:sz w:val="28"/>
          <w:szCs w:val="28"/>
        </w:rPr>
        <w:t>Україною</w:t>
      </w:r>
      <w:proofErr w:type="spellEnd"/>
      <w:r w:rsidRPr="006805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805E8">
        <w:rPr>
          <w:rFonts w:ascii="Times New Roman" w:hAnsi="Times New Roman" w:cs="Times New Roman"/>
          <w:b/>
          <w:sz w:val="28"/>
          <w:szCs w:val="28"/>
        </w:rPr>
        <w:t>Республікою</w:t>
      </w:r>
      <w:proofErr w:type="spellEnd"/>
      <w:r w:rsidRPr="006805E8">
        <w:rPr>
          <w:rFonts w:ascii="Times New Roman" w:hAnsi="Times New Roman" w:cs="Times New Roman"/>
          <w:b/>
          <w:sz w:val="28"/>
          <w:szCs w:val="28"/>
        </w:rPr>
        <w:t xml:space="preserve"> Казахстан </w:t>
      </w:r>
      <w:r w:rsidRPr="006805E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6805E8">
        <w:rPr>
          <w:rFonts w:ascii="Times New Roman" w:hAnsi="Times New Roman" w:cs="Times New Roman"/>
          <w:b/>
          <w:bCs/>
          <w:sz w:val="28"/>
          <w:szCs w:val="28"/>
        </w:rPr>
        <w:t>екстрадицію</w:t>
      </w:r>
      <w:proofErr w:type="spellEnd"/>
      <w:r w:rsidRPr="006805E8">
        <w:rPr>
          <w:rFonts w:ascii="Times New Roman" w:hAnsi="Times New Roman"/>
          <w:b/>
          <w:sz w:val="28"/>
          <w:szCs w:val="28"/>
        </w:rPr>
        <w:t>»</w:t>
      </w:r>
    </w:p>
    <w:p w:rsidR="006805E8" w:rsidRPr="006805E8" w:rsidRDefault="006805E8" w:rsidP="0068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B5" w:rsidRDefault="006805E8" w:rsidP="0025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Метою </w:t>
      </w:r>
      <w:r w:rsidR="007714A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Закону України </w:t>
      </w:r>
      <w:r w:rsidRPr="006805E8">
        <w:rPr>
          <w:rFonts w:ascii="Times New Roman" w:eastAsia="SimSun" w:hAnsi="Times New Roman"/>
          <w:sz w:val="28"/>
          <w:szCs w:val="28"/>
        </w:rPr>
        <w:t>«</w:t>
      </w:r>
      <w:r w:rsidRPr="006805E8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6805E8">
        <w:rPr>
          <w:rFonts w:ascii="Times New Roman" w:hAnsi="Times New Roman"/>
          <w:bCs/>
          <w:sz w:val="28"/>
          <w:szCs w:val="28"/>
        </w:rPr>
        <w:t>ратифікацію</w:t>
      </w:r>
      <w:proofErr w:type="spellEnd"/>
      <w:r w:rsidRPr="006805E8">
        <w:rPr>
          <w:rFonts w:ascii="Times New Roman" w:hAnsi="Times New Roman"/>
          <w:bCs/>
          <w:sz w:val="28"/>
          <w:szCs w:val="28"/>
        </w:rPr>
        <w:t xml:space="preserve"> </w:t>
      </w:r>
      <w:r w:rsidRPr="006805E8">
        <w:rPr>
          <w:rFonts w:ascii="Times New Roman" w:hAnsi="Times New Roman" w:cs="Times New Roman"/>
          <w:sz w:val="28"/>
          <w:szCs w:val="28"/>
        </w:rPr>
        <w:t xml:space="preserve">Договору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Республікою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Казахстан </w:t>
      </w:r>
      <w:r w:rsidRPr="006805E8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6805E8">
        <w:rPr>
          <w:rFonts w:ascii="Times New Roman" w:hAnsi="Times New Roman" w:cs="Times New Roman"/>
          <w:bCs/>
          <w:sz w:val="28"/>
          <w:szCs w:val="28"/>
        </w:rPr>
        <w:t>екстрадицію</w:t>
      </w:r>
      <w:proofErr w:type="spellEnd"/>
      <w:r w:rsidRPr="006805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виконання внутрішньодержавних процедур, необхідних для надання </w:t>
      </w:r>
      <w:r w:rsidR="005516DB">
        <w:rPr>
          <w:rFonts w:ascii="Times New Roman" w:hAnsi="Times New Roman" w:cs="Times New Roman"/>
          <w:sz w:val="28"/>
          <w:szCs w:val="28"/>
          <w:lang w:val="uk-UA"/>
        </w:rPr>
        <w:t xml:space="preserve">Україною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згоди на обов’язковість для неї </w:t>
      </w:r>
      <w:r w:rsidRPr="00350E08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Pr="0068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Республікою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Казахстан </w:t>
      </w:r>
      <w:r w:rsidRPr="006805E8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6805E8">
        <w:rPr>
          <w:rFonts w:ascii="Times New Roman" w:hAnsi="Times New Roman" w:cs="Times New Roman"/>
          <w:bCs/>
          <w:sz w:val="28"/>
          <w:szCs w:val="28"/>
        </w:rPr>
        <w:t>екстрадицію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r w:rsidR="0092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19D">
        <w:rPr>
          <w:rFonts w:ascii="Times New Roman" w:hAnsi="Times New Roman" w:cs="Times New Roman"/>
          <w:sz w:val="28"/>
          <w:szCs w:val="28"/>
          <w:lang w:val="uk-UA"/>
        </w:rPr>
        <w:t>у м.</w:t>
      </w:r>
      <w:r w:rsidRPr="006805E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стана (</w:t>
      </w:r>
      <w:proofErr w:type="spellStart"/>
      <w:r w:rsidRPr="006805E8">
        <w:rPr>
          <w:rFonts w:ascii="Times New Roman" w:hAnsi="Times New Roman" w:cs="Times New Roman"/>
          <w:sz w:val="28"/>
          <w:szCs w:val="28"/>
        </w:rPr>
        <w:t>Республік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05E8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B41BE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реалізацією </w:t>
      </w:r>
      <w:r w:rsidR="007714A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7B41BE">
        <w:rPr>
          <w:rFonts w:ascii="Times New Roman" w:hAnsi="Times New Roman" w:cs="Times New Roman"/>
          <w:sz w:val="28"/>
          <w:szCs w:val="28"/>
          <w:lang w:val="uk-UA"/>
        </w:rPr>
        <w:t xml:space="preserve">у акта буде </w:t>
      </w:r>
      <w:r w:rsidR="009E11B5" w:rsidRPr="00334814">
        <w:rPr>
          <w:rFonts w:ascii="Times New Roman" w:hAnsi="Times New Roman" w:cs="Times New Roman"/>
          <w:sz w:val="28"/>
          <w:szCs w:val="28"/>
          <w:lang w:val="uk-UA"/>
        </w:rPr>
        <w:t>закріп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9E11B5" w:rsidRPr="00334814">
        <w:rPr>
          <w:rFonts w:ascii="Times New Roman" w:hAnsi="Times New Roman" w:cs="Times New Roman"/>
          <w:sz w:val="28"/>
          <w:szCs w:val="28"/>
          <w:lang w:val="uk-UA"/>
        </w:rPr>
        <w:t xml:space="preserve"> обов’язок обох держав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E11B5" w:rsidRPr="00334814">
        <w:rPr>
          <w:rFonts w:ascii="Times New Roman" w:hAnsi="Times New Roman" w:cs="Times New Roman"/>
          <w:sz w:val="28"/>
          <w:szCs w:val="28"/>
          <w:lang w:val="uk-UA"/>
        </w:rPr>
        <w:t xml:space="preserve">взаємної видачі 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 xml:space="preserve">(екстрадиції) осіб, які </w:t>
      </w:r>
      <w:r w:rsidR="009E11B5" w:rsidRPr="003E6EE4">
        <w:rPr>
          <w:rFonts w:ascii="Times New Roman" w:hAnsi="Times New Roman" w:cs="Times New Roman"/>
          <w:sz w:val="28"/>
          <w:szCs w:val="28"/>
          <w:lang w:val="uk-UA"/>
        </w:rPr>
        <w:t>розшуку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E11B5" w:rsidRPr="003E6EE4">
        <w:rPr>
          <w:rFonts w:ascii="Times New Roman" w:hAnsi="Times New Roman" w:cs="Times New Roman"/>
          <w:sz w:val="28"/>
          <w:szCs w:val="28"/>
          <w:lang w:val="uk-UA"/>
        </w:rPr>
        <w:t>ться для притягнення до кримінальної відповідальності або виконання вироку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59FD" w:rsidRPr="0025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9FD" w:rsidRPr="00B37593">
        <w:rPr>
          <w:rFonts w:ascii="Times New Roman" w:hAnsi="Times New Roman" w:cs="Times New Roman"/>
          <w:sz w:val="28"/>
          <w:szCs w:val="28"/>
          <w:lang w:val="uk-UA"/>
        </w:rPr>
        <w:t>переховуючись на території однієї із Договірних Сторін,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створено </w:t>
      </w:r>
      <w:r w:rsidR="009E11B5" w:rsidRPr="00334814">
        <w:rPr>
          <w:rFonts w:ascii="Times New Roman" w:hAnsi="Times New Roman" w:cs="Times New Roman"/>
          <w:sz w:val="28"/>
          <w:szCs w:val="28"/>
          <w:lang w:val="uk-UA"/>
        </w:rPr>
        <w:t>правові підстави для співробітництва компетентних органів Договірних Сторін з</w:t>
      </w:r>
      <w:r w:rsidR="009E11B5">
        <w:rPr>
          <w:rFonts w:ascii="Times New Roman" w:hAnsi="Times New Roman" w:cs="Times New Roman"/>
          <w:sz w:val="28"/>
          <w:szCs w:val="28"/>
          <w:lang w:val="uk-UA"/>
        </w:rPr>
        <w:t xml:space="preserve"> цією метою.</w:t>
      </w:r>
      <w:r w:rsidR="009E11B5" w:rsidRPr="0033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5E8" w:rsidRDefault="006805E8" w:rsidP="006805E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Вплив на ключові інтереси усіх заінтересованих сторін. </w:t>
      </w:r>
    </w:p>
    <w:tbl>
      <w:tblPr>
        <w:tblStyle w:val="a3"/>
        <w:tblW w:w="15179" w:type="dxa"/>
        <w:tblLayout w:type="fixed"/>
        <w:tblLook w:val="04A0"/>
      </w:tblPr>
      <w:tblGrid>
        <w:gridCol w:w="2241"/>
        <w:gridCol w:w="4246"/>
        <w:gridCol w:w="2009"/>
        <w:gridCol w:w="2132"/>
        <w:gridCol w:w="4551"/>
      </w:tblGrid>
      <w:tr w:rsidR="006805E8" w:rsidRPr="00AD3062" w:rsidTr="00334814">
        <w:trPr>
          <w:trHeight w:val="1810"/>
        </w:trPr>
        <w:tc>
          <w:tcPr>
            <w:tcW w:w="2241" w:type="dxa"/>
            <w:vMerge w:val="restart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Заінтересована</w:t>
            </w:r>
            <w:proofErr w:type="spellEnd"/>
            <w:r w:rsidRPr="00AD3062">
              <w:t xml:space="preserve"> сторона</w:t>
            </w:r>
          </w:p>
          <w:p w:rsidR="006805E8" w:rsidRPr="00AD3062" w:rsidRDefault="006805E8" w:rsidP="00334814">
            <w:pPr>
              <w:jc w:val="center"/>
            </w:pPr>
          </w:p>
        </w:tc>
        <w:tc>
          <w:tcPr>
            <w:tcW w:w="4246" w:type="dxa"/>
            <w:vMerge w:val="restart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Ключовий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інтерес</w:t>
            </w:r>
            <w:proofErr w:type="spellEnd"/>
          </w:p>
          <w:p w:rsidR="006805E8" w:rsidRPr="00AD3062" w:rsidRDefault="006805E8" w:rsidP="00334814">
            <w:pPr>
              <w:jc w:val="center"/>
            </w:pPr>
          </w:p>
        </w:tc>
        <w:tc>
          <w:tcPr>
            <w:tcW w:w="4141" w:type="dxa"/>
            <w:gridSpan w:val="2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Очікуваний</w:t>
            </w:r>
            <w:proofErr w:type="spellEnd"/>
            <w:r w:rsidRPr="00AD3062">
              <w:t xml:space="preserve"> (</w:t>
            </w:r>
            <w:proofErr w:type="spellStart"/>
            <w:r w:rsidRPr="00AD3062">
              <w:t>позитивний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чи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негативний</w:t>
            </w:r>
            <w:proofErr w:type="spellEnd"/>
            <w:r w:rsidRPr="00AD3062">
              <w:t xml:space="preserve">) </w:t>
            </w:r>
            <w:proofErr w:type="spellStart"/>
            <w:r w:rsidRPr="00AD3062">
              <w:t>вплив</w:t>
            </w:r>
            <w:proofErr w:type="spellEnd"/>
            <w:r w:rsidRPr="00AD3062">
              <w:t xml:space="preserve"> на </w:t>
            </w:r>
            <w:proofErr w:type="spellStart"/>
            <w:r w:rsidRPr="00AD3062">
              <w:t>ключовий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інтерес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із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зазначенням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передбачуваної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динаміки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змін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основних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показникі</w:t>
            </w:r>
            <w:proofErr w:type="gramStart"/>
            <w:r w:rsidRPr="00AD3062">
              <w:t>в</w:t>
            </w:r>
            <w:proofErr w:type="spellEnd"/>
            <w:proofErr w:type="gramEnd"/>
          </w:p>
          <w:p w:rsidR="006805E8" w:rsidRPr="00AD3062" w:rsidRDefault="006805E8" w:rsidP="00334814">
            <w:pPr>
              <w:jc w:val="center"/>
            </w:pPr>
            <w:r w:rsidRPr="00AD3062">
              <w:t xml:space="preserve">(у числовому </w:t>
            </w:r>
            <w:proofErr w:type="spellStart"/>
            <w:r w:rsidRPr="00AD3062">
              <w:t>або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якісному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вимі</w:t>
            </w:r>
            <w:proofErr w:type="gramStart"/>
            <w:r w:rsidRPr="00AD3062">
              <w:t>р</w:t>
            </w:r>
            <w:proofErr w:type="gramEnd"/>
            <w:r w:rsidRPr="00AD3062">
              <w:t>і</w:t>
            </w:r>
            <w:proofErr w:type="spellEnd"/>
            <w:r w:rsidRPr="00AD3062">
              <w:t>)</w:t>
            </w:r>
          </w:p>
        </w:tc>
        <w:tc>
          <w:tcPr>
            <w:tcW w:w="4551" w:type="dxa"/>
            <w:vMerge w:val="restart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Пояснення</w:t>
            </w:r>
            <w:proofErr w:type="spellEnd"/>
            <w:r w:rsidRPr="00AD3062">
              <w:t xml:space="preserve"> (</w:t>
            </w:r>
            <w:proofErr w:type="spellStart"/>
            <w:r w:rsidRPr="00AD3062">
              <w:t>чому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саме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реалізація</w:t>
            </w:r>
            <w:proofErr w:type="spellEnd"/>
            <w:r w:rsidRPr="00AD3062">
              <w:t xml:space="preserve"> акта </w:t>
            </w:r>
            <w:proofErr w:type="spellStart"/>
            <w:r w:rsidRPr="00AD3062">
              <w:t>призведе</w:t>
            </w:r>
            <w:proofErr w:type="spellEnd"/>
            <w:r w:rsidRPr="00AD3062">
              <w:t xml:space="preserve"> до </w:t>
            </w:r>
            <w:proofErr w:type="spellStart"/>
            <w:r w:rsidRPr="00AD3062">
              <w:t>очікуваного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впливу</w:t>
            </w:r>
            <w:proofErr w:type="spellEnd"/>
            <w:r w:rsidRPr="00AD3062">
              <w:t>)</w:t>
            </w:r>
          </w:p>
          <w:p w:rsidR="006805E8" w:rsidRPr="00AD3062" w:rsidRDefault="006805E8" w:rsidP="00334814">
            <w:pPr>
              <w:jc w:val="center"/>
            </w:pPr>
          </w:p>
        </w:tc>
      </w:tr>
      <w:tr w:rsidR="006805E8" w:rsidRPr="00AD3062" w:rsidTr="00334814">
        <w:trPr>
          <w:trHeight w:val="789"/>
        </w:trPr>
        <w:tc>
          <w:tcPr>
            <w:tcW w:w="2241" w:type="dxa"/>
            <w:vMerge/>
          </w:tcPr>
          <w:p w:rsidR="006805E8" w:rsidRPr="00AD3062" w:rsidRDefault="006805E8" w:rsidP="00334814">
            <w:pPr>
              <w:jc w:val="center"/>
            </w:pPr>
          </w:p>
        </w:tc>
        <w:tc>
          <w:tcPr>
            <w:tcW w:w="4246" w:type="dxa"/>
            <w:vMerge/>
          </w:tcPr>
          <w:p w:rsidR="006805E8" w:rsidRPr="00AD3062" w:rsidRDefault="006805E8" w:rsidP="00334814">
            <w:pPr>
              <w:jc w:val="center"/>
            </w:pPr>
          </w:p>
        </w:tc>
        <w:tc>
          <w:tcPr>
            <w:tcW w:w="2009" w:type="dxa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короткостроковий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вплив</w:t>
            </w:r>
            <w:proofErr w:type="spellEnd"/>
            <w:r w:rsidRPr="00AD3062">
              <w:t xml:space="preserve"> (</w:t>
            </w:r>
            <w:proofErr w:type="gramStart"/>
            <w:r w:rsidRPr="00AD3062">
              <w:t>до</w:t>
            </w:r>
            <w:proofErr w:type="gramEnd"/>
            <w:r w:rsidRPr="00AD3062">
              <w:t xml:space="preserve"> року)</w:t>
            </w:r>
          </w:p>
        </w:tc>
        <w:tc>
          <w:tcPr>
            <w:tcW w:w="2132" w:type="dxa"/>
          </w:tcPr>
          <w:p w:rsidR="006805E8" w:rsidRPr="00AD3062" w:rsidRDefault="006805E8" w:rsidP="00334814">
            <w:pPr>
              <w:jc w:val="center"/>
            </w:pPr>
            <w:proofErr w:type="spellStart"/>
            <w:r w:rsidRPr="00AD3062">
              <w:t>середньостроковий</w:t>
            </w:r>
            <w:proofErr w:type="spellEnd"/>
            <w:r w:rsidRPr="00AD3062">
              <w:t xml:space="preserve"> </w:t>
            </w:r>
            <w:proofErr w:type="spellStart"/>
            <w:r w:rsidRPr="00AD3062">
              <w:t>вплив</w:t>
            </w:r>
            <w:proofErr w:type="spellEnd"/>
            <w:r w:rsidRPr="00AD3062">
              <w:t xml:space="preserve"> (</w:t>
            </w:r>
            <w:proofErr w:type="spellStart"/>
            <w:r w:rsidRPr="00AD3062">
              <w:t>більше</w:t>
            </w:r>
            <w:proofErr w:type="spellEnd"/>
            <w:r w:rsidRPr="00AD3062">
              <w:t xml:space="preserve"> року)</w:t>
            </w:r>
          </w:p>
        </w:tc>
        <w:tc>
          <w:tcPr>
            <w:tcW w:w="4551" w:type="dxa"/>
            <w:vMerge/>
          </w:tcPr>
          <w:p w:rsidR="006805E8" w:rsidRPr="00AD3062" w:rsidRDefault="006805E8" w:rsidP="00334814">
            <w:pPr>
              <w:jc w:val="center"/>
            </w:pPr>
          </w:p>
        </w:tc>
      </w:tr>
      <w:tr w:rsidR="006805E8" w:rsidRPr="00677447" w:rsidTr="00334814">
        <w:trPr>
          <w:trHeight w:val="70"/>
        </w:trPr>
        <w:tc>
          <w:tcPr>
            <w:tcW w:w="2241" w:type="dxa"/>
          </w:tcPr>
          <w:p w:rsidR="006805E8" w:rsidRPr="00275E6D" w:rsidRDefault="006805E8" w:rsidP="003E6EE4">
            <w:pPr>
              <w:rPr>
                <w:szCs w:val="26"/>
              </w:rPr>
            </w:pPr>
            <w:proofErr w:type="gramStart"/>
            <w:r>
              <w:t>Осо</w:t>
            </w:r>
            <w:r w:rsidRPr="00017B3C">
              <w:t>б</w:t>
            </w:r>
            <w:r>
              <w:t>и</w:t>
            </w:r>
            <w:r w:rsidR="002F70D8">
              <w:t xml:space="preserve">, </w:t>
            </w:r>
            <w:proofErr w:type="spellStart"/>
            <w:r w:rsidR="002F70D8">
              <w:t>які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намагаю</w:t>
            </w:r>
            <w:r>
              <w:t>ть</w:t>
            </w:r>
            <w:r w:rsidRPr="00017B3C">
              <w:t>с</w:t>
            </w:r>
            <w:r>
              <w:t>я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ухилитися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від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відповідальності</w:t>
            </w:r>
            <w:proofErr w:type="spellEnd"/>
            <w:r w:rsidRPr="00017B3C">
              <w:t xml:space="preserve"> за </w:t>
            </w:r>
            <w:proofErr w:type="spellStart"/>
            <w:r w:rsidRPr="00017B3C">
              <w:t>вчинені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злочини</w:t>
            </w:r>
            <w:proofErr w:type="spellEnd"/>
            <w:r w:rsidR="003E6EE4">
              <w:rPr>
                <w:lang w:val="uk-UA"/>
              </w:rPr>
              <w:t xml:space="preserve">, </w:t>
            </w:r>
            <w:r>
              <w:t>пере</w:t>
            </w:r>
            <w:proofErr w:type="spellStart"/>
            <w:r w:rsidR="003E6EE4">
              <w:rPr>
                <w:lang w:val="uk-UA"/>
              </w:rPr>
              <w:t>ховуючись</w:t>
            </w:r>
            <w:proofErr w:type="spellEnd"/>
            <w:r>
              <w:t xml:space="preserve"> </w:t>
            </w:r>
            <w:r w:rsidRPr="00017B3C">
              <w:t xml:space="preserve">на </w:t>
            </w:r>
            <w:proofErr w:type="spellStart"/>
            <w:r w:rsidRPr="00017B3C">
              <w:t>території</w:t>
            </w:r>
            <w:proofErr w:type="spellEnd"/>
            <w:r w:rsidRPr="00017B3C">
              <w:t xml:space="preserve"> </w:t>
            </w:r>
            <w:proofErr w:type="spellStart"/>
            <w:r w:rsidRPr="00017B3C">
              <w:lastRenderedPageBreak/>
              <w:t>однієї</w:t>
            </w:r>
            <w:proofErr w:type="spellEnd"/>
            <w:r w:rsidRPr="00017B3C">
              <w:t xml:space="preserve"> </w:t>
            </w:r>
            <w:r w:rsidR="00365204">
              <w:rPr>
                <w:lang w:val="uk-UA"/>
              </w:rPr>
              <w:t>і</w:t>
            </w:r>
            <w:r w:rsidRPr="00017B3C">
              <w:t xml:space="preserve">з </w:t>
            </w:r>
            <w:proofErr w:type="spellStart"/>
            <w:r w:rsidRPr="00017B3C">
              <w:t>Договірних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Сторін</w:t>
            </w:r>
            <w:proofErr w:type="spellEnd"/>
            <w:proofErr w:type="gramEnd"/>
          </w:p>
        </w:tc>
        <w:tc>
          <w:tcPr>
            <w:tcW w:w="4246" w:type="dxa"/>
          </w:tcPr>
          <w:p w:rsidR="006805E8" w:rsidRPr="00275E6D" w:rsidRDefault="003335C5" w:rsidP="00334814">
            <w:pPr>
              <w:jc w:val="both"/>
              <w:rPr>
                <w:szCs w:val="26"/>
              </w:rPr>
            </w:pPr>
            <w:r>
              <w:lastRenderedPageBreak/>
              <w:t>У</w:t>
            </w:r>
            <w:proofErr w:type="spellStart"/>
            <w:r>
              <w:rPr>
                <w:lang w:val="uk-UA"/>
              </w:rPr>
              <w:t>никнення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за вчинен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 w:rsidRPr="00017B3C">
              <w:t xml:space="preserve"> </w:t>
            </w:r>
            <w:proofErr w:type="spellStart"/>
            <w:r w:rsidRPr="00017B3C">
              <w:t>злочин</w:t>
            </w:r>
            <w:r>
              <w:rPr>
                <w:lang w:val="uk-UA"/>
              </w:rPr>
              <w:t>ів</w:t>
            </w:r>
            <w:proofErr w:type="spellEnd"/>
          </w:p>
          <w:p w:rsidR="006805E8" w:rsidRPr="00275E6D" w:rsidRDefault="006805E8" w:rsidP="00334814">
            <w:pPr>
              <w:jc w:val="both"/>
              <w:rPr>
                <w:szCs w:val="26"/>
              </w:rPr>
            </w:pPr>
          </w:p>
        </w:tc>
        <w:tc>
          <w:tcPr>
            <w:tcW w:w="2009" w:type="dxa"/>
          </w:tcPr>
          <w:p w:rsidR="006805E8" w:rsidRPr="00275E6D" w:rsidRDefault="001B3183" w:rsidP="00334814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-</w:t>
            </w:r>
            <w:r w:rsidR="006805E8" w:rsidRPr="00275E6D">
              <w:rPr>
                <w:b/>
                <w:i/>
                <w:szCs w:val="26"/>
              </w:rPr>
              <w:t xml:space="preserve"> </w:t>
            </w:r>
            <w:proofErr w:type="spellStart"/>
            <w:r w:rsidR="006805E8">
              <w:rPr>
                <w:b/>
                <w:i/>
                <w:szCs w:val="26"/>
              </w:rPr>
              <w:t>негативний</w:t>
            </w:r>
            <w:proofErr w:type="spellEnd"/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</w:tc>
        <w:tc>
          <w:tcPr>
            <w:tcW w:w="2132" w:type="dxa"/>
          </w:tcPr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  <w:r w:rsidRPr="00275E6D">
              <w:rPr>
                <w:b/>
                <w:i/>
                <w:szCs w:val="26"/>
              </w:rPr>
              <w:lastRenderedPageBreak/>
              <w:t xml:space="preserve">- </w:t>
            </w:r>
            <w:proofErr w:type="spellStart"/>
            <w:r>
              <w:rPr>
                <w:b/>
                <w:i/>
                <w:szCs w:val="26"/>
              </w:rPr>
              <w:t>негативний</w:t>
            </w:r>
            <w:proofErr w:type="spellEnd"/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51" w:type="dxa"/>
          </w:tcPr>
          <w:p w:rsidR="006805E8" w:rsidRPr="002F70D8" w:rsidRDefault="009C0D4E" w:rsidP="00365204">
            <w:pPr>
              <w:jc w:val="both"/>
              <w:rPr>
                <w:szCs w:val="26"/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F10957">
              <w:rPr>
                <w:lang w:val="uk-UA"/>
              </w:rPr>
              <w:t>ритягнення до</w:t>
            </w:r>
            <w:r w:rsidR="002F70D8">
              <w:rPr>
                <w:lang w:val="uk-UA"/>
              </w:rPr>
              <w:t xml:space="preserve"> відповідальності </w:t>
            </w:r>
            <w:r w:rsidR="002F70D8" w:rsidRPr="002F70D8">
              <w:rPr>
                <w:lang w:val="uk-UA"/>
              </w:rPr>
              <w:t>осіб, які вчин</w:t>
            </w:r>
            <w:r w:rsidR="002F70D8">
              <w:rPr>
                <w:lang w:val="uk-UA"/>
              </w:rPr>
              <w:t xml:space="preserve">или кримінальне правопорушення і </w:t>
            </w:r>
            <w:r w:rsidR="002F70D8" w:rsidRPr="002F70D8">
              <w:rPr>
                <w:lang w:val="uk-UA"/>
              </w:rPr>
              <w:t>з метою уникнення кримінальної відповідаль</w:t>
            </w:r>
            <w:r w:rsidR="002F70D8">
              <w:rPr>
                <w:lang w:val="uk-UA"/>
              </w:rPr>
              <w:t xml:space="preserve">ності </w:t>
            </w:r>
            <w:r w:rsidR="00F10957">
              <w:rPr>
                <w:lang w:val="uk-UA"/>
              </w:rPr>
              <w:t xml:space="preserve">переховуються </w:t>
            </w:r>
            <w:r w:rsidR="00365204">
              <w:rPr>
                <w:lang w:val="uk-UA"/>
              </w:rPr>
              <w:t xml:space="preserve"> на території </w:t>
            </w:r>
            <w:r w:rsidR="00677447">
              <w:rPr>
                <w:lang w:val="uk-UA"/>
              </w:rPr>
              <w:t>одні</w:t>
            </w:r>
            <w:r w:rsidR="00365204">
              <w:rPr>
                <w:lang w:val="uk-UA"/>
              </w:rPr>
              <w:t>єї</w:t>
            </w:r>
            <w:r w:rsidR="00677447">
              <w:rPr>
                <w:lang w:val="uk-UA"/>
              </w:rPr>
              <w:t xml:space="preserve"> </w:t>
            </w:r>
            <w:r w:rsidR="00275E68">
              <w:rPr>
                <w:lang w:val="uk-UA"/>
              </w:rPr>
              <w:t>і</w:t>
            </w:r>
            <w:r w:rsidR="00677447">
              <w:rPr>
                <w:lang w:val="uk-UA"/>
              </w:rPr>
              <w:t xml:space="preserve">з </w:t>
            </w:r>
            <w:r w:rsidR="002F70D8" w:rsidRPr="002F70D8">
              <w:rPr>
                <w:lang w:val="uk-UA"/>
              </w:rPr>
              <w:t>Договірних Сторін</w:t>
            </w:r>
          </w:p>
        </w:tc>
      </w:tr>
      <w:tr w:rsidR="006805E8" w:rsidRPr="00EA3BA2" w:rsidTr="00334814">
        <w:trPr>
          <w:trHeight w:val="70"/>
        </w:trPr>
        <w:tc>
          <w:tcPr>
            <w:tcW w:w="2241" w:type="dxa"/>
          </w:tcPr>
          <w:p w:rsidR="006805E8" w:rsidRPr="0028559F" w:rsidRDefault="006805E8" w:rsidP="00334814">
            <w:proofErr w:type="spellStart"/>
            <w:r w:rsidRPr="0028559F">
              <w:lastRenderedPageBreak/>
              <w:t>Громадянське</w:t>
            </w:r>
            <w:proofErr w:type="spellEnd"/>
            <w:r w:rsidRPr="0028559F">
              <w:t xml:space="preserve"> </w:t>
            </w:r>
            <w:proofErr w:type="spellStart"/>
            <w:r w:rsidRPr="0028559F">
              <w:t>суспільство</w:t>
            </w:r>
            <w:proofErr w:type="spellEnd"/>
          </w:p>
        </w:tc>
        <w:tc>
          <w:tcPr>
            <w:tcW w:w="4246" w:type="dxa"/>
          </w:tcPr>
          <w:p w:rsidR="006805E8" w:rsidRPr="007B41BE" w:rsidRDefault="006805E8" w:rsidP="0028559F">
            <w:pPr>
              <w:jc w:val="both"/>
              <w:rPr>
                <w:lang w:val="uk-UA"/>
              </w:rPr>
            </w:pPr>
            <w:proofErr w:type="spellStart"/>
            <w:r>
              <w:t>Притягнення</w:t>
            </w:r>
            <w:proofErr w:type="spellEnd"/>
            <w:r>
              <w:t xml:space="preserve"> до </w:t>
            </w:r>
            <w:proofErr w:type="spellStart"/>
            <w:r>
              <w:t>відповідальності</w:t>
            </w:r>
            <w:proofErr w:type="spellEnd"/>
            <w:r>
              <w:t xml:space="preserve"> та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правосуддя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вчинили</w:t>
            </w:r>
            <w:r w:rsidRPr="00017B3C">
              <w:t xml:space="preserve"> </w:t>
            </w:r>
            <w:proofErr w:type="spellStart"/>
            <w:r w:rsidRPr="00017B3C">
              <w:t>злочини</w:t>
            </w:r>
            <w:proofErr w:type="spellEnd"/>
            <w:r>
              <w:t xml:space="preserve"> та </w:t>
            </w:r>
            <w:proofErr w:type="spellStart"/>
            <w:r>
              <w:t>намагаються</w:t>
            </w:r>
            <w:proofErr w:type="spellEnd"/>
            <w:r w:rsidR="002F70D8">
              <w:t xml:space="preserve"> </w:t>
            </w:r>
            <w:proofErr w:type="spellStart"/>
            <w:r w:rsidR="002F70D8">
              <w:t>ухилитися</w:t>
            </w:r>
            <w:proofErr w:type="spellEnd"/>
            <w:r w:rsidR="002F70D8">
              <w:t xml:space="preserve"> </w:t>
            </w:r>
            <w:proofErr w:type="spellStart"/>
            <w:r w:rsidR="002F70D8">
              <w:t>від</w:t>
            </w:r>
            <w:proofErr w:type="spellEnd"/>
            <w:r w:rsidR="002F70D8">
              <w:t xml:space="preserve"> </w:t>
            </w:r>
            <w:proofErr w:type="spellStart"/>
            <w:r w:rsidR="002F70D8">
              <w:t>відповідальності</w:t>
            </w:r>
            <w:proofErr w:type="spellEnd"/>
            <w:r w:rsidR="0028559F">
              <w:rPr>
                <w:lang w:val="uk-UA"/>
              </w:rPr>
              <w:t>, переховуючись  на території</w:t>
            </w:r>
            <w:r w:rsidR="007B41BE">
              <w:rPr>
                <w:lang w:val="uk-UA"/>
              </w:rPr>
              <w:t xml:space="preserve"> одні</w:t>
            </w:r>
            <w:r w:rsidR="0028559F">
              <w:rPr>
                <w:lang w:val="uk-UA"/>
              </w:rPr>
              <w:t>єї</w:t>
            </w:r>
            <w:r w:rsidR="007B41BE">
              <w:rPr>
                <w:lang w:val="uk-UA"/>
              </w:rPr>
              <w:t xml:space="preserve"> з </w:t>
            </w:r>
            <w:r w:rsidR="007B41BE" w:rsidRPr="002F70D8">
              <w:rPr>
                <w:lang w:val="uk-UA"/>
              </w:rPr>
              <w:t>Договірних Сторін</w:t>
            </w:r>
          </w:p>
        </w:tc>
        <w:tc>
          <w:tcPr>
            <w:tcW w:w="2009" w:type="dxa"/>
          </w:tcPr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  <w:r w:rsidRPr="00275E6D">
              <w:rPr>
                <w:b/>
                <w:i/>
                <w:szCs w:val="26"/>
              </w:rPr>
              <w:t xml:space="preserve">- </w:t>
            </w:r>
            <w:proofErr w:type="spellStart"/>
            <w:r>
              <w:rPr>
                <w:b/>
                <w:i/>
                <w:szCs w:val="26"/>
              </w:rPr>
              <w:t>позитивний</w:t>
            </w:r>
            <w:proofErr w:type="spellEnd"/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szCs w:val="26"/>
              </w:rPr>
            </w:pPr>
          </w:p>
        </w:tc>
        <w:tc>
          <w:tcPr>
            <w:tcW w:w="2132" w:type="dxa"/>
          </w:tcPr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  <w:r w:rsidRPr="00275E6D">
              <w:rPr>
                <w:b/>
                <w:i/>
                <w:szCs w:val="26"/>
              </w:rPr>
              <w:t xml:space="preserve">- </w:t>
            </w:r>
            <w:proofErr w:type="spellStart"/>
            <w:r>
              <w:rPr>
                <w:b/>
                <w:i/>
                <w:szCs w:val="26"/>
              </w:rPr>
              <w:t>позитивний</w:t>
            </w:r>
            <w:proofErr w:type="spellEnd"/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  <w:p w:rsidR="006805E8" w:rsidRPr="00275E6D" w:rsidRDefault="006805E8" w:rsidP="00334814">
            <w:pPr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51" w:type="dxa"/>
          </w:tcPr>
          <w:p w:rsidR="002F70D8" w:rsidRDefault="002F70D8" w:rsidP="002F70D8">
            <w:pPr>
              <w:jc w:val="both"/>
              <w:rPr>
                <w:szCs w:val="26"/>
              </w:rPr>
            </w:pPr>
            <w:r>
              <w:rPr>
                <w:lang w:val="uk-UA"/>
              </w:rPr>
              <w:t>Реалізація принципу</w:t>
            </w:r>
            <w:r>
              <w:t xml:space="preserve"> </w:t>
            </w:r>
            <w:proofErr w:type="spellStart"/>
            <w:r>
              <w:t>невідворотності</w:t>
            </w:r>
            <w:proofErr w:type="spellEnd"/>
            <w:r>
              <w:t xml:space="preserve"> </w:t>
            </w:r>
            <w:proofErr w:type="spellStart"/>
            <w:r>
              <w:t>покарання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="006805E8">
              <w:rPr>
                <w:szCs w:val="26"/>
              </w:rPr>
              <w:t>с</w:t>
            </w:r>
            <w:r>
              <w:rPr>
                <w:szCs w:val="26"/>
              </w:rPr>
              <w:t>лугуватиме</w:t>
            </w:r>
            <w:proofErr w:type="spellEnd"/>
            <w:r w:rsidR="00936477">
              <w:rPr>
                <w:szCs w:val="26"/>
              </w:rPr>
              <w:t xml:space="preserve"> </w:t>
            </w:r>
            <w:proofErr w:type="spellStart"/>
            <w:r w:rsidR="00936477">
              <w:rPr>
                <w:szCs w:val="26"/>
              </w:rPr>
              <w:t>досягненню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ціл</w:t>
            </w:r>
            <w:r w:rsidR="00936477">
              <w:rPr>
                <w:szCs w:val="26"/>
              </w:rPr>
              <w:t>ей</w:t>
            </w:r>
            <w:proofErr w:type="spellEnd"/>
            <w:r w:rsidR="0093647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здійснення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правосуддя</w:t>
            </w:r>
            <w:proofErr w:type="spellEnd"/>
            <w:r w:rsidR="00936477">
              <w:rPr>
                <w:szCs w:val="26"/>
              </w:rPr>
              <w:t xml:space="preserve"> </w:t>
            </w:r>
          </w:p>
          <w:p w:rsidR="002F70D8" w:rsidRDefault="002F70D8" w:rsidP="002F70D8">
            <w:pPr>
              <w:jc w:val="both"/>
              <w:rPr>
                <w:szCs w:val="26"/>
              </w:rPr>
            </w:pPr>
          </w:p>
          <w:p w:rsidR="006805E8" w:rsidRPr="00275E6D" w:rsidRDefault="006805E8" w:rsidP="002F70D8">
            <w:pPr>
              <w:jc w:val="both"/>
              <w:rPr>
                <w:szCs w:val="26"/>
              </w:rPr>
            </w:pPr>
          </w:p>
        </w:tc>
      </w:tr>
    </w:tbl>
    <w:p w:rsidR="006805E8" w:rsidRPr="00EA3BA2" w:rsidRDefault="006805E8" w:rsidP="006805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659" w:rsidRPr="006805E8" w:rsidRDefault="00221659">
      <w:pPr>
        <w:rPr>
          <w:lang w:val="uk-UA"/>
        </w:rPr>
      </w:pPr>
    </w:p>
    <w:sectPr w:rsidR="00221659" w:rsidRPr="006805E8" w:rsidSect="003348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5E8"/>
    <w:rsid w:val="000C2BCE"/>
    <w:rsid w:val="000E65EF"/>
    <w:rsid w:val="00112F5D"/>
    <w:rsid w:val="001B3183"/>
    <w:rsid w:val="00221659"/>
    <w:rsid w:val="002559FD"/>
    <w:rsid w:val="00275E68"/>
    <w:rsid w:val="0028559F"/>
    <w:rsid w:val="002F70D8"/>
    <w:rsid w:val="003335C5"/>
    <w:rsid w:val="00334814"/>
    <w:rsid w:val="00365204"/>
    <w:rsid w:val="003C24FA"/>
    <w:rsid w:val="003D2D96"/>
    <w:rsid w:val="003D6D2F"/>
    <w:rsid w:val="003E6EE4"/>
    <w:rsid w:val="0044010A"/>
    <w:rsid w:val="005516DB"/>
    <w:rsid w:val="00670BD9"/>
    <w:rsid w:val="00677447"/>
    <w:rsid w:val="006805E8"/>
    <w:rsid w:val="00723209"/>
    <w:rsid w:val="00746F22"/>
    <w:rsid w:val="007714AA"/>
    <w:rsid w:val="007B41BE"/>
    <w:rsid w:val="007E45AC"/>
    <w:rsid w:val="008D5FB2"/>
    <w:rsid w:val="009278BE"/>
    <w:rsid w:val="00936477"/>
    <w:rsid w:val="009C0D4E"/>
    <w:rsid w:val="009E11B5"/>
    <w:rsid w:val="00A03A81"/>
    <w:rsid w:val="00AC1ECA"/>
    <w:rsid w:val="00B37593"/>
    <w:rsid w:val="00EA1B24"/>
    <w:rsid w:val="00EA2092"/>
    <w:rsid w:val="00F1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E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8BE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9278BE"/>
    <w:rPr>
      <w:rFonts w:ascii="Palatino Linotype" w:hAnsi="Palatino Linotype" w:cs="Palatino Linotyp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5E6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16</cp:revision>
  <cp:lastPrinted>2019-11-20T08:05:00Z</cp:lastPrinted>
  <dcterms:created xsi:type="dcterms:W3CDTF">2019-09-05T05:52:00Z</dcterms:created>
  <dcterms:modified xsi:type="dcterms:W3CDTF">2019-11-20T08:11:00Z</dcterms:modified>
</cp:coreProperties>
</file>