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1C" w:rsidRPr="0045641C" w:rsidRDefault="0045641C" w:rsidP="003A72B0">
      <w:pPr>
        <w:autoSpaceDE w:val="0"/>
        <w:ind w:left="-57" w:right="-60"/>
        <w:jc w:val="center"/>
        <w:rPr>
          <w:rFonts w:ascii="Times New Roman" w:hAnsi="Times New Roman"/>
          <w:b/>
          <w:bCs/>
          <w:sz w:val="28"/>
          <w:szCs w:val="28"/>
        </w:rPr>
      </w:pPr>
    </w:p>
    <w:p w:rsidR="0045641C" w:rsidRPr="00AB25DF" w:rsidRDefault="0045641C" w:rsidP="0045641C">
      <w:pPr>
        <w:jc w:val="right"/>
        <w:rPr>
          <w:rFonts w:ascii="Times New Roman" w:hAnsi="Times New Roman"/>
          <w:sz w:val="24"/>
          <w:szCs w:val="24"/>
        </w:rPr>
      </w:pPr>
      <w:r w:rsidRPr="00AB25DF">
        <w:rPr>
          <w:rFonts w:ascii="Times New Roman" w:hAnsi="Times New Roman"/>
          <w:sz w:val="28"/>
          <w:szCs w:val="28"/>
        </w:rPr>
        <w:t>ПРОЕКТ </w:t>
      </w:r>
    </w:p>
    <w:p w:rsidR="0045641C" w:rsidRPr="00AB25DF" w:rsidRDefault="0045641C" w:rsidP="0045641C">
      <w:pPr>
        <w:jc w:val="right"/>
        <w:rPr>
          <w:rFonts w:ascii="Times New Roman" w:hAnsi="Times New Roman"/>
          <w:sz w:val="24"/>
          <w:szCs w:val="24"/>
        </w:rPr>
      </w:pPr>
      <w:r w:rsidRPr="00AB25DF">
        <w:rPr>
          <w:rFonts w:ascii="Times New Roman" w:hAnsi="Times New Roman"/>
          <w:sz w:val="28"/>
          <w:szCs w:val="28"/>
        </w:rPr>
        <w:t>вноситься народним</w:t>
      </w:r>
    </w:p>
    <w:p w:rsidR="0045641C" w:rsidRPr="00AB25DF" w:rsidRDefault="0045641C" w:rsidP="0045641C">
      <w:pPr>
        <w:jc w:val="right"/>
        <w:rPr>
          <w:rFonts w:ascii="Times New Roman" w:hAnsi="Times New Roman"/>
          <w:sz w:val="28"/>
          <w:szCs w:val="28"/>
        </w:rPr>
      </w:pPr>
      <w:r w:rsidRPr="00AB25DF">
        <w:rPr>
          <w:rFonts w:ascii="Times New Roman" w:hAnsi="Times New Roman"/>
          <w:sz w:val="28"/>
          <w:szCs w:val="28"/>
        </w:rPr>
        <w:t>депутатом України</w:t>
      </w:r>
    </w:p>
    <w:p w:rsidR="0055354C" w:rsidRPr="00AB25DF" w:rsidRDefault="0055354C" w:rsidP="0045641C">
      <w:pPr>
        <w:jc w:val="right"/>
        <w:rPr>
          <w:rFonts w:ascii="Times New Roman" w:hAnsi="Times New Roman"/>
          <w:sz w:val="28"/>
          <w:szCs w:val="28"/>
        </w:rPr>
      </w:pPr>
      <w:proofErr w:type="spellStart"/>
      <w:r w:rsidRPr="00AB25DF">
        <w:rPr>
          <w:rFonts w:ascii="Times New Roman" w:hAnsi="Times New Roman" w:hint="eastAsia"/>
          <w:sz w:val="28"/>
          <w:szCs w:val="28"/>
        </w:rPr>
        <w:t>Дубінським</w:t>
      </w:r>
      <w:proofErr w:type="spellEnd"/>
      <w:r w:rsidRPr="00AB25DF">
        <w:rPr>
          <w:rFonts w:ascii="Times New Roman" w:hAnsi="Times New Roman"/>
          <w:sz w:val="28"/>
          <w:szCs w:val="28"/>
        </w:rPr>
        <w:t xml:space="preserve"> </w:t>
      </w:r>
      <w:r w:rsidRPr="00AB25DF">
        <w:rPr>
          <w:rFonts w:ascii="Times New Roman" w:hAnsi="Times New Roman" w:hint="eastAsia"/>
          <w:sz w:val="28"/>
          <w:szCs w:val="28"/>
        </w:rPr>
        <w:t>О</w:t>
      </w:r>
      <w:r w:rsidRPr="00AB25DF">
        <w:rPr>
          <w:rFonts w:ascii="Times New Roman" w:hAnsi="Times New Roman"/>
          <w:sz w:val="28"/>
          <w:szCs w:val="28"/>
        </w:rPr>
        <w:t>.</w:t>
      </w:r>
      <w:r w:rsidRPr="00AB25DF">
        <w:rPr>
          <w:rFonts w:ascii="Times New Roman" w:hAnsi="Times New Roman" w:hint="eastAsia"/>
          <w:sz w:val="28"/>
          <w:szCs w:val="28"/>
        </w:rPr>
        <w:t>А</w:t>
      </w:r>
      <w:r w:rsidRPr="00AB25DF">
        <w:rPr>
          <w:rFonts w:ascii="Times New Roman" w:hAnsi="Times New Roman"/>
          <w:sz w:val="28"/>
          <w:szCs w:val="28"/>
        </w:rPr>
        <w:t>.</w:t>
      </w:r>
    </w:p>
    <w:p w:rsidR="0045641C" w:rsidRPr="00AB25DF" w:rsidRDefault="0045641C" w:rsidP="0045641C">
      <w:pPr>
        <w:spacing w:after="240"/>
        <w:rPr>
          <w:rFonts w:ascii="Times New Roman" w:hAnsi="Times New Roman"/>
          <w:sz w:val="24"/>
          <w:szCs w:val="24"/>
        </w:rPr>
      </w:pP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r w:rsidRPr="00AB25DF">
        <w:rPr>
          <w:rFonts w:ascii="Times New Roman" w:hAnsi="Times New Roman"/>
          <w:sz w:val="24"/>
          <w:szCs w:val="24"/>
        </w:rPr>
        <w:br/>
      </w:r>
    </w:p>
    <w:p w:rsidR="0045641C" w:rsidRPr="00AB25DF" w:rsidRDefault="0045641C" w:rsidP="0045641C">
      <w:pPr>
        <w:jc w:val="center"/>
        <w:rPr>
          <w:rFonts w:ascii="Times New Roman" w:hAnsi="Times New Roman"/>
          <w:sz w:val="24"/>
          <w:szCs w:val="24"/>
        </w:rPr>
      </w:pPr>
      <w:r w:rsidRPr="00AB25DF">
        <w:rPr>
          <w:rFonts w:ascii="Times New Roman" w:hAnsi="Times New Roman"/>
          <w:b/>
          <w:bCs/>
          <w:sz w:val="28"/>
          <w:szCs w:val="28"/>
        </w:rPr>
        <w:t>ЗАКОН УКРАЇНИ</w:t>
      </w:r>
    </w:p>
    <w:p w:rsidR="0045641C" w:rsidRPr="00AB25DF" w:rsidRDefault="0045641C" w:rsidP="0045641C">
      <w:pPr>
        <w:shd w:val="clear" w:color="auto" w:fill="FFFFFF"/>
        <w:jc w:val="center"/>
        <w:rPr>
          <w:rFonts w:ascii="Times New Roman" w:hAnsi="Times New Roman"/>
          <w:sz w:val="24"/>
          <w:szCs w:val="24"/>
        </w:rPr>
      </w:pPr>
    </w:p>
    <w:p w:rsidR="0045641C" w:rsidRPr="00AB25DF" w:rsidRDefault="0045641C" w:rsidP="0045641C">
      <w:pPr>
        <w:shd w:val="clear" w:color="auto" w:fill="FFFFFF"/>
        <w:jc w:val="center"/>
        <w:rPr>
          <w:rFonts w:ascii="Times New Roman" w:hAnsi="Times New Roman"/>
          <w:b/>
          <w:sz w:val="28"/>
          <w:szCs w:val="28"/>
        </w:rPr>
      </w:pPr>
      <w:bookmarkStart w:id="0" w:name="_Hlk29393661"/>
      <w:r w:rsidRPr="00AB25DF">
        <w:rPr>
          <w:rFonts w:ascii="Times New Roman" w:hAnsi="Times New Roman"/>
          <w:b/>
          <w:sz w:val="28"/>
          <w:szCs w:val="28"/>
        </w:rPr>
        <w:t>про внесення змін до Податкового кодексу України щодо оподаткування доходів від провадження ігорного бізнесу</w:t>
      </w:r>
      <w:bookmarkEnd w:id="0"/>
    </w:p>
    <w:p w:rsidR="0045641C" w:rsidRPr="00AB25DF" w:rsidRDefault="0045641C" w:rsidP="0045641C">
      <w:pPr>
        <w:shd w:val="clear" w:color="auto" w:fill="FFFFFF"/>
        <w:jc w:val="center"/>
        <w:rPr>
          <w:rFonts w:ascii="Times New Roman" w:hAnsi="Times New Roman"/>
          <w:sz w:val="24"/>
          <w:szCs w:val="24"/>
        </w:rPr>
      </w:pPr>
      <w:r w:rsidRPr="00AB25DF">
        <w:rPr>
          <w:rFonts w:ascii="Times New Roman" w:hAnsi="Times New Roman"/>
          <w:sz w:val="24"/>
          <w:szCs w:val="24"/>
        </w:rPr>
        <w:t> </w:t>
      </w:r>
    </w:p>
    <w:p w:rsidR="0045641C" w:rsidRPr="00AB25DF" w:rsidRDefault="0045641C" w:rsidP="0045641C">
      <w:pPr>
        <w:shd w:val="clear" w:color="auto" w:fill="FFFFFF"/>
        <w:jc w:val="center"/>
        <w:rPr>
          <w:rFonts w:ascii="Times New Roman" w:hAnsi="Times New Roman"/>
          <w:sz w:val="24"/>
          <w:szCs w:val="24"/>
        </w:rPr>
      </w:pPr>
      <w:r w:rsidRPr="00AB25DF">
        <w:rPr>
          <w:rFonts w:ascii="Times New Roman" w:hAnsi="Times New Roman"/>
          <w:sz w:val="24"/>
          <w:szCs w:val="24"/>
        </w:rPr>
        <w:t> </w:t>
      </w:r>
    </w:p>
    <w:p w:rsidR="0045641C" w:rsidRPr="00AB25DF" w:rsidRDefault="0045641C" w:rsidP="0045641C">
      <w:pPr>
        <w:spacing w:line="360" w:lineRule="auto"/>
        <w:ind w:firstLine="709"/>
        <w:rPr>
          <w:rFonts w:ascii="Times New Roman" w:hAnsi="Times New Roman"/>
          <w:sz w:val="24"/>
          <w:szCs w:val="24"/>
        </w:rPr>
      </w:pPr>
      <w:r w:rsidRPr="00AB25DF">
        <w:rPr>
          <w:rFonts w:ascii="Times New Roman" w:hAnsi="Times New Roman"/>
          <w:sz w:val="28"/>
          <w:szCs w:val="28"/>
        </w:rPr>
        <w:t xml:space="preserve">Верховна Рада України </w:t>
      </w:r>
      <w:r w:rsidRPr="00AB25DF">
        <w:rPr>
          <w:rFonts w:ascii="Times New Roman" w:hAnsi="Times New Roman"/>
          <w:b/>
          <w:bCs/>
          <w:sz w:val="28"/>
          <w:szCs w:val="28"/>
        </w:rPr>
        <w:t>п о с т а н о в л я є</w:t>
      </w:r>
      <w:r w:rsidRPr="00AB25DF">
        <w:rPr>
          <w:rFonts w:ascii="Times New Roman" w:hAnsi="Times New Roman"/>
          <w:sz w:val="28"/>
          <w:szCs w:val="28"/>
        </w:rPr>
        <w:t>:</w:t>
      </w:r>
    </w:p>
    <w:p w:rsidR="0045641C" w:rsidRPr="00AB25DF" w:rsidRDefault="0045641C" w:rsidP="0045641C">
      <w:pPr>
        <w:spacing w:line="360" w:lineRule="auto"/>
        <w:ind w:firstLine="709"/>
        <w:rPr>
          <w:rFonts w:ascii="Times New Roman" w:hAnsi="Times New Roman"/>
          <w:sz w:val="24"/>
          <w:szCs w:val="24"/>
        </w:rPr>
      </w:pPr>
    </w:p>
    <w:p w:rsidR="0045641C" w:rsidRPr="00AB25DF" w:rsidRDefault="0045641C" w:rsidP="0045641C">
      <w:pPr>
        <w:shd w:val="clear" w:color="auto" w:fill="FFFFFF"/>
        <w:spacing w:line="360" w:lineRule="auto"/>
        <w:ind w:firstLine="709"/>
        <w:jc w:val="both"/>
        <w:rPr>
          <w:rFonts w:ascii="Times New Roman" w:hAnsi="Times New Roman"/>
          <w:sz w:val="24"/>
          <w:szCs w:val="24"/>
        </w:rPr>
      </w:pPr>
      <w:r w:rsidRPr="00AB25DF">
        <w:rPr>
          <w:rFonts w:ascii="Times New Roman" w:hAnsi="Times New Roman"/>
          <w:sz w:val="28"/>
          <w:szCs w:val="28"/>
        </w:rPr>
        <w:t xml:space="preserve"> І. </w:t>
      </w:r>
      <w:proofErr w:type="spellStart"/>
      <w:r w:rsidRPr="00AB25DF">
        <w:rPr>
          <w:rFonts w:ascii="Times New Roman" w:hAnsi="Times New Roman"/>
          <w:sz w:val="28"/>
          <w:szCs w:val="28"/>
        </w:rPr>
        <w:t>Внести</w:t>
      </w:r>
      <w:proofErr w:type="spellEnd"/>
      <w:r w:rsidRPr="00AB25DF">
        <w:rPr>
          <w:rFonts w:ascii="Times New Roman" w:hAnsi="Times New Roman"/>
          <w:sz w:val="28"/>
          <w:szCs w:val="28"/>
        </w:rPr>
        <w:t xml:space="preserve"> до Податкового кодексу України (Відомості Верховної Ради України, 2011 р., № №13–17, ст.112) такі зміни:</w:t>
      </w:r>
    </w:p>
    <w:p w:rsidR="008C6602" w:rsidRPr="00AB25DF" w:rsidRDefault="008C6602" w:rsidP="008C6602">
      <w:pPr>
        <w:pStyle w:val="a3"/>
        <w:tabs>
          <w:tab w:val="left" w:pos="1134"/>
          <w:tab w:val="left" w:pos="1455"/>
        </w:tabs>
        <w:spacing w:before="100"/>
        <w:jc w:val="both"/>
        <w:rPr>
          <w:i/>
          <w:spacing w:val="-2"/>
          <w:lang w:val="uk-UA"/>
        </w:rPr>
      </w:pPr>
    </w:p>
    <w:p w:rsidR="008C6602" w:rsidRPr="00AB25DF" w:rsidRDefault="008C6602" w:rsidP="0045641C">
      <w:pPr>
        <w:pStyle w:val="a3"/>
        <w:numPr>
          <w:ilvl w:val="0"/>
          <w:numId w:val="2"/>
        </w:numPr>
        <w:tabs>
          <w:tab w:val="left" w:pos="1134"/>
          <w:tab w:val="left" w:pos="1488"/>
        </w:tabs>
        <w:spacing w:before="100"/>
        <w:jc w:val="both"/>
        <w:rPr>
          <w:spacing w:val="-2"/>
          <w:lang w:val="uk-UA"/>
        </w:rPr>
      </w:pPr>
      <w:r w:rsidRPr="00AB25DF">
        <w:rPr>
          <w:spacing w:val="-2"/>
          <w:lang w:val="uk-UA"/>
        </w:rPr>
        <w:t>Підпункт "е" підпункту 14.1.11 пункту 14.1 статті 14 викласти в такій редакції:</w:t>
      </w:r>
    </w:p>
    <w:p w:rsidR="008C6602" w:rsidRPr="00AB25DF" w:rsidRDefault="008C6602" w:rsidP="000A6D76">
      <w:pPr>
        <w:pStyle w:val="rvps2"/>
        <w:rPr>
          <w:i w:val="0"/>
          <w:color w:val="auto"/>
        </w:rPr>
      </w:pPr>
      <w:r w:rsidRPr="00AB25DF">
        <w:rPr>
          <w:i w:val="0"/>
          <w:color w:val="auto"/>
        </w:rPr>
        <w:t>“е) частина призового (виграшного) фонду лотереї, що станом на 31 грудня відповідного року залишилась невиплаченою з будь-яких причин переможцями такої гри у встановлений правилами проведення лотереї строк (термін) ”;</w:t>
      </w:r>
    </w:p>
    <w:p w:rsidR="008C6602" w:rsidRPr="00AB25DF" w:rsidRDefault="008C6602" w:rsidP="000A6D76">
      <w:pPr>
        <w:pStyle w:val="rvps2"/>
        <w:rPr>
          <w:i w:val="0"/>
          <w:color w:val="auto"/>
        </w:rPr>
      </w:pPr>
      <w:r w:rsidRPr="00AB25DF">
        <w:rPr>
          <w:i w:val="0"/>
          <w:color w:val="auto"/>
        </w:rPr>
        <w:t>У підпункті 14.1.46. пункту 14.1 статті 14 слова «лотерей, а також» виключити, доповнити підпункт 14.1.46. пункту 14.1 статті 14 після слів «призів (виграшів)» слова «та/або внесення плати за участь у грі, в тому числі», доповнити наступним реченням: «До діяльності у сфері розваг не відноситься діяльність з організації та проведення азартних ігор;</w:t>
      </w:r>
    </w:p>
    <w:p w:rsidR="008C6602" w:rsidRPr="00AB25DF" w:rsidRDefault="008C6602" w:rsidP="000A6D76">
      <w:pPr>
        <w:pStyle w:val="rvps2"/>
        <w:rPr>
          <w:i w:val="0"/>
          <w:color w:val="auto"/>
        </w:rPr>
      </w:pPr>
      <w:r w:rsidRPr="00AB25DF">
        <w:rPr>
          <w:i w:val="0"/>
          <w:color w:val="auto"/>
        </w:rPr>
        <w:t>Виключити підпункти 14.1.101., 14.1.197., 14.1.200. пункту 14.1 статті 14;</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lang w:eastAsia="uk-UA"/>
        </w:rPr>
        <w:t xml:space="preserve">У підпункті 14.1.271. пункту 14.1 статті 14 в абзаці першому слова «дохід суб’єктів, які здійснюють випуск та проведення лотерей, від операцій з випуску та проведення лотерей складається з» замінити словами «дохід від </w:t>
      </w:r>
      <w:r w:rsidRPr="00AB25DF">
        <w:rPr>
          <w:rFonts w:ascii="Times New Roman" w:hAnsi="Times New Roman"/>
          <w:sz w:val="28"/>
          <w:szCs w:val="28"/>
          <w:lang w:eastAsia="uk-UA"/>
        </w:rPr>
        <w:lastRenderedPageBreak/>
        <w:t>проведення лотерей визначається як сума»; слова «та суми» замінити словами «збільшена на суму»; в абзаці другому виключити слова «суб’єктів, які здійснюють випуск та проведення лотерей»; абзац четвертий доповнити реченням «Для цілей цього підпункту призовим (виграшним) фондом вважається сукупність виграшів (призів), а саме коштів, майна, майнових прав, які підлягають виплаті (видачі) гравцям у разі їх виграшу в лотерею відповідно до оприлюднених умов її випуску та проведення».</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lang w:eastAsia="uk-UA"/>
        </w:rPr>
        <w:t>Доповнити пункт 14.1. статті 14 підпунктами 14.1.</w:t>
      </w:r>
      <w:r w:rsidRPr="00AB25DF">
        <w:rPr>
          <w:rFonts w:ascii="Times New Roman" w:hAnsi="Times New Roman"/>
          <w:sz w:val="28"/>
          <w:szCs w:val="28"/>
          <w:lang w:val="ru-RU"/>
        </w:rPr>
        <w:t>271</w:t>
      </w:r>
      <w:r w:rsidRPr="00AB25DF">
        <w:rPr>
          <w:rFonts w:ascii="Times New Roman" w:hAnsi="Times New Roman"/>
          <w:sz w:val="28"/>
          <w:szCs w:val="28"/>
          <w:vertAlign w:val="superscript"/>
          <w:lang w:val="ru-RU"/>
        </w:rPr>
        <w:t>1</w:t>
      </w:r>
      <w:r w:rsidRPr="00AB25DF">
        <w:rPr>
          <w:rFonts w:ascii="Times New Roman" w:hAnsi="Times New Roman"/>
          <w:sz w:val="28"/>
          <w:szCs w:val="28"/>
          <w:lang w:eastAsia="uk-UA"/>
        </w:rPr>
        <w:t xml:space="preserve"> та 14.1.278 наступного змісту:</w:t>
      </w:r>
    </w:p>
    <w:p w:rsidR="008C6602" w:rsidRPr="00AB25DF" w:rsidRDefault="008C6602" w:rsidP="000A6D76">
      <w:pPr>
        <w:pStyle w:val="rvps2"/>
        <w:rPr>
          <w:i w:val="0"/>
          <w:color w:val="auto"/>
        </w:rPr>
      </w:pPr>
      <w:r w:rsidRPr="00AB25DF">
        <w:rPr>
          <w:i w:val="0"/>
          <w:color w:val="auto"/>
        </w:rPr>
        <w:t>«14.1.271</w:t>
      </w:r>
      <w:r w:rsidRPr="00AB25DF">
        <w:rPr>
          <w:i w:val="0"/>
          <w:color w:val="auto"/>
          <w:vertAlign w:val="superscript"/>
        </w:rPr>
        <w:t>1</w:t>
      </w:r>
      <w:r w:rsidRPr="00AB25DF">
        <w:rPr>
          <w:i w:val="0"/>
          <w:color w:val="auto"/>
        </w:rPr>
        <w:t>. дохід від проведення азартних ігор, крім лотерей, визначається як сума отриманих організатором азартних ігор ставок в азартні ігри зменшена на суму виплачених гравцям протягом цього звітного періоду виграшів в азартні ігри.»;</w:t>
      </w:r>
    </w:p>
    <w:p w:rsidR="008C6602" w:rsidRPr="00AB25DF" w:rsidRDefault="008C6602" w:rsidP="000A6D76">
      <w:pPr>
        <w:pStyle w:val="rvps2"/>
        <w:rPr>
          <w:i w:val="0"/>
          <w:color w:val="auto"/>
        </w:rPr>
      </w:pPr>
      <w:r w:rsidRPr="00AB25DF">
        <w:rPr>
          <w:i w:val="0"/>
          <w:color w:val="auto"/>
        </w:rPr>
        <w:t xml:space="preserve">«14.1.278 приз (виграш) - кошти, майно, майнові права, які  виплачуються або передаються учасникам  азартних ігор, розіграшів або спортивних змагань (в тому числі аматорських) відповідно до умов їх проведення»;  </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lang w:eastAsia="uk-UA"/>
        </w:rPr>
        <w:t>Доповнити статтю 14 пунктом 14.3. наступного змісту:</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lang w:eastAsia="uk-UA"/>
        </w:rPr>
        <w:t>«14.3 Терміни у сфері організації та проведення азартних ігор, не наведені у даній статті, вживаються з урахуванням Закону України «Про державне регулювання діяльності у сфері організації та проведення азартних ігор»;</w:t>
      </w:r>
    </w:p>
    <w:p w:rsidR="008C6602" w:rsidRPr="00AB25DF" w:rsidRDefault="008C6602" w:rsidP="0045641C">
      <w:pPr>
        <w:pStyle w:val="a5"/>
        <w:numPr>
          <w:ilvl w:val="0"/>
          <w:numId w:val="2"/>
        </w:numPr>
        <w:spacing w:before="100"/>
        <w:jc w:val="both"/>
        <w:rPr>
          <w:rFonts w:ascii="Times New Roman" w:hAnsi="Times New Roman"/>
          <w:sz w:val="28"/>
          <w:szCs w:val="28"/>
          <w:shd w:val="clear" w:color="auto" w:fill="FFFFFF"/>
        </w:rPr>
      </w:pPr>
      <w:r w:rsidRPr="00AB25DF">
        <w:rPr>
          <w:rFonts w:ascii="Times New Roman" w:hAnsi="Times New Roman"/>
          <w:sz w:val="28"/>
          <w:szCs w:val="28"/>
          <w:shd w:val="clear" w:color="auto" w:fill="FFFFFF"/>
        </w:rPr>
        <w:t xml:space="preserve">Підпункт </w:t>
      </w:r>
      <w:r w:rsidRPr="00AB25DF">
        <w:rPr>
          <w:rFonts w:ascii="Times New Roman" w:hAnsi="Times New Roman"/>
          <w:sz w:val="28"/>
          <w:szCs w:val="28"/>
          <w:shd w:val="clear" w:color="auto" w:fill="FFFFFF"/>
          <w:lang w:val="ru-RU"/>
        </w:rPr>
        <w:t>20.1.40</w:t>
      </w:r>
      <w:r w:rsidRPr="00AB25DF">
        <w:rPr>
          <w:rFonts w:ascii="Times New Roman" w:hAnsi="Times New Roman"/>
          <w:sz w:val="28"/>
          <w:szCs w:val="28"/>
          <w:shd w:val="clear" w:color="auto" w:fill="FFFFFF"/>
        </w:rPr>
        <w:t xml:space="preserve"> пункту 20.1 статті 20 виключити;</w:t>
      </w:r>
    </w:p>
    <w:p w:rsidR="008C6602" w:rsidRPr="00AB25DF" w:rsidRDefault="008C6602" w:rsidP="008C6602">
      <w:pPr>
        <w:spacing w:before="100"/>
        <w:ind w:firstLine="851"/>
        <w:jc w:val="both"/>
        <w:rPr>
          <w:rFonts w:ascii="Times New Roman" w:hAnsi="Times New Roman"/>
          <w:sz w:val="28"/>
          <w:szCs w:val="28"/>
          <w:shd w:val="clear" w:color="auto" w:fill="FFFFFF"/>
        </w:rPr>
      </w:pPr>
      <w:r w:rsidRPr="00AB25DF">
        <w:rPr>
          <w:rFonts w:ascii="Times New Roman" w:hAnsi="Times New Roman"/>
          <w:sz w:val="28"/>
          <w:szCs w:val="28"/>
          <w:shd w:val="clear" w:color="auto" w:fill="FFFFFF"/>
        </w:rPr>
        <w:t xml:space="preserve">Підпункт </w:t>
      </w:r>
      <w:r w:rsidRPr="00AB25DF">
        <w:rPr>
          <w:rFonts w:ascii="Times New Roman" w:hAnsi="Times New Roman"/>
          <w:sz w:val="28"/>
          <w:szCs w:val="28"/>
          <w:shd w:val="clear" w:color="auto" w:fill="FFFFFF"/>
          <w:lang w:val="ru-RU"/>
        </w:rPr>
        <w:t>20.1.46</w:t>
      </w:r>
      <w:r w:rsidRPr="00AB25DF">
        <w:rPr>
          <w:rFonts w:ascii="Times New Roman" w:hAnsi="Times New Roman"/>
          <w:sz w:val="28"/>
          <w:szCs w:val="28"/>
          <w:shd w:val="clear" w:color="auto" w:fill="FFFFFF"/>
        </w:rPr>
        <w:t xml:space="preserve"> пункту 20.1 статті 20 вважати підпунктом </w:t>
      </w:r>
      <w:r w:rsidRPr="00AB25DF">
        <w:rPr>
          <w:rFonts w:ascii="Times New Roman" w:hAnsi="Times New Roman"/>
          <w:sz w:val="28"/>
          <w:szCs w:val="28"/>
          <w:shd w:val="clear" w:color="auto" w:fill="FFFFFF"/>
          <w:lang w:val="ru-RU"/>
        </w:rPr>
        <w:t>20.1.47</w:t>
      </w:r>
      <w:r w:rsidRPr="00AB25DF">
        <w:rPr>
          <w:rFonts w:ascii="Times New Roman" w:hAnsi="Times New Roman"/>
          <w:sz w:val="28"/>
          <w:szCs w:val="28"/>
          <w:shd w:val="clear" w:color="auto" w:fill="FFFFFF"/>
        </w:rPr>
        <w:t xml:space="preserve"> пункту 20.1 статті 20;</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shd w:val="clear" w:color="auto" w:fill="FFFFFF"/>
        </w:rPr>
        <w:t xml:space="preserve">Підпункт </w:t>
      </w:r>
      <w:r w:rsidRPr="00AB25DF">
        <w:rPr>
          <w:rFonts w:ascii="Times New Roman" w:hAnsi="Times New Roman"/>
          <w:sz w:val="28"/>
          <w:szCs w:val="28"/>
          <w:shd w:val="clear" w:color="auto" w:fill="FFFFFF"/>
          <w:lang w:val="ru-RU"/>
        </w:rPr>
        <w:t>20.1.46</w:t>
      </w:r>
      <w:r w:rsidRPr="00AB25DF">
        <w:rPr>
          <w:rFonts w:ascii="Times New Roman" w:hAnsi="Times New Roman"/>
          <w:sz w:val="28"/>
          <w:szCs w:val="28"/>
          <w:shd w:val="clear" w:color="auto" w:fill="FFFFFF"/>
        </w:rPr>
        <w:t xml:space="preserve"> пункту 20.1 статті 20 викласти в наступній редакції:</w:t>
      </w:r>
    </w:p>
    <w:p w:rsidR="008C6602" w:rsidRPr="00AB25DF" w:rsidRDefault="008C6602" w:rsidP="008C6602">
      <w:pPr>
        <w:spacing w:before="100"/>
        <w:ind w:firstLine="851"/>
        <w:jc w:val="both"/>
        <w:rPr>
          <w:rFonts w:ascii="Times New Roman" w:hAnsi="Times New Roman"/>
          <w:sz w:val="28"/>
          <w:szCs w:val="28"/>
          <w:shd w:val="clear" w:color="auto" w:fill="FFFFFF"/>
        </w:rPr>
      </w:pPr>
      <w:r w:rsidRPr="00AB25DF">
        <w:rPr>
          <w:rFonts w:ascii="Times New Roman" w:hAnsi="Times New Roman"/>
          <w:sz w:val="28"/>
          <w:szCs w:val="28"/>
          <w:shd w:val="clear" w:color="auto" w:fill="FFFFFF"/>
        </w:rPr>
        <w:t>«отримувати безоплатно безпосередній доступ до системи онлайн моніторингу, ведення якої передбачено Законом України «Про державне регулювання діяльності щодо організації та проведення азартних ігор» для забезпечення контролю за сплатою податків та здійснення інших повноважень, виконання яких покладено на контролюючі органи»;</w:t>
      </w:r>
    </w:p>
    <w:p w:rsidR="008C6602" w:rsidRPr="00AB25DF" w:rsidRDefault="008C6602" w:rsidP="0045641C">
      <w:pPr>
        <w:pStyle w:val="a5"/>
        <w:numPr>
          <w:ilvl w:val="0"/>
          <w:numId w:val="2"/>
        </w:numPr>
        <w:spacing w:before="100"/>
        <w:jc w:val="both"/>
        <w:rPr>
          <w:rFonts w:ascii="Times New Roman" w:hAnsi="Times New Roman"/>
          <w:sz w:val="28"/>
          <w:szCs w:val="28"/>
          <w:lang w:eastAsia="uk-UA"/>
        </w:rPr>
      </w:pPr>
      <w:r w:rsidRPr="00AB25DF">
        <w:rPr>
          <w:rFonts w:ascii="Times New Roman" w:hAnsi="Times New Roman"/>
          <w:sz w:val="28"/>
          <w:szCs w:val="28"/>
          <w:lang w:eastAsia="uk-UA"/>
        </w:rPr>
        <w:t>Доповнити підпункт 72.1.2 пункту 72.1 статті 72 абзацом 7 наступного змісту:</w:t>
      </w:r>
    </w:p>
    <w:p w:rsidR="008C6602" w:rsidRPr="00AB25DF" w:rsidRDefault="008C6602" w:rsidP="000A6D76">
      <w:pPr>
        <w:pStyle w:val="rvps2"/>
        <w:rPr>
          <w:i w:val="0"/>
          <w:color w:val="auto"/>
          <w:shd w:val="clear" w:color="auto" w:fill="FFFFFF"/>
        </w:rPr>
      </w:pPr>
      <w:r w:rsidRPr="00AB25DF">
        <w:rPr>
          <w:i w:val="0"/>
          <w:color w:val="auto"/>
          <w:shd w:val="clear" w:color="auto" w:fill="FFFFFF"/>
        </w:rPr>
        <w:t>«що міститься у системі онлайн моніторингу, ведення якої передбачено Законом України «Про державне регулювання діяльності щодо організації та проведення азартних ігор», поданих організаторами азартних ігор, базах даних, системах, реєстрах, у тому числі електронних, щодо організації та діяльності азартних ігор, випуску та проведення лотерей.</w:t>
      </w:r>
    </w:p>
    <w:p w:rsidR="008C6602" w:rsidRPr="00AB25DF" w:rsidRDefault="008C6602" w:rsidP="008C6602">
      <w:pPr>
        <w:spacing w:before="100"/>
        <w:ind w:firstLine="851"/>
        <w:jc w:val="both"/>
        <w:rPr>
          <w:rFonts w:ascii="Times New Roman" w:hAnsi="Times New Roman"/>
          <w:sz w:val="28"/>
          <w:szCs w:val="28"/>
          <w:shd w:val="clear" w:color="auto" w:fill="FFFFFF"/>
        </w:rPr>
      </w:pPr>
    </w:p>
    <w:p w:rsidR="008C6602" w:rsidRPr="00AB25DF" w:rsidRDefault="008C6602" w:rsidP="0045641C">
      <w:pPr>
        <w:pStyle w:val="a5"/>
        <w:numPr>
          <w:ilvl w:val="0"/>
          <w:numId w:val="2"/>
        </w:numPr>
        <w:spacing w:before="100"/>
        <w:jc w:val="both"/>
        <w:rPr>
          <w:rFonts w:ascii="Times New Roman" w:hAnsi="Times New Roman"/>
          <w:sz w:val="28"/>
          <w:szCs w:val="28"/>
          <w:lang w:eastAsia="uk-UA"/>
        </w:rPr>
      </w:pPr>
      <w:r w:rsidRPr="00AB25DF">
        <w:rPr>
          <w:rFonts w:ascii="Times New Roman" w:hAnsi="Times New Roman"/>
          <w:sz w:val="28"/>
          <w:szCs w:val="28"/>
          <w:shd w:val="clear" w:color="auto" w:fill="FFFFFF"/>
        </w:rPr>
        <w:t>Підпункт 134.1.4. пункту 134.1. статті 134 викласти в наступній редакції:</w:t>
      </w:r>
    </w:p>
    <w:p w:rsidR="008C6602" w:rsidRPr="00AB25DF" w:rsidRDefault="008C6602" w:rsidP="000A6D76">
      <w:pPr>
        <w:pStyle w:val="rvps2"/>
        <w:rPr>
          <w:i w:val="0"/>
          <w:strike/>
          <w:color w:val="auto"/>
        </w:rPr>
      </w:pPr>
      <w:r w:rsidRPr="00AB25DF">
        <w:rPr>
          <w:i w:val="0"/>
          <w:color w:val="auto"/>
        </w:rPr>
        <w:lastRenderedPageBreak/>
        <w:t>«134.1.4. дохід від проведення лотерей»;</w:t>
      </w:r>
    </w:p>
    <w:p w:rsidR="008C6602" w:rsidRPr="00AB25DF" w:rsidRDefault="008C6602" w:rsidP="008C6602">
      <w:pPr>
        <w:spacing w:before="100"/>
        <w:ind w:firstLine="851"/>
        <w:jc w:val="both"/>
        <w:rPr>
          <w:rFonts w:ascii="Times New Roman" w:hAnsi="Times New Roman"/>
          <w:sz w:val="28"/>
          <w:szCs w:val="28"/>
          <w:lang w:eastAsia="uk-UA"/>
        </w:rPr>
      </w:pPr>
      <w:r w:rsidRPr="00AB25DF">
        <w:rPr>
          <w:rFonts w:ascii="Times New Roman" w:hAnsi="Times New Roman"/>
          <w:sz w:val="28"/>
          <w:szCs w:val="28"/>
          <w:shd w:val="clear" w:color="auto" w:fill="FFFFFF"/>
        </w:rPr>
        <w:t>Підпункт 134.1.5. пункту 134.1. статті 134 викласти в наступній редакції:</w:t>
      </w:r>
    </w:p>
    <w:p w:rsidR="008C6602" w:rsidRPr="00AB25DF" w:rsidRDefault="008C6602" w:rsidP="000A6D76">
      <w:pPr>
        <w:pStyle w:val="rvps2"/>
        <w:rPr>
          <w:i w:val="0"/>
          <w:color w:val="auto"/>
        </w:rPr>
      </w:pPr>
      <w:r w:rsidRPr="00AB25DF">
        <w:rPr>
          <w:i w:val="0"/>
          <w:color w:val="auto"/>
        </w:rPr>
        <w:t>«134.1.5. дохід від проведення азартних ігор, крім лотерей»;</w:t>
      </w:r>
    </w:p>
    <w:p w:rsidR="008C6602" w:rsidRPr="00AB25DF" w:rsidRDefault="008C6602" w:rsidP="0045641C">
      <w:pPr>
        <w:pStyle w:val="a3"/>
        <w:numPr>
          <w:ilvl w:val="0"/>
          <w:numId w:val="2"/>
        </w:numPr>
        <w:tabs>
          <w:tab w:val="left" w:pos="1134"/>
          <w:tab w:val="left" w:pos="1488"/>
        </w:tabs>
        <w:spacing w:before="100"/>
        <w:jc w:val="both"/>
        <w:rPr>
          <w:lang w:val="uk-UA"/>
        </w:rPr>
      </w:pPr>
      <w:r w:rsidRPr="00AB25DF">
        <w:rPr>
          <w:lang w:val="uk-UA" w:eastAsia="uk-UA"/>
        </w:rPr>
        <w:t xml:space="preserve">У пункті 136.4 статті 136 </w:t>
      </w:r>
      <w:r w:rsidRPr="00AB25DF">
        <w:rPr>
          <w:lang w:val="uk-UA"/>
        </w:rPr>
        <w:t>слова «букмекерської діяльності, азартних ігор (у тому числі казино)» замінити словами «діяльності з організації та проведення азартних ігор»;</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Підпункти 136.4.1., 136.4.2. пункту 136.4. статті 136 викласти в наступній редакції:</w:t>
      </w:r>
    </w:p>
    <w:p w:rsidR="008C6602" w:rsidRPr="00AB25DF" w:rsidRDefault="008C6602" w:rsidP="000A6D76">
      <w:pPr>
        <w:pStyle w:val="rvps2"/>
        <w:rPr>
          <w:i w:val="0"/>
          <w:color w:val="auto"/>
        </w:rPr>
      </w:pPr>
      <w:r w:rsidRPr="00AB25DF">
        <w:rPr>
          <w:i w:val="0"/>
          <w:color w:val="auto"/>
          <w:lang w:eastAsia="en-US"/>
        </w:rPr>
        <w:t>«</w:t>
      </w:r>
      <w:r w:rsidRPr="00AB25DF">
        <w:rPr>
          <w:i w:val="0"/>
          <w:color w:val="auto"/>
        </w:rPr>
        <w:t xml:space="preserve">136.4.1. </w:t>
      </w:r>
      <w:r w:rsidR="001D16EB" w:rsidRPr="00AB25DF">
        <w:rPr>
          <w:i w:val="0"/>
          <w:color w:val="auto"/>
        </w:rPr>
        <w:t>2</w:t>
      </w:r>
      <w:r w:rsidRPr="00AB25DF">
        <w:rPr>
          <w:i w:val="0"/>
          <w:color w:val="auto"/>
        </w:rPr>
        <w:t>5 відсотк</w:t>
      </w:r>
      <w:r w:rsidR="0050206A" w:rsidRPr="00AB25DF">
        <w:rPr>
          <w:i w:val="0"/>
          <w:color w:val="auto"/>
        </w:rPr>
        <w:t xml:space="preserve">ів від доходу </w:t>
      </w:r>
      <w:r w:rsidRPr="00AB25DF">
        <w:rPr>
          <w:i w:val="0"/>
          <w:color w:val="auto"/>
        </w:rPr>
        <w:t>організації та проведення азартних іг</w:t>
      </w:r>
      <w:r w:rsidR="0050206A" w:rsidRPr="00AB25DF">
        <w:rPr>
          <w:i w:val="0"/>
          <w:color w:val="auto"/>
        </w:rPr>
        <w:t>ор казино через мережу Інтернет, організації та проведення ігор в залах гральних автоматів</w:t>
      </w:r>
      <w:r w:rsidRPr="00AB25DF">
        <w:rPr>
          <w:i w:val="0"/>
          <w:color w:val="auto"/>
        </w:rPr>
        <w:t>;</w:t>
      </w:r>
    </w:p>
    <w:p w:rsidR="008C6602" w:rsidRPr="00AB25DF" w:rsidRDefault="008C6602" w:rsidP="000A6D76">
      <w:pPr>
        <w:pStyle w:val="rvps2"/>
        <w:rPr>
          <w:i w:val="0"/>
          <w:color w:val="auto"/>
        </w:rPr>
      </w:pPr>
      <w:r w:rsidRPr="00AB25DF">
        <w:rPr>
          <w:i w:val="0"/>
          <w:color w:val="auto"/>
        </w:rPr>
        <w:t xml:space="preserve">«136.4.2. </w:t>
      </w:r>
      <w:r w:rsidR="001D16EB" w:rsidRPr="00AB25DF">
        <w:rPr>
          <w:i w:val="0"/>
          <w:color w:val="auto"/>
        </w:rPr>
        <w:t>2</w:t>
      </w:r>
      <w:r w:rsidRPr="00AB25DF">
        <w:rPr>
          <w:i w:val="0"/>
          <w:color w:val="auto"/>
        </w:rPr>
        <w:t>5 відсотків від доходу, отриманого від організації та пров</w:t>
      </w:r>
      <w:r w:rsidR="0050206A" w:rsidRPr="00AB25DF">
        <w:rPr>
          <w:i w:val="0"/>
          <w:color w:val="auto"/>
        </w:rPr>
        <w:t>едення букмекерської діяльності</w:t>
      </w:r>
      <w:r w:rsidRPr="00AB25DF">
        <w:rPr>
          <w:i w:val="0"/>
          <w:color w:val="auto"/>
        </w:rPr>
        <w:t xml:space="preserve">; </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Доповнити пункт 136.4. статті 136 підпунктом 136.4.3. наступного змісту:</w:t>
      </w:r>
    </w:p>
    <w:p w:rsidR="008C6602" w:rsidRPr="00AB25DF" w:rsidRDefault="008C6602" w:rsidP="000A6D76">
      <w:pPr>
        <w:pStyle w:val="rvps2"/>
        <w:rPr>
          <w:i w:val="0"/>
          <w:color w:val="auto"/>
        </w:rPr>
      </w:pPr>
      <w:r w:rsidRPr="00AB25DF">
        <w:rPr>
          <w:i w:val="0"/>
          <w:color w:val="auto"/>
        </w:rPr>
        <w:t xml:space="preserve">«136.4.3. </w:t>
      </w:r>
      <w:r w:rsidR="001D16EB" w:rsidRPr="00AB25DF">
        <w:rPr>
          <w:i w:val="0"/>
          <w:color w:val="auto"/>
          <w:lang w:val="ru-RU"/>
        </w:rPr>
        <w:t>25</w:t>
      </w:r>
      <w:r w:rsidR="00DD1B3A">
        <w:rPr>
          <w:i w:val="0"/>
          <w:color w:val="auto"/>
        </w:rPr>
        <w:t xml:space="preserve"> відсотків</w:t>
      </w:r>
      <w:r w:rsidRPr="00AB25DF">
        <w:rPr>
          <w:i w:val="0"/>
          <w:color w:val="auto"/>
        </w:rPr>
        <w:t xml:space="preserve"> від доходу від проведення державних лотерей.»;</w:t>
      </w:r>
    </w:p>
    <w:p w:rsidR="008C6602" w:rsidRPr="00AB25DF" w:rsidRDefault="008C6602" w:rsidP="000A6D76">
      <w:pPr>
        <w:pStyle w:val="rvps2"/>
        <w:rPr>
          <w:i w:val="0"/>
          <w:color w:val="auto"/>
        </w:rPr>
      </w:pPr>
      <w:r w:rsidRPr="00AB25DF">
        <w:rPr>
          <w:i w:val="0"/>
          <w:color w:val="auto"/>
        </w:rPr>
        <w:t>Пункт 136.6. статті 136 виключити;</w:t>
      </w:r>
      <w:bookmarkStart w:id="1" w:name="_GoBack"/>
      <w:bookmarkEnd w:id="1"/>
    </w:p>
    <w:p w:rsidR="008C6602" w:rsidRPr="00AB25DF" w:rsidRDefault="008C6602" w:rsidP="0045641C">
      <w:pPr>
        <w:pStyle w:val="rvps2"/>
        <w:numPr>
          <w:ilvl w:val="0"/>
          <w:numId w:val="2"/>
        </w:numPr>
        <w:rPr>
          <w:i w:val="0"/>
          <w:color w:val="auto"/>
        </w:rPr>
      </w:pPr>
      <w:r w:rsidRPr="00AB25DF">
        <w:rPr>
          <w:i w:val="0"/>
          <w:color w:val="auto"/>
        </w:rPr>
        <w:t>У пункті 137.8. статті 137 слова «випуск та проведення лотерей» замінити совами «організацію та проведення азартних ігор»;</w:t>
      </w:r>
    </w:p>
    <w:p w:rsidR="008C6602" w:rsidRPr="00AB25DF" w:rsidRDefault="008C6602" w:rsidP="0045641C">
      <w:pPr>
        <w:pStyle w:val="a3"/>
        <w:numPr>
          <w:ilvl w:val="0"/>
          <w:numId w:val="2"/>
        </w:numPr>
        <w:tabs>
          <w:tab w:val="left" w:pos="1134"/>
          <w:tab w:val="left" w:pos="1488"/>
        </w:tabs>
        <w:spacing w:before="100"/>
        <w:jc w:val="both"/>
        <w:rPr>
          <w:b/>
          <w:lang w:val="ru-RU"/>
        </w:rPr>
      </w:pPr>
      <w:r w:rsidRPr="00AB25DF">
        <w:rPr>
          <w:spacing w:val="-2"/>
          <w:lang w:val="uk-UA"/>
        </w:rPr>
        <w:t>У Підпункті "і" підпункту 141.4.1 пункту 141.4 статті 141 виключити слова «</w:t>
      </w:r>
      <w:r w:rsidRPr="00AB25DF">
        <w:rPr>
          <w:lang w:val="uk-UA"/>
        </w:rPr>
        <w:t>(крім діяльності з проведення лотереї)»;</w:t>
      </w:r>
    </w:p>
    <w:p w:rsidR="008C6602" w:rsidRPr="00AB25DF" w:rsidRDefault="008C6602" w:rsidP="000A6D76">
      <w:pPr>
        <w:pStyle w:val="rvps2"/>
        <w:rPr>
          <w:i w:val="0"/>
          <w:color w:val="auto"/>
        </w:rPr>
      </w:pPr>
      <w:r w:rsidRPr="00AB25DF">
        <w:rPr>
          <w:i w:val="0"/>
          <w:color w:val="auto"/>
        </w:rPr>
        <w:t xml:space="preserve">У пункті 141.5. статті 141 </w:t>
      </w:r>
      <w:r w:rsidRPr="00AB25DF">
        <w:rPr>
          <w:i w:val="0"/>
          <w:color w:val="auto"/>
          <w:spacing w:val="-2"/>
          <w:lang w:val="ru-RU"/>
        </w:rPr>
        <w:t>слова «</w:t>
      </w:r>
      <w:r w:rsidRPr="00AB25DF">
        <w:rPr>
          <w:i w:val="0"/>
          <w:color w:val="auto"/>
        </w:rPr>
        <w:t>букмекерської діяльності, азартних ігор (у тому числі казино)» замінити словами «діяльності з організації та проведення азартних ігор»;</w:t>
      </w:r>
    </w:p>
    <w:p w:rsidR="008C6602" w:rsidRPr="00AB25DF" w:rsidRDefault="008C6602" w:rsidP="008C6602">
      <w:pPr>
        <w:pStyle w:val="a3"/>
        <w:tabs>
          <w:tab w:val="left" w:pos="1134"/>
          <w:tab w:val="left" w:pos="1488"/>
        </w:tabs>
        <w:spacing w:before="100"/>
        <w:ind w:left="0" w:firstLine="851"/>
        <w:jc w:val="both"/>
        <w:rPr>
          <w:lang w:val="uk-UA"/>
        </w:rPr>
      </w:pPr>
      <w:r w:rsidRPr="00AB25DF">
        <w:rPr>
          <w:b/>
          <w:lang w:val="uk-UA"/>
        </w:rPr>
        <w:t xml:space="preserve"> </w:t>
      </w:r>
      <w:r w:rsidRPr="00AB25DF">
        <w:rPr>
          <w:lang w:val="uk-UA"/>
        </w:rPr>
        <w:t>У  абзаці першому підпункту 141.5.1. пункту 141.5. статті 141 слова «букмекерську діяльність, азартних ігор (у тому числі казино)» замінити словами «діяльність з організації та проведення азартних ігор», цифри «136.4.1, 136.4.2» замінити цифрами «136.4.1 - 136.4.3»;</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У абзаці другому підпункту 141.5.1. пункту 141.5. статті 141 слова «букмекерську діяльність, організацію та проведення азартних ігор (у тому числі казино)» замінити словами «діяльність з  організації та проведення азартних ігор», цифри «136.4.1, 136.4.2» замінити цифрами «136.4.1 - 136.4.3», слова «не є різницею та не зменшує» замінити словами «є різницею та зменшує»;</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Підпункт 141.8. статті 141 виключити;</w:t>
      </w:r>
    </w:p>
    <w:p w:rsidR="008C6602" w:rsidRPr="00AB25DF" w:rsidRDefault="00A4029A" w:rsidP="0045641C">
      <w:pPr>
        <w:pStyle w:val="a3"/>
        <w:numPr>
          <w:ilvl w:val="0"/>
          <w:numId w:val="2"/>
        </w:numPr>
        <w:tabs>
          <w:tab w:val="left" w:pos="1134"/>
          <w:tab w:val="left" w:pos="1488"/>
        </w:tabs>
        <w:spacing w:before="100"/>
        <w:jc w:val="both"/>
        <w:rPr>
          <w:lang w:val="uk-UA"/>
        </w:rPr>
      </w:pPr>
      <w:r w:rsidRPr="00AB25DF">
        <w:rPr>
          <w:lang w:val="uk-UA"/>
        </w:rPr>
        <w:t>Підпункт 164.2.8 п</w:t>
      </w:r>
      <w:r w:rsidR="008C6602" w:rsidRPr="00AB25DF">
        <w:rPr>
          <w:lang w:val="uk-UA"/>
        </w:rPr>
        <w:t>ункт</w:t>
      </w:r>
      <w:r w:rsidRPr="00AB25DF">
        <w:rPr>
          <w:lang w:val="uk-UA"/>
        </w:rPr>
        <w:t>у</w:t>
      </w:r>
      <w:r w:rsidR="008C6602" w:rsidRPr="00AB25DF">
        <w:rPr>
          <w:lang w:val="uk-UA"/>
        </w:rPr>
        <w:t xml:space="preserve"> 164.2. статті 164 доповнити словами «</w:t>
      </w:r>
      <w:r w:rsidR="008C6602" w:rsidRPr="00AB25DF">
        <w:rPr>
          <w:shd w:val="clear" w:color="auto" w:fill="FFFFFF"/>
          <w:lang w:val="uk-UA"/>
        </w:rPr>
        <w:t>крім виграшів в азартній грі»;</w:t>
      </w:r>
    </w:p>
    <w:p w:rsidR="008C6602" w:rsidRPr="00AB25DF" w:rsidRDefault="008C6602" w:rsidP="0045641C">
      <w:pPr>
        <w:pStyle w:val="a3"/>
        <w:numPr>
          <w:ilvl w:val="0"/>
          <w:numId w:val="2"/>
        </w:numPr>
        <w:tabs>
          <w:tab w:val="left" w:pos="1134"/>
          <w:tab w:val="left" w:pos="1488"/>
        </w:tabs>
        <w:spacing w:before="100"/>
        <w:jc w:val="both"/>
        <w:rPr>
          <w:lang w:val="uk-UA"/>
        </w:rPr>
      </w:pPr>
      <w:r w:rsidRPr="00AB25DF">
        <w:rPr>
          <w:lang w:val="uk-UA"/>
        </w:rPr>
        <w:t>Доповнити пункт 165.1. статті 165 пунктом 165.1.60 наступного змісту:</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lastRenderedPageBreak/>
        <w:t>«165.1.60. сума виграшів в азартній грі.»;</w:t>
      </w:r>
    </w:p>
    <w:p w:rsidR="008C6602" w:rsidRPr="00AB25DF" w:rsidRDefault="00A4029A" w:rsidP="00A4029A">
      <w:pPr>
        <w:pStyle w:val="a3"/>
        <w:numPr>
          <w:ilvl w:val="0"/>
          <w:numId w:val="2"/>
        </w:numPr>
        <w:tabs>
          <w:tab w:val="left" w:pos="1134"/>
          <w:tab w:val="left" w:pos="1488"/>
        </w:tabs>
        <w:spacing w:before="100"/>
        <w:jc w:val="both"/>
        <w:rPr>
          <w:lang w:val="uk-UA"/>
        </w:rPr>
      </w:pPr>
      <w:r w:rsidRPr="00AB25DF">
        <w:rPr>
          <w:lang w:val="uk-UA"/>
        </w:rPr>
        <w:t xml:space="preserve"> </w:t>
      </w:r>
      <w:r w:rsidR="008C6602" w:rsidRPr="00AB25DF">
        <w:rPr>
          <w:lang w:val="uk-UA"/>
        </w:rPr>
        <w:t>Підпункт 170.6.1 пункту 170.6. статті 170 викласти у наступній редакції:</w:t>
      </w:r>
    </w:p>
    <w:p w:rsidR="008C6602" w:rsidRPr="00AB25DF" w:rsidRDefault="008C6602" w:rsidP="000A6D76">
      <w:pPr>
        <w:pStyle w:val="rvps2"/>
        <w:rPr>
          <w:i w:val="0"/>
          <w:color w:val="auto"/>
        </w:rPr>
      </w:pPr>
      <w:r w:rsidRPr="00AB25DF">
        <w:rPr>
          <w:i w:val="0"/>
          <w:color w:val="auto"/>
        </w:rPr>
        <w:t>«Податковим агентом платника податку під час нарахування (виплати, надання) на його користь доходу у вигляді виграшів (призів), у тому числі призів та виграшів у грошовій формі, одержаних за перемогу та/або участь в аматорських спортивних змаганнях, у тому числі у більярдному спорті, крім виграшів (призів) від участі в азартних іграх, є особа, яка здійснює таке нарахування (виплату).</w:t>
      </w:r>
    </w:p>
    <w:p w:rsidR="00A4029A" w:rsidRPr="00AB25DF" w:rsidRDefault="008C6602" w:rsidP="00A4029A">
      <w:pPr>
        <w:pStyle w:val="rvps2"/>
        <w:rPr>
          <w:i w:val="0"/>
          <w:color w:val="auto"/>
        </w:rPr>
      </w:pPr>
      <w:r w:rsidRPr="00AB25DF">
        <w:rPr>
          <w:i w:val="0"/>
          <w:color w:val="auto"/>
        </w:rPr>
        <w:t>Організатор азартних ігор, який здійснює виплату гравцю доходу у вигляді виграшу у азартній грі  у розмірі, що підлягає обов’язковому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виконує функції податкового агента в частині подання інформації до контролюючого органу щодо суми такого доходу в порядку, встановленому цим розділом для податкового розрахунку.»</w:t>
      </w:r>
    </w:p>
    <w:p w:rsidR="008C6602" w:rsidRPr="00AB25DF" w:rsidRDefault="00A4029A" w:rsidP="00A4029A">
      <w:pPr>
        <w:pStyle w:val="a3"/>
        <w:tabs>
          <w:tab w:val="left" w:pos="709"/>
        </w:tabs>
        <w:spacing w:before="100"/>
        <w:ind w:left="0" w:firstLine="0"/>
        <w:jc w:val="both"/>
        <w:rPr>
          <w:lang w:val="uk-UA"/>
        </w:rPr>
      </w:pPr>
      <w:r w:rsidRPr="00AB25DF">
        <w:rPr>
          <w:lang w:val="uk-UA"/>
        </w:rPr>
        <w:tab/>
      </w:r>
      <w:r w:rsidR="008C6602" w:rsidRPr="00AB25DF">
        <w:rPr>
          <w:lang w:val="uk-UA"/>
        </w:rPr>
        <w:t>Підпункт 170.6.2. пункту 170.6. статті 170 викласти в наступній редакції:</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ru-RU"/>
        </w:rPr>
        <w:t>«</w:t>
      </w:r>
      <w:r w:rsidRPr="00AB25DF">
        <w:rPr>
          <w:lang w:val="uk-UA"/>
        </w:rPr>
        <w:t>170.6.2. Податкові агенти – організатори азартних ігор у податковому розрахунку, подання якого передбачено підпунктом "б" пункту 176.2 статті 176 цього Кодексу, відображають загальну суму доходів у вигляді виграшів, виплачених у звітному податковому періоді. При цьому у податковому розрахунку не зазначається інформація про суми окремого виграшу та відомості про фізичну особу, яка одержала дохід у вигляді виграшу, крім випадку, визначеного абзацом другим підпункту 170.6.1 цього пункту.»;</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У підпункті 170.6.3. пункту 170.6. статті 170 слова «інших, ніж виграш (приз) у лотерею» замінити словами «інших, ніж виграш в азартній грі»;</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Підпункт 170.6.4 пункту 170.6. статті 170 викласти в наступній редакції:</w:t>
      </w:r>
    </w:p>
    <w:p w:rsidR="008C6602" w:rsidRPr="00AB25DF" w:rsidRDefault="008C6602" w:rsidP="008C6602">
      <w:pPr>
        <w:pStyle w:val="a3"/>
        <w:tabs>
          <w:tab w:val="left" w:pos="1134"/>
          <w:tab w:val="left" w:pos="1488"/>
        </w:tabs>
        <w:spacing w:before="100"/>
        <w:ind w:left="0" w:firstLine="851"/>
        <w:jc w:val="both"/>
        <w:rPr>
          <w:lang w:val="uk-UA"/>
        </w:rPr>
      </w:pPr>
      <w:r w:rsidRPr="00AB25DF">
        <w:rPr>
          <w:lang w:val="uk-UA"/>
        </w:rPr>
        <w:t>«Під час нарахування (виплати) доходів, зазначених у підпункті 170.6.3 пункту 170.6. статті 170 не беруться до уваги витрати платника податку у зв’язку з отриманням такого доходу.»</w:t>
      </w:r>
    </w:p>
    <w:p w:rsidR="008C6602" w:rsidRPr="00AB25DF" w:rsidRDefault="0045641C" w:rsidP="0045641C">
      <w:pPr>
        <w:pStyle w:val="a3"/>
        <w:numPr>
          <w:ilvl w:val="0"/>
          <w:numId w:val="2"/>
        </w:numPr>
        <w:tabs>
          <w:tab w:val="left" w:pos="1134"/>
          <w:tab w:val="left" w:pos="1488"/>
        </w:tabs>
        <w:spacing w:before="100"/>
        <w:jc w:val="both"/>
        <w:rPr>
          <w:shd w:val="clear" w:color="auto" w:fill="FFFFFF"/>
          <w:lang w:val="uk-UA"/>
        </w:rPr>
      </w:pPr>
      <w:r w:rsidRPr="00AB25DF">
        <w:rPr>
          <w:lang w:val="uk-UA"/>
        </w:rPr>
        <w:t xml:space="preserve"> </w:t>
      </w:r>
      <w:r w:rsidR="008C6602" w:rsidRPr="00AB25DF">
        <w:rPr>
          <w:lang w:val="uk-UA"/>
        </w:rPr>
        <w:t xml:space="preserve">У підпункті </w:t>
      </w:r>
      <w:r w:rsidR="008C6602" w:rsidRPr="00AB25DF">
        <w:rPr>
          <w:shd w:val="clear" w:color="auto" w:fill="FFFFFF"/>
          <w:lang w:val="uk-UA"/>
        </w:rPr>
        <w:t>196.1.4. пункті 196.1. статті 196 слова «внесення ставки з метою укладення парі та виплата виграшу суб’єктом господарювання, який проводить парі (букмекерське парі, парі тоталізатора)» виключити;</w:t>
      </w:r>
    </w:p>
    <w:p w:rsidR="008C6602" w:rsidRPr="00AB25DF" w:rsidRDefault="0045641C" w:rsidP="0045641C">
      <w:pPr>
        <w:pStyle w:val="a3"/>
        <w:numPr>
          <w:ilvl w:val="0"/>
          <w:numId w:val="2"/>
        </w:numPr>
        <w:tabs>
          <w:tab w:val="left" w:pos="1134"/>
          <w:tab w:val="left" w:pos="1488"/>
        </w:tabs>
        <w:spacing w:before="100"/>
        <w:jc w:val="both"/>
        <w:rPr>
          <w:shd w:val="clear" w:color="auto" w:fill="FFFFFF"/>
          <w:lang w:val="uk-UA"/>
        </w:rPr>
      </w:pPr>
      <w:r w:rsidRPr="00AB25DF">
        <w:rPr>
          <w:shd w:val="clear" w:color="auto" w:fill="FFFFFF"/>
          <w:lang w:val="uk-UA"/>
        </w:rPr>
        <w:t xml:space="preserve"> </w:t>
      </w:r>
      <w:r w:rsidR="008C6602" w:rsidRPr="00AB25DF">
        <w:rPr>
          <w:shd w:val="clear" w:color="auto" w:fill="FFFFFF"/>
          <w:lang w:val="uk-UA"/>
        </w:rPr>
        <w:t>У пункті 197.6 статті 197 слова «лотерей» замінити словами «азартних»;</w:t>
      </w:r>
    </w:p>
    <w:p w:rsidR="008C6602" w:rsidRPr="00AB25DF" w:rsidRDefault="0045641C" w:rsidP="0045641C">
      <w:pPr>
        <w:pStyle w:val="a3"/>
        <w:numPr>
          <w:ilvl w:val="0"/>
          <w:numId w:val="2"/>
        </w:numPr>
        <w:tabs>
          <w:tab w:val="left" w:pos="1134"/>
          <w:tab w:val="left" w:pos="1488"/>
        </w:tabs>
        <w:spacing w:before="100"/>
        <w:jc w:val="both"/>
        <w:rPr>
          <w:shd w:val="clear" w:color="auto" w:fill="FFFFFF"/>
          <w:lang w:val="uk-UA"/>
        </w:rPr>
      </w:pPr>
      <w:r w:rsidRPr="00AB25DF">
        <w:rPr>
          <w:shd w:val="clear" w:color="auto" w:fill="FFFFFF"/>
          <w:lang w:val="uk-UA"/>
        </w:rPr>
        <w:t xml:space="preserve"> </w:t>
      </w:r>
      <w:r w:rsidR="008C6602" w:rsidRPr="00AB25DF">
        <w:rPr>
          <w:shd w:val="clear" w:color="auto" w:fill="FFFFFF"/>
          <w:lang w:val="uk-UA"/>
        </w:rPr>
        <w:t xml:space="preserve">Підпункт 1 підпункту </w:t>
      </w:r>
      <w:r w:rsidR="008C6602" w:rsidRPr="00AB25DF">
        <w:rPr>
          <w:lang w:val="ru-RU"/>
        </w:rPr>
        <w:t>291.5.1.</w:t>
      </w:r>
      <w:r w:rsidR="008C6602" w:rsidRPr="00AB25DF">
        <w:rPr>
          <w:lang w:val="uk-UA"/>
        </w:rPr>
        <w:t xml:space="preserve"> </w:t>
      </w:r>
      <w:r w:rsidR="008C6602" w:rsidRPr="00AB25DF">
        <w:rPr>
          <w:shd w:val="clear" w:color="auto" w:fill="FFFFFF"/>
          <w:lang w:val="uk-UA"/>
        </w:rPr>
        <w:t>пункту 291.5. статті 291 викласти в наступній редакції:</w:t>
      </w:r>
    </w:p>
    <w:p w:rsidR="008C6602" w:rsidRPr="00AB25DF" w:rsidRDefault="008C6602" w:rsidP="008C6602">
      <w:pPr>
        <w:pStyle w:val="a3"/>
        <w:tabs>
          <w:tab w:val="left" w:pos="1134"/>
          <w:tab w:val="left" w:pos="1488"/>
        </w:tabs>
        <w:spacing w:before="100"/>
        <w:ind w:left="0" w:firstLine="851"/>
        <w:jc w:val="both"/>
        <w:rPr>
          <w:shd w:val="clear" w:color="auto" w:fill="FFFFFF"/>
          <w:lang w:val="uk-UA"/>
        </w:rPr>
      </w:pPr>
      <w:r w:rsidRPr="00AB25DF">
        <w:rPr>
          <w:shd w:val="clear" w:color="auto" w:fill="FFFFFF"/>
          <w:lang w:val="uk-UA"/>
        </w:rPr>
        <w:t xml:space="preserve">«1) діяльність з організації та проведення азартних ігор, діяльність з </w:t>
      </w:r>
      <w:r w:rsidRPr="00AB25DF">
        <w:rPr>
          <w:shd w:val="clear" w:color="auto" w:fill="FFFFFF"/>
          <w:lang w:val="uk-UA"/>
        </w:rPr>
        <w:lastRenderedPageBreak/>
        <w:t>надання послуг у сфері організації та проведення азартних ігор»;</w:t>
      </w:r>
    </w:p>
    <w:p w:rsidR="008C6602" w:rsidRPr="00AB25DF" w:rsidRDefault="0045641C" w:rsidP="0045641C">
      <w:pPr>
        <w:pStyle w:val="a3"/>
        <w:numPr>
          <w:ilvl w:val="0"/>
          <w:numId w:val="2"/>
        </w:numPr>
        <w:tabs>
          <w:tab w:val="left" w:pos="1134"/>
          <w:tab w:val="left" w:pos="1488"/>
        </w:tabs>
        <w:spacing w:before="100"/>
        <w:jc w:val="both"/>
        <w:rPr>
          <w:shd w:val="clear" w:color="auto" w:fill="FFFFFF"/>
          <w:lang w:val="uk-UA"/>
        </w:rPr>
      </w:pPr>
      <w:r w:rsidRPr="00AB25DF">
        <w:rPr>
          <w:shd w:val="clear" w:color="auto" w:fill="FFFFFF"/>
          <w:lang w:val="uk-UA"/>
        </w:rPr>
        <w:t xml:space="preserve"> </w:t>
      </w:r>
      <w:r w:rsidR="008C6602" w:rsidRPr="00AB25DF">
        <w:rPr>
          <w:shd w:val="clear" w:color="auto" w:fill="FFFFFF"/>
          <w:lang w:val="uk-UA"/>
        </w:rPr>
        <w:t>Пункт 48 підрозділу 4 розділу ХХ «Перехідні положення» виключити;</w:t>
      </w:r>
    </w:p>
    <w:p w:rsidR="008C6602" w:rsidRPr="00AB25DF" w:rsidRDefault="0045641C" w:rsidP="0045641C">
      <w:pPr>
        <w:pStyle w:val="a3"/>
        <w:numPr>
          <w:ilvl w:val="0"/>
          <w:numId w:val="2"/>
        </w:numPr>
        <w:tabs>
          <w:tab w:val="left" w:pos="1134"/>
          <w:tab w:val="left" w:pos="1488"/>
        </w:tabs>
        <w:spacing w:before="100"/>
        <w:jc w:val="both"/>
        <w:rPr>
          <w:shd w:val="clear" w:color="auto" w:fill="FFFFFF"/>
          <w:lang w:val="uk-UA"/>
        </w:rPr>
      </w:pPr>
      <w:r w:rsidRPr="00AB25DF">
        <w:rPr>
          <w:shd w:val="clear" w:color="auto" w:fill="FFFFFF"/>
          <w:lang w:val="uk-UA"/>
        </w:rPr>
        <w:t xml:space="preserve"> </w:t>
      </w:r>
      <w:r w:rsidR="008C6602" w:rsidRPr="00AB25DF">
        <w:rPr>
          <w:shd w:val="clear" w:color="auto" w:fill="FFFFFF"/>
          <w:lang w:val="uk-UA"/>
        </w:rPr>
        <w:t>Доповнити підрозділ 4 розділу ХХ «Перехідні положення» пунктом 52 наступного змісту:</w:t>
      </w:r>
    </w:p>
    <w:p w:rsidR="008C6602" w:rsidRPr="00AB25DF" w:rsidRDefault="008C6602" w:rsidP="008C6602">
      <w:pPr>
        <w:pStyle w:val="a3"/>
        <w:tabs>
          <w:tab w:val="left" w:pos="1134"/>
          <w:tab w:val="left" w:pos="1488"/>
        </w:tabs>
        <w:spacing w:before="100"/>
        <w:ind w:left="0" w:firstLine="851"/>
        <w:jc w:val="both"/>
        <w:rPr>
          <w:shd w:val="clear" w:color="auto" w:fill="FFFFFF"/>
          <w:lang w:val="uk-UA"/>
        </w:rPr>
      </w:pPr>
      <w:r w:rsidRPr="00AB25DF">
        <w:rPr>
          <w:lang w:val="uk-UA"/>
        </w:rPr>
        <w:t xml:space="preserve">«52. Тимчасово до першого числа місяця, наступного за місяцем офіційного оприлюднення центральним органом виконавчої влади, що реалізує державну податкову політику інформації про введення в промислову експлуатацію системи онлайн моніторингу, передбаченої Законом України </w:t>
      </w:r>
      <w:r w:rsidRPr="00AB25DF">
        <w:rPr>
          <w:rStyle w:val="rvts9"/>
          <w:bCs/>
          <w:lang w:val="ru-RU"/>
        </w:rPr>
        <w:t>«</w:t>
      </w:r>
      <w:r w:rsidRPr="00AB25DF">
        <w:rPr>
          <w:lang w:val="uk-UA"/>
        </w:rPr>
        <w:t>Про державне регулювання діяльності щодо організації та проведення азартних ігор», організаторами азартних ігор в казино та в залах гральних автоматів при розрахунку доходу від проведення таких азартних ігор не враховуються ставки в іграх на гральних автоматах, та виграші, отримані від таких ігор.»</w:t>
      </w:r>
      <w:r w:rsidRPr="00AB25DF">
        <w:rPr>
          <w:shd w:val="clear" w:color="auto" w:fill="FFFFFF"/>
          <w:lang w:val="uk-UA"/>
        </w:rPr>
        <w:t>.</w:t>
      </w:r>
    </w:p>
    <w:p w:rsidR="0045641C" w:rsidRPr="00AB25DF" w:rsidRDefault="0045641C" w:rsidP="0045641C">
      <w:pPr>
        <w:shd w:val="clear" w:color="auto" w:fill="FFFFFF"/>
        <w:spacing w:line="360" w:lineRule="auto"/>
        <w:ind w:firstLine="709"/>
        <w:jc w:val="both"/>
        <w:rPr>
          <w:rFonts w:ascii="Times New Roman" w:hAnsi="Times New Roman"/>
          <w:sz w:val="28"/>
          <w:szCs w:val="28"/>
        </w:rPr>
      </w:pPr>
    </w:p>
    <w:p w:rsidR="0045641C" w:rsidRPr="00AB25DF" w:rsidRDefault="0045641C" w:rsidP="0045641C">
      <w:pPr>
        <w:shd w:val="clear" w:color="auto" w:fill="FFFFFF"/>
        <w:spacing w:line="360" w:lineRule="auto"/>
        <w:ind w:firstLine="709"/>
        <w:jc w:val="both"/>
        <w:rPr>
          <w:rFonts w:ascii="Times New Roman" w:hAnsi="Times New Roman"/>
          <w:sz w:val="24"/>
          <w:szCs w:val="24"/>
        </w:rPr>
      </w:pPr>
      <w:r w:rsidRPr="00AB25DF">
        <w:rPr>
          <w:rFonts w:ascii="Times New Roman" w:hAnsi="Times New Roman"/>
          <w:sz w:val="28"/>
          <w:szCs w:val="28"/>
        </w:rPr>
        <w:t>ІІ. Прикінцеві положення</w:t>
      </w:r>
    </w:p>
    <w:p w:rsidR="0045641C" w:rsidRPr="00AB25DF" w:rsidRDefault="0045641C" w:rsidP="0045641C">
      <w:pPr>
        <w:numPr>
          <w:ilvl w:val="0"/>
          <w:numId w:val="1"/>
        </w:numPr>
        <w:shd w:val="clear" w:color="auto" w:fill="FFFFFF"/>
        <w:spacing w:after="160" w:line="360" w:lineRule="auto"/>
        <w:ind w:left="0" w:firstLine="709"/>
        <w:jc w:val="both"/>
        <w:textAlignment w:val="baseline"/>
        <w:rPr>
          <w:rFonts w:ascii="Times New Roman" w:hAnsi="Times New Roman"/>
          <w:sz w:val="28"/>
          <w:szCs w:val="28"/>
        </w:rPr>
      </w:pPr>
      <w:r w:rsidRPr="00AB25DF">
        <w:rPr>
          <w:rFonts w:ascii="Times New Roman" w:hAnsi="Times New Roman"/>
          <w:sz w:val="28"/>
          <w:szCs w:val="28"/>
        </w:rPr>
        <w:t xml:space="preserve"> Цей Закон набирає чинності з дня, наступного за днем його опублікування.</w:t>
      </w:r>
    </w:p>
    <w:p w:rsidR="0045641C" w:rsidRPr="00AB25DF" w:rsidRDefault="0045641C" w:rsidP="0045641C">
      <w:pPr>
        <w:numPr>
          <w:ilvl w:val="0"/>
          <w:numId w:val="1"/>
        </w:numPr>
        <w:shd w:val="clear" w:color="auto" w:fill="FFFFFF"/>
        <w:spacing w:after="160" w:line="360" w:lineRule="auto"/>
        <w:ind w:left="0" w:firstLine="709"/>
        <w:jc w:val="both"/>
        <w:textAlignment w:val="baseline"/>
        <w:rPr>
          <w:rFonts w:ascii="Times New Roman" w:hAnsi="Times New Roman"/>
          <w:sz w:val="28"/>
          <w:szCs w:val="28"/>
        </w:rPr>
      </w:pPr>
      <w:r w:rsidRPr="00AB25DF">
        <w:rPr>
          <w:rFonts w:ascii="Times New Roman" w:hAnsi="Times New Roman"/>
          <w:sz w:val="28"/>
          <w:szCs w:val="28"/>
        </w:rPr>
        <w:t>Кабінету Міністрів України у тримісячний строк привести свої нормативно-правові акти у відповідність з цим Законом.</w:t>
      </w:r>
    </w:p>
    <w:p w:rsidR="0045641C" w:rsidRDefault="0045641C" w:rsidP="0045641C">
      <w:pPr>
        <w:shd w:val="clear" w:color="auto" w:fill="FFFFFF"/>
        <w:spacing w:line="360" w:lineRule="auto"/>
        <w:ind w:firstLine="709"/>
        <w:jc w:val="both"/>
        <w:rPr>
          <w:rFonts w:ascii="Times New Roman" w:hAnsi="Times New Roman"/>
          <w:sz w:val="24"/>
          <w:szCs w:val="24"/>
        </w:rPr>
      </w:pPr>
      <w:r w:rsidRPr="00AB25DF">
        <w:rPr>
          <w:rFonts w:ascii="Times New Roman" w:hAnsi="Times New Roman"/>
          <w:sz w:val="24"/>
          <w:szCs w:val="24"/>
        </w:rPr>
        <w:t> </w:t>
      </w:r>
    </w:p>
    <w:p w:rsidR="00245C8F" w:rsidRPr="00AB25DF" w:rsidRDefault="00245C8F" w:rsidP="0045641C">
      <w:pPr>
        <w:shd w:val="clear" w:color="auto" w:fill="FFFFFF"/>
        <w:spacing w:line="360" w:lineRule="auto"/>
        <w:ind w:firstLine="709"/>
        <w:jc w:val="both"/>
        <w:rPr>
          <w:rFonts w:ascii="Times New Roman" w:hAnsi="Times New Roman"/>
          <w:sz w:val="24"/>
          <w:szCs w:val="24"/>
        </w:rPr>
      </w:pPr>
    </w:p>
    <w:p w:rsidR="005D02B2" w:rsidRDefault="00245C8F" w:rsidP="0045641C">
      <w:pPr>
        <w:shd w:val="clear" w:color="auto" w:fill="FFFFFF"/>
        <w:spacing w:line="360" w:lineRule="auto"/>
        <w:ind w:firstLine="709"/>
        <w:jc w:val="both"/>
        <w:rPr>
          <w:rFonts w:ascii="Times New Roman" w:hAnsi="Times New Roman"/>
          <w:b/>
          <w:bCs/>
          <w:sz w:val="28"/>
          <w:szCs w:val="28"/>
        </w:rPr>
      </w:pPr>
      <w:r w:rsidRPr="00245C8F">
        <w:rPr>
          <w:rFonts w:ascii="Times New Roman" w:hAnsi="Times New Roman"/>
          <w:b/>
          <w:bCs/>
          <w:sz w:val="28"/>
          <w:szCs w:val="28"/>
          <w:lang w:val="ru-RU"/>
        </w:rPr>
        <w:t xml:space="preserve"> </w:t>
      </w:r>
      <w:r w:rsidRPr="00DD1B3A">
        <w:rPr>
          <w:rFonts w:ascii="Times New Roman" w:hAnsi="Times New Roman"/>
          <w:b/>
          <w:bCs/>
          <w:sz w:val="28"/>
          <w:szCs w:val="28"/>
          <w:lang w:val="ru-RU"/>
        </w:rPr>
        <w:t xml:space="preserve">             </w:t>
      </w:r>
      <w:r w:rsidR="0045641C" w:rsidRPr="00AB25DF">
        <w:rPr>
          <w:rFonts w:ascii="Times New Roman" w:hAnsi="Times New Roman"/>
          <w:b/>
          <w:bCs/>
          <w:sz w:val="28"/>
          <w:szCs w:val="28"/>
        </w:rPr>
        <w:t xml:space="preserve">Голова </w:t>
      </w:r>
    </w:p>
    <w:p w:rsidR="0045641C" w:rsidRPr="0045641C" w:rsidRDefault="0045641C" w:rsidP="005D02B2">
      <w:pPr>
        <w:shd w:val="clear" w:color="auto" w:fill="FFFFFF"/>
        <w:spacing w:line="360" w:lineRule="auto"/>
        <w:ind w:firstLine="709"/>
        <w:jc w:val="both"/>
        <w:rPr>
          <w:rFonts w:ascii="Times New Roman" w:hAnsi="Times New Roman"/>
          <w:sz w:val="24"/>
          <w:szCs w:val="24"/>
        </w:rPr>
      </w:pPr>
      <w:r w:rsidRPr="00AB25DF">
        <w:rPr>
          <w:rFonts w:ascii="Times New Roman" w:hAnsi="Times New Roman"/>
          <w:b/>
          <w:bCs/>
          <w:sz w:val="28"/>
          <w:szCs w:val="28"/>
        </w:rPr>
        <w:t>Верховної Ради</w:t>
      </w:r>
      <w:r w:rsidR="005D02B2">
        <w:rPr>
          <w:rFonts w:ascii="Times New Roman" w:hAnsi="Times New Roman"/>
          <w:b/>
          <w:bCs/>
          <w:sz w:val="28"/>
          <w:szCs w:val="28"/>
          <w:lang w:val="ru-RU"/>
        </w:rPr>
        <w:t xml:space="preserve"> </w:t>
      </w:r>
      <w:r w:rsidRPr="00AB25DF">
        <w:rPr>
          <w:rFonts w:ascii="Times New Roman" w:hAnsi="Times New Roman"/>
          <w:b/>
          <w:bCs/>
          <w:sz w:val="28"/>
          <w:szCs w:val="28"/>
        </w:rPr>
        <w:t>України</w:t>
      </w:r>
    </w:p>
    <w:p w:rsidR="0036086A" w:rsidRPr="0045641C" w:rsidRDefault="0036086A"/>
    <w:sectPr w:rsidR="0036086A" w:rsidRPr="0045641C" w:rsidSect="0036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64F3"/>
    <w:multiLevelType w:val="multilevel"/>
    <w:tmpl w:val="F13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A12AF"/>
    <w:multiLevelType w:val="hybridMultilevel"/>
    <w:tmpl w:val="44DABC92"/>
    <w:lvl w:ilvl="0" w:tplc="D81AFF3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8C6602"/>
    <w:rsid w:val="000A6D76"/>
    <w:rsid w:val="001D16EB"/>
    <w:rsid w:val="00245C8F"/>
    <w:rsid w:val="0036086A"/>
    <w:rsid w:val="00364BC7"/>
    <w:rsid w:val="003A72B0"/>
    <w:rsid w:val="0045641C"/>
    <w:rsid w:val="0050206A"/>
    <w:rsid w:val="0055354C"/>
    <w:rsid w:val="005D02B2"/>
    <w:rsid w:val="00725A9D"/>
    <w:rsid w:val="00732C69"/>
    <w:rsid w:val="008C6602"/>
    <w:rsid w:val="00A14BCB"/>
    <w:rsid w:val="00A36BDB"/>
    <w:rsid w:val="00A4029A"/>
    <w:rsid w:val="00AB25DF"/>
    <w:rsid w:val="00AC148A"/>
    <w:rsid w:val="00C21042"/>
    <w:rsid w:val="00C7530F"/>
    <w:rsid w:val="00CE1C86"/>
    <w:rsid w:val="00D3314C"/>
    <w:rsid w:val="00DD1B3A"/>
    <w:rsid w:val="00E5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72939-F8A6-4DE1-86C1-2B548843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0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8C6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1"/>
    <w:next w:val="a"/>
    <w:autoRedefine/>
    <w:rsid w:val="000A6D76"/>
    <w:pPr>
      <w:keepNext w:val="0"/>
      <w:keepLines w:val="0"/>
      <w:tabs>
        <w:tab w:val="left" w:pos="993"/>
      </w:tabs>
      <w:spacing w:before="120"/>
      <w:ind w:firstLine="709"/>
      <w:jc w:val="both"/>
      <w:outlineLvl w:val="9"/>
    </w:pPr>
    <w:rPr>
      <w:rFonts w:ascii="Times New Roman" w:eastAsia="Times New Roman" w:hAnsi="Times New Roman" w:cs="Times New Roman"/>
      <w:b w:val="0"/>
      <w:bCs w:val="0"/>
      <w:i/>
      <w:color w:val="FF0000"/>
      <w:lang w:eastAsia="uk-UA"/>
    </w:rPr>
  </w:style>
  <w:style w:type="character" w:customStyle="1" w:styleId="rvts9">
    <w:name w:val="rvts9"/>
    <w:rsid w:val="008C6602"/>
  </w:style>
  <w:style w:type="paragraph" w:styleId="a3">
    <w:name w:val="Body Text"/>
    <w:basedOn w:val="a"/>
    <w:link w:val="a4"/>
    <w:uiPriority w:val="1"/>
    <w:qFormat/>
    <w:rsid w:val="008C6602"/>
    <w:pPr>
      <w:widowControl w:val="0"/>
      <w:ind w:left="102" w:firstLine="707"/>
    </w:pPr>
    <w:rPr>
      <w:rFonts w:ascii="Times New Roman" w:hAnsi="Times New Roman"/>
      <w:sz w:val="28"/>
      <w:szCs w:val="28"/>
      <w:lang w:val="en-US" w:eastAsia="en-US"/>
    </w:rPr>
  </w:style>
  <w:style w:type="character" w:customStyle="1" w:styleId="a4">
    <w:name w:val="Основний текст Знак"/>
    <w:basedOn w:val="a0"/>
    <w:link w:val="a3"/>
    <w:uiPriority w:val="1"/>
    <w:rsid w:val="008C6602"/>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8C6602"/>
    <w:rPr>
      <w:rFonts w:asciiTheme="majorHAnsi" w:eastAsiaTheme="majorEastAsia" w:hAnsiTheme="majorHAnsi" w:cstheme="majorBidi"/>
      <w:b/>
      <w:bCs/>
      <w:color w:val="365F91" w:themeColor="accent1" w:themeShade="BF"/>
      <w:sz w:val="28"/>
      <w:szCs w:val="28"/>
      <w:lang w:val="uk-UA" w:eastAsia="ru-RU"/>
    </w:rPr>
  </w:style>
  <w:style w:type="paragraph" w:styleId="a5">
    <w:name w:val="List Paragraph"/>
    <w:basedOn w:val="a"/>
    <w:uiPriority w:val="34"/>
    <w:qFormat/>
    <w:rsid w:val="0045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5889</Words>
  <Characters>3357</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Палиця Ігор Петрович</cp:lastModifiedBy>
  <cp:revision>6</cp:revision>
  <dcterms:created xsi:type="dcterms:W3CDTF">2019-12-16T11:08:00Z</dcterms:created>
  <dcterms:modified xsi:type="dcterms:W3CDTF">2020-01-22T10:19:00Z</dcterms:modified>
</cp:coreProperties>
</file>