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BE" w:rsidRPr="00C876E5" w:rsidRDefault="00F7668B" w:rsidP="008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8A5974" w:rsidRPr="00C876E5" w:rsidRDefault="00F7668B" w:rsidP="008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 xml:space="preserve">Комітету Верховної Ради України з питань інтеграції України </w:t>
      </w:r>
    </w:p>
    <w:p w:rsidR="00F7668B" w:rsidRPr="00C876E5" w:rsidRDefault="00F7668B" w:rsidP="008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>з Європейським Союзом</w:t>
      </w:r>
    </w:p>
    <w:p w:rsidR="00F7668B" w:rsidRPr="00C876E5" w:rsidRDefault="00F7668B" w:rsidP="008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>щодо проекту Закону України</w:t>
      </w:r>
    </w:p>
    <w:p w:rsidR="00B96D39" w:rsidRPr="00C876E5" w:rsidRDefault="004206E5" w:rsidP="008A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>про внесення змін до деяких законодавчих актів щодо забезпечення рівних прав та можливостей громадян із представництва у наглядових радах та органах правління державних унітарних підприємств, господарських товариств та державних банків</w:t>
      </w:r>
    </w:p>
    <w:p w:rsidR="00F7668B" w:rsidRPr="00C876E5" w:rsidRDefault="00F7668B" w:rsidP="008A5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6E5">
        <w:rPr>
          <w:rFonts w:ascii="Times New Roman" w:hAnsi="Times New Roman" w:cs="Times New Roman"/>
          <w:sz w:val="28"/>
          <w:szCs w:val="28"/>
        </w:rPr>
        <w:t xml:space="preserve">(реєстр. № </w:t>
      </w:r>
      <w:r w:rsidR="00105F68" w:rsidRPr="00C876E5">
        <w:rPr>
          <w:rFonts w:ascii="Times New Roman" w:hAnsi="Times New Roman" w:cs="Times New Roman"/>
          <w:sz w:val="28"/>
          <w:szCs w:val="28"/>
        </w:rPr>
        <w:t>3</w:t>
      </w:r>
      <w:r w:rsidR="004206E5" w:rsidRPr="00C876E5">
        <w:rPr>
          <w:rFonts w:ascii="Times New Roman" w:hAnsi="Times New Roman" w:cs="Times New Roman"/>
          <w:sz w:val="28"/>
          <w:szCs w:val="28"/>
        </w:rPr>
        <w:t>193</w:t>
      </w:r>
      <w:r w:rsidRPr="00C876E5">
        <w:rPr>
          <w:rFonts w:ascii="Times New Roman" w:hAnsi="Times New Roman" w:cs="Times New Roman"/>
          <w:sz w:val="28"/>
          <w:szCs w:val="28"/>
        </w:rPr>
        <w:t xml:space="preserve"> від </w:t>
      </w:r>
      <w:r w:rsidR="004206E5" w:rsidRPr="00C876E5">
        <w:rPr>
          <w:rFonts w:ascii="Times New Roman" w:hAnsi="Times New Roman" w:cs="Times New Roman"/>
          <w:sz w:val="28"/>
          <w:szCs w:val="28"/>
        </w:rPr>
        <w:t>06</w:t>
      </w:r>
      <w:r w:rsidRPr="00C876E5">
        <w:rPr>
          <w:rFonts w:ascii="Times New Roman" w:hAnsi="Times New Roman" w:cs="Times New Roman"/>
          <w:sz w:val="28"/>
          <w:szCs w:val="28"/>
        </w:rPr>
        <w:t>.0</w:t>
      </w:r>
      <w:r w:rsidR="00B96D39" w:rsidRPr="00C876E5">
        <w:rPr>
          <w:rFonts w:ascii="Times New Roman" w:hAnsi="Times New Roman" w:cs="Times New Roman"/>
          <w:sz w:val="28"/>
          <w:szCs w:val="28"/>
        </w:rPr>
        <w:t>3</w:t>
      </w:r>
      <w:r w:rsidRPr="00C876E5">
        <w:rPr>
          <w:rFonts w:ascii="Times New Roman" w:hAnsi="Times New Roman" w:cs="Times New Roman"/>
          <w:sz w:val="28"/>
          <w:szCs w:val="28"/>
        </w:rPr>
        <w:t xml:space="preserve">.2020, </w:t>
      </w:r>
      <w:proofErr w:type="spellStart"/>
      <w:r w:rsidR="004206E5" w:rsidRPr="00C876E5">
        <w:rPr>
          <w:rFonts w:ascii="Times New Roman" w:hAnsi="Times New Roman" w:cs="Times New Roman"/>
          <w:sz w:val="28"/>
          <w:szCs w:val="28"/>
        </w:rPr>
        <w:t>Жмеренецький</w:t>
      </w:r>
      <w:proofErr w:type="spellEnd"/>
      <w:r w:rsidR="004206E5" w:rsidRPr="00C876E5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4206E5" w:rsidRPr="00C876E5">
        <w:rPr>
          <w:rFonts w:ascii="Times New Roman" w:hAnsi="Times New Roman" w:cs="Times New Roman"/>
          <w:sz w:val="28"/>
          <w:szCs w:val="28"/>
        </w:rPr>
        <w:t>Бєлькова</w:t>
      </w:r>
      <w:proofErr w:type="spellEnd"/>
      <w:r w:rsidR="004206E5" w:rsidRPr="00C876E5">
        <w:rPr>
          <w:rFonts w:ascii="Times New Roman" w:hAnsi="Times New Roman" w:cs="Times New Roman"/>
          <w:sz w:val="28"/>
          <w:szCs w:val="28"/>
        </w:rPr>
        <w:t xml:space="preserve"> О.В.</w:t>
      </w:r>
      <w:r w:rsidR="00B96D39" w:rsidRPr="00C876E5">
        <w:rPr>
          <w:rFonts w:ascii="Times New Roman" w:hAnsi="Times New Roman" w:cs="Times New Roman"/>
          <w:sz w:val="28"/>
          <w:szCs w:val="28"/>
        </w:rPr>
        <w:t xml:space="preserve"> та інші</w:t>
      </w:r>
      <w:r w:rsidRPr="00C876E5">
        <w:rPr>
          <w:rFonts w:ascii="Times New Roman" w:hAnsi="Times New Roman" w:cs="Times New Roman"/>
          <w:sz w:val="28"/>
          <w:szCs w:val="28"/>
        </w:rPr>
        <w:t>)</w:t>
      </w:r>
    </w:p>
    <w:p w:rsidR="00B86E61" w:rsidRPr="00C876E5" w:rsidRDefault="00B86E61" w:rsidP="00636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68B" w:rsidRPr="00C876E5" w:rsidRDefault="00F7668B" w:rsidP="008A59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>1. Загальна характеристика законопроекту</w:t>
      </w:r>
    </w:p>
    <w:p w:rsidR="0005024F" w:rsidRPr="00C876E5" w:rsidRDefault="0005024F" w:rsidP="00050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E5">
        <w:rPr>
          <w:rFonts w:ascii="Times New Roman" w:hAnsi="Times New Roman" w:cs="Times New Roman"/>
          <w:sz w:val="28"/>
          <w:szCs w:val="28"/>
        </w:rPr>
        <w:t>Проект Закону України розроблений з метою удосконалення діючого законодавства для створення сприятливих умов для забезпечення рівних прав та можливостей для представників обох статей, у роботі наглядових рад та органах правління державних унітарних підприємств, господарських товариств, у статутному капіталі якого більше 50 відсотків акцій (часток) належать державі,  та державних банків.</w:t>
      </w:r>
    </w:p>
    <w:p w:rsidR="003C45CB" w:rsidRPr="00C876E5" w:rsidRDefault="0005024F" w:rsidP="00050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E5">
        <w:rPr>
          <w:rFonts w:ascii="Times New Roman" w:hAnsi="Times New Roman" w:cs="Times New Roman"/>
          <w:sz w:val="28"/>
          <w:szCs w:val="28"/>
        </w:rPr>
        <w:t>Законопроектом, зокрема пропонується реалізувати доктрину позитивних зобов’язань держави шляхом внесення змін до законодавства у сфері корпоративного управління та запровадження гендерних квот – мінімальної кількості представників однієї статі, що обираються на посади членів наглядових рад та колегіальних органів правління компаній та державних банків. Розмір такої квоти є імперативним та визначається на рівні закону для наглядових рад державних унітарних підприємств, господарських товариств, у статутному капіталі яких більше 50 відсотків акцій (часток) належать державі та державних банків (квота у розмірі 40%), в той час як для приватних акціонерних товариств – така квота є диспозитивною та встановлюється підприємством самостійно (рішеннями загальних зборів для наглядових рад та наглядової ради для колегіальних органів правління).</w:t>
      </w:r>
    </w:p>
    <w:p w:rsidR="0005024F" w:rsidRPr="00C876E5" w:rsidRDefault="0005024F" w:rsidP="000502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E5">
        <w:rPr>
          <w:rFonts w:ascii="Times New Roman" w:hAnsi="Times New Roman" w:cs="Times New Roman"/>
          <w:sz w:val="28"/>
          <w:szCs w:val="28"/>
        </w:rPr>
        <w:t>Різниця у підходах до встановлення квот для державних та приватних компаній цілком відповідає ступеню відповідальності їх керівних органів за прийняті рішення та різним законодавчим вимогам до таких компаній в загальних питаннях корпоративного управління.</w:t>
      </w:r>
    </w:p>
    <w:p w:rsidR="0005024F" w:rsidRPr="00C876E5" w:rsidRDefault="0005024F" w:rsidP="008D4F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68B" w:rsidRPr="00C876E5" w:rsidRDefault="00F7668B" w:rsidP="008D4F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>2. Належність законопроекту за предметом правового регулювання до сфери дії права Європейського Союзу</w:t>
      </w:r>
    </w:p>
    <w:p w:rsidR="00B87CF7" w:rsidRPr="00C876E5" w:rsidRDefault="00F7668B" w:rsidP="00CC0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E5">
        <w:rPr>
          <w:rFonts w:ascii="Times New Roman" w:hAnsi="Times New Roman" w:cs="Times New Roman"/>
          <w:sz w:val="28"/>
          <w:szCs w:val="28"/>
        </w:rPr>
        <w:t xml:space="preserve">Проект Закону за предметом правового регулювання </w:t>
      </w:r>
      <w:r w:rsidR="0005024F" w:rsidRPr="00C876E5">
        <w:rPr>
          <w:rFonts w:ascii="Times New Roman" w:hAnsi="Times New Roman" w:cs="Times New Roman"/>
          <w:sz w:val="28"/>
          <w:szCs w:val="28"/>
        </w:rPr>
        <w:t xml:space="preserve">належить до сфери законодавство про компанії, що відповідно до Закону України «Про Загальнодержавну програму адаптації законодавства України до законодавства Європейського Союзу» від 18 березня 2004 року № 1629-IV належить до пріоритетних сфер, в яких здійснюється адаптація законодавства України до законодавства Європейського Союзу та охоплюється зобов’язаннями України передбаченими у рамках </w:t>
      </w:r>
      <w:r w:rsidR="00CC0119" w:rsidRPr="00C876E5">
        <w:rPr>
          <w:rFonts w:ascii="Times New Roman" w:hAnsi="Times New Roman" w:cs="Times New Roman"/>
          <w:sz w:val="28"/>
          <w:szCs w:val="28"/>
        </w:rPr>
        <w:t xml:space="preserve">Глави 13 «Законодавство про заснування та діяльність </w:t>
      </w:r>
      <w:r w:rsidR="00CC0119" w:rsidRPr="00C876E5">
        <w:rPr>
          <w:rFonts w:ascii="Times New Roman" w:hAnsi="Times New Roman" w:cs="Times New Roman"/>
          <w:sz w:val="28"/>
          <w:szCs w:val="28"/>
        </w:rPr>
        <w:lastRenderedPageBreak/>
        <w:t xml:space="preserve">компаній, корпоративне управління, бухгалтерський облік та аудит» та </w:t>
      </w:r>
      <w:r w:rsidR="00636F8F" w:rsidRPr="00C876E5">
        <w:rPr>
          <w:rFonts w:ascii="Times New Roman" w:hAnsi="Times New Roman" w:cs="Times New Roman"/>
          <w:sz w:val="28"/>
          <w:szCs w:val="28"/>
        </w:rPr>
        <w:t xml:space="preserve">Глави 21 «Співробітництво у галузі зайнятості, соціальної політики та рівних можливостей» Розділу V «Економічне та галузеве співробітництво» </w:t>
      </w:r>
      <w:r w:rsidR="008D4F02" w:rsidRPr="00C876E5">
        <w:rPr>
          <w:rFonts w:ascii="Times New Roman" w:hAnsi="Times New Roman" w:cs="Times New Roman"/>
          <w:sz w:val="28"/>
          <w:szCs w:val="28"/>
        </w:rPr>
        <w:t xml:space="preserve">Угоди </w:t>
      </w:r>
      <w:r w:rsidR="00285458" w:rsidRPr="00C876E5">
        <w:rPr>
          <w:rFonts w:ascii="Times New Roman" w:hAnsi="Times New Roman" w:cs="Times New Roman"/>
          <w:sz w:val="28"/>
          <w:szCs w:val="28"/>
        </w:rPr>
        <w:t>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8D4F02" w:rsidRPr="00C876E5">
        <w:rPr>
          <w:rFonts w:ascii="Times New Roman" w:hAnsi="Times New Roman" w:cs="Times New Roman"/>
          <w:sz w:val="28"/>
          <w:szCs w:val="28"/>
        </w:rPr>
        <w:t xml:space="preserve"> (далі – Угода про асоціацію).</w:t>
      </w:r>
    </w:p>
    <w:p w:rsidR="004F5AE0" w:rsidRPr="00C876E5" w:rsidRDefault="004F5AE0" w:rsidP="008D4F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F02" w:rsidRPr="00C876E5" w:rsidRDefault="008D4F02" w:rsidP="008D4F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>3. Відповідність законопроекту праву ЄС</w:t>
      </w:r>
    </w:p>
    <w:p w:rsidR="006C2167" w:rsidRPr="00C876E5" w:rsidRDefault="006C2167" w:rsidP="006C2167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aquis</w:t>
      </w:r>
      <w:proofErr w:type="spellEnd"/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 та Угоді про асоціацію слід зазначити таке.</w:t>
      </w:r>
    </w:p>
    <w:p w:rsidR="00CC0119" w:rsidRPr="00C876E5" w:rsidRDefault="00CC0119" w:rsidP="00CC0119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положеннями статті 387 Угоди про асоціацію,  Сторони домовилися співробітничати з питань подальшого розвитку політики корпоративного управління відповідно до міжнародних стандартів, а також поступового наближення до правил та рекомендацій ЄС у цій сфері згідно з Додатком XXXVІ до цієї Угоди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зокрема, </w:t>
      </w:r>
      <w:r w:rsidR="00A0600B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="00A0600B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ОЕСР щодо корпоративного управління. </w:t>
      </w:r>
    </w:p>
    <w:p w:rsidR="00A0600B" w:rsidRPr="00C876E5" w:rsidRDefault="00A0600B" w:rsidP="00CC0119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 ОЕСР щодо корпоративного управління передбачена необхідність </w:t>
      </w:r>
      <w:r w:rsidR="00FE03CA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організації-власнику 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 до уваги Рекомендацію ОЕСР щодо гендерної рівності в сферах освіти, зайнятості та підприємництва та рекомендовано надавати підтримку </w:t>
      </w:r>
      <w:r w:rsidR="00FE03CA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заходам, як добровільне запровадження гендерних показників, вимог до розкриття інформації та приватних ініціатив, </w:t>
      </w:r>
      <w:r w:rsidR="00FE03CA"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націлених на вдосконалення гендерного представництва</w:t>
      </w:r>
      <w:r w:rsidR="00FE03CA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CA"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наглядових радах</w:t>
      </w:r>
      <w:r w:rsidR="00FE03CA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 вищій ланці керівників публічних компаній.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F8F" w:rsidRPr="00C876E5" w:rsidRDefault="00636F8F" w:rsidP="00636F8F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419 Угоди про асоціацію, Сторони посилюють діалог та співробітництво щодо забезпечення гідної праці, політики зайнятості, безпечних та здорових умов праці, соціального діалогу, соціального захисту, соціального залучення, </w:t>
      </w:r>
      <w:r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гендерної рівності та недискримінації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BA2" w:rsidRPr="00C876E5" w:rsidRDefault="00497BA2" w:rsidP="005C03B2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Положеннями статті 420 Угоди про асоціацію, передбачено, що співробітництво у сферах, визначених у статті 419 цієї Угоди, передбачає досягнення таких цілей, зокрема, </w:t>
      </w:r>
      <w:r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забезпечення гендерної рівності та рівних можливостей для чоловіків та жінок у сфері зайнятості, освіти та навчання, економічної та суспільної діяльності, а також у процесі прийняття рішень.</w:t>
      </w:r>
    </w:p>
    <w:p w:rsidR="00497BA2" w:rsidRPr="00C876E5" w:rsidRDefault="000C300B" w:rsidP="000C300B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відповідності з положеннями статті </w:t>
      </w:r>
      <w:r w:rsidR="00497BA2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Договору про Європейський Союз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ДФЄС) </w:t>
      </w:r>
      <w:r w:rsidR="00497BA2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засновано на цінностях поваги до людської гідності, свободи, демократії, рівності, верховенства права та поваги до прав людини, зокрема осіб, що належать до меншин. Ці цінності є спільними для всіх держав-членів у суспільстві, де панує плюралізм, недискримінація, толерантність, правосуддя, </w:t>
      </w:r>
      <w:r w:rsidR="00497BA2"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солідарність та рівність жінок і чоловіків.</w:t>
      </w:r>
    </w:p>
    <w:p w:rsidR="000C300B" w:rsidRPr="00C876E5" w:rsidRDefault="000C300B" w:rsidP="000C300B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бореться проти соціального вилучення та дискримінації, підтримує соціальну справедливість та захист, </w:t>
      </w:r>
      <w:r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рівність жінок і чоловіків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зв’язок між поколіннями, захист прав дитини (стаття 3 ДФЄС).</w:t>
      </w:r>
    </w:p>
    <w:p w:rsidR="00497BA2" w:rsidRPr="00C876E5" w:rsidRDefault="00497BA2" w:rsidP="005C03B2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A2" w:rsidRPr="00C876E5" w:rsidRDefault="00497BA2" w:rsidP="00497BA2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своїй діяльності Союз спрямовується на усунення </w:t>
      </w:r>
      <w:proofErr w:type="spellStart"/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нерівностей</w:t>
      </w:r>
      <w:proofErr w:type="spellEnd"/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сприяння рівності жінок та чоловіків</w:t>
      </w:r>
      <w:r w:rsidR="000C300B"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(стаття 8 ДФЄС)</w:t>
      </w:r>
      <w:r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6F56" w:rsidRPr="00C876E5" w:rsidRDefault="00C20112" w:rsidP="00E36F56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визначено в статті 15</w:t>
      </w:r>
      <w:r w:rsidR="00E36F56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0B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ДФЄС</w:t>
      </w:r>
      <w:r w:rsidR="00431C11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56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підтримує та доповнює діяльність держав-членів у таких сферах, зокрема, (i) </w:t>
      </w:r>
      <w:r w:rsidR="00E36F56" w:rsidRPr="00C8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рівність жінок та чоловіків щодо їхніх можливостей на ринку праці та ставлення на роботі.</w:t>
      </w:r>
    </w:p>
    <w:p w:rsidR="00F627AD" w:rsidRPr="00C876E5" w:rsidRDefault="000C300B" w:rsidP="00F627AD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також узгоджується з 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№ 2000/78/Є</w:t>
      </w:r>
      <w:r w:rsidR="009862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 листопада 2000 року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303, 02.12.2000, 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. 16 – 22)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встановлює загальну систему рівного ставлення  у сфері зайнятості та професійної діяльності. Метою Директиви є створення системи для боротьби з дискримінацією на основі релігії або віросповідання, обмеженості фізичних можливостей, віку або сексуальної орієнтації у питаннях зайнятості та професії, з метою реалізації принципу рівноправ’я. 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Директивою 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встановлюється загальнообов’язковий для всіх країн мінімум </w:t>
      </w:r>
      <w:proofErr w:type="spellStart"/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антидискримінаційних</w:t>
      </w:r>
      <w:proofErr w:type="spellEnd"/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у сфері доступу до  працевлаштування та підвищення на посаді, стажування, умов праці, зарплатні, звільнень, членства в професійних організаціях.</w:t>
      </w:r>
    </w:p>
    <w:p w:rsidR="00F627AD" w:rsidRPr="00C876E5" w:rsidRDefault="000C300B" w:rsidP="000C300B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 необхідно зазначити, що г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ендерні квоти, є практичною реалізацією  статті </w:t>
      </w:r>
      <w:r w:rsidR="00EE51C6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 ООН з ліквідації всіх форм дискримінації щодо жінок.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гендерної рівності закладено 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агальну декларацію прав людини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(стаття 2)</w:t>
      </w:r>
      <w:r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включено його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переліку Цілей сталого розвитку</w:t>
      </w:r>
      <w:r w:rsidR="00E15EF0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(Ціль 5)</w:t>
      </w:r>
      <w:r w:rsidR="00F627AD" w:rsidRPr="00C87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засвідчує наявність світового консенсусу щодо необхідності рівного представництва жінок на всіх рівнях прийняття рішень.</w:t>
      </w:r>
    </w:p>
    <w:p w:rsidR="00F627AD" w:rsidRPr="00C876E5" w:rsidRDefault="00F627AD" w:rsidP="00045A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FB" w:rsidRPr="00C876E5" w:rsidRDefault="008D4F02" w:rsidP="00045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E5">
        <w:rPr>
          <w:rFonts w:ascii="Times New Roman" w:hAnsi="Times New Roman" w:cs="Times New Roman"/>
          <w:sz w:val="28"/>
          <w:szCs w:val="28"/>
        </w:rPr>
        <w:t>З огляду на зазначене</w:t>
      </w:r>
      <w:r w:rsidR="00285458" w:rsidRPr="00C876E5">
        <w:rPr>
          <w:rFonts w:ascii="Times New Roman" w:hAnsi="Times New Roman" w:cs="Times New Roman"/>
          <w:sz w:val="28"/>
          <w:szCs w:val="28"/>
        </w:rPr>
        <w:t>,</w:t>
      </w:r>
      <w:r w:rsidRPr="00C876E5">
        <w:rPr>
          <w:rFonts w:ascii="Times New Roman" w:hAnsi="Times New Roman" w:cs="Times New Roman"/>
          <w:sz w:val="28"/>
          <w:szCs w:val="28"/>
        </w:rPr>
        <w:t xml:space="preserve"> проект Закону </w:t>
      </w:r>
      <w:r w:rsidR="00B31C5C" w:rsidRPr="00C876E5">
        <w:rPr>
          <w:rFonts w:ascii="Times New Roman" w:hAnsi="Times New Roman" w:cs="Times New Roman"/>
          <w:b/>
          <w:sz w:val="28"/>
          <w:szCs w:val="28"/>
        </w:rPr>
        <w:t>не суперечить</w:t>
      </w:r>
      <w:r w:rsidR="00B31C5C" w:rsidRPr="00C876E5">
        <w:rPr>
          <w:rFonts w:ascii="Times New Roman" w:hAnsi="Times New Roman" w:cs="Times New Roman"/>
          <w:sz w:val="28"/>
          <w:szCs w:val="28"/>
        </w:rPr>
        <w:t xml:space="preserve"> </w:t>
      </w:r>
      <w:r w:rsidR="006D7C09" w:rsidRPr="00C876E5">
        <w:rPr>
          <w:rFonts w:ascii="Times New Roman" w:hAnsi="Times New Roman" w:cs="Times New Roman"/>
          <w:sz w:val="28"/>
          <w:szCs w:val="28"/>
        </w:rPr>
        <w:t>міжнародно-правовим зобов’язанням України в сфері європейської</w:t>
      </w:r>
      <w:r w:rsidR="003417C7" w:rsidRPr="00C876E5">
        <w:rPr>
          <w:rFonts w:ascii="Times New Roman" w:hAnsi="Times New Roman" w:cs="Times New Roman"/>
          <w:sz w:val="28"/>
          <w:szCs w:val="28"/>
        </w:rPr>
        <w:t xml:space="preserve"> інтеграції</w:t>
      </w:r>
      <w:r w:rsidR="006E6EC5" w:rsidRPr="006E6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6EC5">
        <w:rPr>
          <w:rFonts w:ascii="Times New Roman" w:hAnsi="Times New Roman" w:cs="Times New Roman"/>
          <w:sz w:val="28"/>
          <w:szCs w:val="28"/>
        </w:rPr>
        <w:t>та відповідає праву ЄС</w:t>
      </w:r>
      <w:r w:rsidR="00B31C5C" w:rsidRPr="00C876E5">
        <w:rPr>
          <w:rFonts w:ascii="Times New Roman" w:hAnsi="Times New Roman" w:cs="Times New Roman"/>
          <w:sz w:val="28"/>
          <w:szCs w:val="28"/>
        </w:rPr>
        <w:t>.</w:t>
      </w:r>
    </w:p>
    <w:p w:rsidR="00B454BD" w:rsidRPr="00C876E5" w:rsidRDefault="00B454BD" w:rsidP="003569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5C66" w:rsidRPr="00C876E5" w:rsidRDefault="00B75C66" w:rsidP="008D4F0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B75C66" w:rsidRPr="00C876E5" w:rsidSect="009B6357">
      <w:headerReference w:type="default" r:id="rId8"/>
      <w:headerReference w:type="first" r:id="rId9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E0" w:rsidRDefault="000E3FE0" w:rsidP="008A5974">
      <w:pPr>
        <w:spacing w:after="0" w:line="240" w:lineRule="auto"/>
      </w:pPr>
      <w:r>
        <w:separator/>
      </w:r>
    </w:p>
  </w:endnote>
  <w:endnote w:type="continuationSeparator" w:id="0">
    <w:p w:rsidR="000E3FE0" w:rsidRDefault="000E3FE0" w:rsidP="008A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E0" w:rsidRDefault="000E3FE0" w:rsidP="008A5974">
      <w:pPr>
        <w:spacing w:after="0" w:line="240" w:lineRule="auto"/>
      </w:pPr>
      <w:r>
        <w:separator/>
      </w:r>
    </w:p>
  </w:footnote>
  <w:footnote w:type="continuationSeparator" w:id="0">
    <w:p w:rsidR="000E3FE0" w:rsidRDefault="000E3FE0" w:rsidP="008A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74805"/>
      <w:docPartObj>
        <w:docPartGallery w:val="Page Numbers (Top of Page)"/>
        <w:docPartUnique/>
      </w:docPartObj>
    </w:sdtPr>
    <w:sdtEndPr/>
    <w:sdtContent>
      <w:p w:rsidR="008A5974" w:rsidRDefault="008A59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C5">
          <w:rPr>
            <w:noProof/>
          </w:rPr>
          <w:t>3</w:t>
        </w:r>
        <w:r>
          <w:fldChar w:fldCharType="end"/>
        </w:r>
      </w:p>
    </w:sdtContent>
  </w:sdt>
  <w:p w:rsidR="008A5974" w:rsidRDefault="008A59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62" w:rsidRPr="004E0F28" w:rsidRDefault="00DC3562" w:rsidP="00DC3562">
    <w:pPr>
      <w:pStyle w:val="a4"/>
      <w:jc w:val="right"/>
      <w:rPr>
        <w:rFonts w:ascii="Times New Roman" w:hAnsi="Times New Roman" w:cs="Times New Roman"/>
        <w:b/>
        <w:color w:val="FF0000"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65C"/>
    <w:multiLevelType w:val="hybridMultilevel"/>
    <w:tmpl w:val="33B4C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24A9"/>
    <w:multiLevelType w:val="hybridMultilevel"/>
    <w:tmpl w:val="581CA774"/>
    <w:lvl w:ilvl="0" w:tplc="CA64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425FA0"/>
    <w:multiLevelType w:val="hybridMultilevel"/>
    <w:tmpl w:val="02168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1F3"/>
    <w:multiLevelType w:val="hybridMultilevel"/>
    <w:tmpl w:val="91F86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2D3"/>
    <w:multiLevelType w:val="hybridMultilevel"/>
    <w:tmpl w:val="B9CC6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594F"/>
    <w:multiLevelType w:val="hybridMultilevel"/>
    <w:tmpl w:val="412A6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B"/>
    <w:rsid w:val="00034886"/>
    <w:rsid w:val="000350A4"/>
    <w:rsid w:val="000404FC"/>
    <w:rsid w:val="00042672"/>
    <w:rsid w:val="00045A57"/>
    <w:rsid w:val="0005024F"/>
    <w:rsid w:val="00072B0D"/>
    <w:rsid w:val="00090188"/>
    <w:rsid w:val="0009456C"/>
    <w:rsid w:val="000C2FCA"/>
    <w:rsid w:val="000C300B"/>
    <w:rsid w:val="000E3FE0"/>
    <w:rsid w:val="000F4CFF"/>
    <w:rsid w:val="00105F68"/>
    <w:rsid w:val="0011284D"/>
    <w:rsid w:val="00125B17"/>
    <w:rsid w:val="0012685C"/>
    <w:rsid w:val="001420B5"/>
    <w:rsid w:val="00163777"/>
    <w:rsid w:val="00165313"/>
    <w:rsid w:val="00186931"/>
    <w:rsid w:val="001879F1"/>
    <w:rsid w:val="00196CBA"/>
    <w:rsid w:val="001B1E02"/>
    <w:rsid w:val="001D201A"/>
    <w:rsid w:val="001D2E18"/>
    <w:rsid w:val="001D76B2"/>
    <w:rsid w:val="001E5D0B"/>
    <w:rsid w:val="001F6E5A"/>
    <w:rsid w:val="00206CB5"/>
    <w:rsid w:val="0022520C"/>
    <w:rsid w:val="00267C06"/>
    <w:rsid w:val="00285458"/>
    <w:rsid w:val="00286886"/>
    <w:rsid w:val="00293717"/>
    <w:rsid w:val="00293F12"/>
    <w:rsid w:val="0029766D"/>
    <w:rsid w:val="002A6059"/>
    <w:rsid w:val="002B446C"/>
    <w:rsid w:val="003126AB"/>
    <w:rsid w:val="00325678"/>
    <w:rsid w:val="003417C7"/>
    <w:rsid w:val="00356995"/>
    <w:rsid w:val="00384409"/>
    <w:rsid w:val="003C45CB"/>
    <w:rsid w:val="003D5517"/>
    <w:rsid w:val="00402CFB"/>
    <w:rsid w:val="00410F0A"/>
    <w:rsid w:val="00416D33"/>
    <w:rsid w:val="004206E5"/>
    <w:rsid w:val="00431C11"/>
    <w:rsid w:val="00433932"/>
    <w:rsid w:val="00435151"/>
    <w:rsid w:val="00451257"/>
    <w:rsid w:val="00490B8F"/>
    <w:rsid w:val="00494C5F"/>
    <w:rsid w:val="00496036"/>
    <w:rsid w:val="00497BA2"/>
    <w:rsid w:val="004A0A08"/>
    <w:rsid w:val="004A41FC"/>
    <w:rsid w:val="004B1B79"/>
    <w:rsid w:val="004D01D8"/>
    <w:rsid w:val="004E0F28"/>
    <w:rsid w:val="004F5AE0"/>
    <w:rsid w:val="00511ADD"/>
    <w:rsid w:val="005438EA"/>
    <w:rsid w:val="00547EF0"/>
    <w:rsid w:val="00554E16"/>
    <w:rsid w:val="00567F82"/>
    <w:rsid w:val="00570D77"/>
    <w:rsid w:val="0057278A"/>
    <w:rsid w:val="00586CFC"/>
    <w:rsid w:val="005B0639"/>
    <w:rsid w:val="005B2BAB"/>
    <w:rsid w:val="005B68B1"/>
    <w:rsid w:val="005C03B2"/>
    <w:rsid w:val="005D27FB"/>
    <w:rsid w:val="005D2EE4"/>
    <w:rsid w:val="00636F8F"/>
    <w:rsid w:val="00653AA5"/>
    <w:rsid w:val="0069769A"/>
    <w:rsid w:val="006C2167"/>
    <w:rsid w:val="006C2B2F"/>
    <w:rsid w:val="006C4225"/>
    <w:rsid w:val="006D7C09"/>
    <w:rsid w:val="006E6EC5"/>
    <w:rsid w:val="006F7145"/>
    <w:rsid w:val="007049A1"/>
    <w:rsid w:val="007228F7"/>
    <w:rsid w:val="00734556"/>
    <w:rsid w:val="00734ED3"/>
    <w:rsid w:val="007358FA"/>
    <w:rsid w:val="00764E7A"/>
    <w:rsid w:val="00771477"/>
    <w:rsid w:val="00796CB2"/>
    <w:rsid w:val="007A3A08"/>
    <w:rsid w:val="007B14F8"/>
    <w:rsid w:val="007B6324"/>
    <w:rsid w:val="007D00D9"/>
    <w:rsid w:val="00803A4B"/>
    <w:rsid w:val="00814D5E"/>
    <w:rsid w:val="00853550"/>
    <w:rsid w:val="0085361C"/>
    <w:rsid w:val="008752B8"/>
    <w:rsid w:val="008814BE"/>
    <w:rsid w:val="008827CB"/>
    <w:rsid w:val="00885926"/>
    <w:rsid w:val="00896EBE"/>
    <w:rsid w:val="008A5974"/>
    <w:rsid w:val="008B0FBE"/>
    <w:rsid w:val="008B4546"/>
    <w:rsid w:val="008D4F02"/>
    <w:rsid w:val="008D72CA"/>
    <w:rsid w:val="00911615"/>
    <w:rsid w:val="00920C62"/>
    <w:rsid w:val="00924188"/>
    <w:rsid w:val="00941198"/>
    <w:rsid w:val="0094324E"/>
    <w:rsid w:val="0098362C"/>
    <w:rsid w:val="009852A5"/>
    <w:rsid w:val="00986249"/>
    <w:rsid w:val="00995F48"/>
    <w:rsid w:val="009B6357"/>
    <w:rsid w:val="009C7921"/>
    <w:rsid w:val="00A0600B"/>
    <w:rsid w:val="00A16A98"/>
    <w:rsid w:val="00A3074E"/>
    <w:rsid w:val="00A45BEF"/>
    <w:rsid w:val="00A524E0"/>
    <w:rsid w:val="00A65EB1"/>
    <w:rsid w:val="00A73C29"/>
    <w:rsid w:val="00A95F1F"/>
    <w:rsid w:val="00AA6462"/>
    <w:rsid w:val="00AC0198"/>
    <w:rsid w:val="00AF565B"/>
    <w:rsid w:val="00B23919"/>
    <w:rsid w:val="00B31C5C"/>
    <w:rsid w:val="00B454BD"/>
    <w:rsid w:val="00B46A8D"/>
    <w:rsid w:val="00B535F9"/>
    <w:rsid w:val="00B60A86"/>
    <w:rsid w:val="00B633F7"/>
    <w:rsid w:val="00B6384B"/>
    <w:rsid w:val="00B71F50"/>
    <w:rsid w:val="00B75C66"/>
    <w:rsid w:val="00B776FD"/>
    <w:rsid w:val="00B86E61"/>
    <w:rsid w:val="00B87CF7"/>
    <w:rsid w:val="00B91FE6"/>
    <w:rsid w:val="00B96D39"/>
    <w:rsid w:val="00BA388A"/>
    <w:rsid w:val="00BB6CF7"/>
    <w:rsid w:val="00BC6A15"/>
    <w:rsid w:val="00BC7F35"/>
    <w:rsid w:val="00BD5E97"/>
    <w:rsid w:val="00BE78E2"/>
    <w:rsid w:val="00C02AD1"/>
    <w:rsid w:val="00C07748"/>
    <w:rsid w:val="00C102E5"/>
    <w:rsid w:val="00C20112"/>
    <w:rsid w:val="00C42C06"/>
    <w:rsid w:val="00C66647"/>
    <w:rsid w:val="00C7589D"/>
    <w:rsid w:val="00C819E2"/>
    <w:rsid w:val="00C876E5"/>
    <w:rsid w:val="00C932C3"/>
    <w:rsid w:val="00CA56D2"/>
    <w:rsid w:val="00CA71F6"/>
    <w:rsid w:val="00CC0119"/>
    <w:rsid w:val="00CC1CCB"/>
    <w:rsid w:val="00D11F8F"/>
    <w:rsid w:val="00D16651"/>
    <w:rsid w:val="00D22764"/>
    <w:rsid w:val="00D35788"/>
    <w:rsid w:val="00D4227F"/>
    <w:rsid w:val="00D74E14"/>
    <w:rsid w:val="00D862AD"/>
    <w:rsid w:val="00D864F4"/>
    <w:rsid w:val="00DC01DB"/>
    <w:rsid w:val="00DC0698"/>
    <w:rsid w:val="00DC3562"/>
    <w:rsid w:val="00DE468F"/>
    <w:rsid w:val="00DF0B32"/>
    <w:rsid w:val="00E11FF0"/>
    <w:rsid w:val="00E15EF0"/>
    <w:rsid w:val="00E263CB"/>
    <w:rsid w:val="00E354E4"/>
    <w:rsid w:val="00E36F56"/>
    <w:rsid w:val="00E60689"/>
    <w:rsid w:val="00E72D79"/>
    <w:rsid w:val="00E96506"/>
    <w:rsid w:val="00EB020E"/>
    <w:rsid w:val="00EB08B9"/>
    <w:rsid w:val="00EE51C6"/>
    <w:rsid w:val="00F076B3"/>
    <w:rsid w:val="00F13D03"/>
    <w:rsid w:val="00F25E85"/>
    <w:rsid w:val="00F35686"/>
    <w:rsid w:val="00F556A3"/>
    <w:rsid w:val="00F627AD"/>
    <w:rsid w:val="00F65A2E"/>
    <w:rsid w:val="00F676FD"/>
    <w:rsid w:val="00F7069D"/>
    <w:rsid w:val="00F7668B"/>
    <w:rsid w:val="00F84676"/>
    <w:rsid w:val="00F90955"/>
    <w:rsid w:val="00F94EBE"/>
    <w:rsid w:val="00FD0583"/>
    <w:rsid w:val="00FD7DEA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985F"/>
  <w15:chartTrackingRefBased/>
  <w15:docId w15:val="{68344BA7-B535-4EE4-AECF-5165F3CE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A5974"/>
  </w:style>
  <w:style w:type="paragraph" w:styleId="a6">
    <w:name w:val="footer"/>
    <w:basedOn w:val="a"/>
    <w:link w:val="a7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A5974"/>
  </w:style>
  <w:style w:type="paragraph" w:styleId="a8">
    <w:name w:val="Balloon Text"/>
    <w:basedOn w:val="a"/>
    <w:link w:val="a9"/>
    <w:uiPriority w:val="99"/>
    <w:semiHidden/>
    <w:unhideWhenUsed/>
    <w:rsid w:val="0073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358F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F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AE5A-7A57-458D-B4ED-B84F3A74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3</Pages>
  <Words>4355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Кирило Геннадійович</dc:creator>
  <cp:keywords/>
  <dc:description/>
  <cp:lastModifiedBy>Шевчук Кирило Геннадійович</cp:lastModifiedBy>
  <cp:revision>80</cp:revision>
  <cp:lastPrinted>2020-03-23T07:24:00Z</cp:lastPrinted>
  <dcterms:created xsi:type="dcterms:W3CDTF">2020-03-23T08:04:00Z</dcterms:created>
  <dcterms:modified xsi:type="dcterms:W3CDTF">2020-04-27T09:02:00Z</dcterms:modified>
</cp:coreProperties>
</file>