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0C" w:rsidRDefault="00D956B5" w:rsidP="00D956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956B5" w:rsidRPr="00D956B5" w:rsidRDefault="00D956B5" w:rsidP="00D956B5">
      <w:pPr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65575C" w:rsidRDefault="00F74353" w:rsidP="00D956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5575C" w:rsidRPr="0065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проекту Закону України </w:t>
      </w:r>
      <w:r w:rsidR="0065575C" w:rsidRPr="00F74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</w:t>
      </w:r>
      <w:r w:rsidR="00D956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5575C" w:rsidRPr="00F74353">
        <w:rPr>
          <w:rFonts w:ascii="Times New Roman" w:hAnsi="Times New Roman" w:cs="Times New Roman"/>
          <w:b/>
          <w:sz w:val="28"/>
          <w:szCs w:val="28"/>
          <w:lang w:val="uk-UA"/>
        </w:rPr>
        <w:t>до Закону України «Про ринок електричної енергії»</w:t>
      </w:r>
    </w:p>
    <w:p w:rsidR="00F340F0" w:rsidRDefault="00F340F0" w:rsidP="00D956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0F0" w:rsidRDefault="00F340F0" w:rsidP="00D956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2A25" w:rsidRPr="00F74353" w:rsidRDefault="00BB2A25" w:rsidP="00D956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4353" w:rsidRDefault="00F74353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74353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Обґрунтування необхідності прийняття акт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423CEB" w:rsidRPr="00D956B5" w:rsidRDefault="00423CEB" w:rsidP="00D956B5">
      <w:pPr>
        <w:rPr>
          <w:rFonts w:ascii="Times New Roman" w:hAnsi="Times New Roman" w:cs="Times New Roman"/>
          <w:sz w:val="8"/>
          <w:szCs w:val="8"/>
          <w:lang w:val="uk-UA"/>
        </w:rPr>
      </w:pPr>
    </w:p>
    <w:p w:rsidR="007B66DA" w:rsidRDefault="0041284C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Стрімке</w:t>
      </w:r>
      <w:r w:rsidR="00260BBA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260BBA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генеруючих </w:t>
      </w:r>
      <w:proofErr w:type="spellStart"/>
      <w:r w:rsidR="00260BBA" w:rsidRPr="007B66DA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260BBA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альтернативної енергетики</w:t>
      </w:r>
      <w:r w:rsidR="00D72CF0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суттєвого профіциту електричної енергії. Встановлений законодавством обов’язок щодо 100% викупу всієї такої виробленої електричної енергії призводить до поступової зміни структури балансу виробленої електричної енергії. </w:t>
      </w:r>
    </w:p>
    <w:p w:rsidR="00F74353" w:rsidRDefault="00D72CF0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При незмінному рівні споживання 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>в країні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6DA">
        <w:rPr>
          <w:rFonts w:ascii="Times New Roman" w:hAnsi="Times New Roman" w:cs="Times New Roman"/>
          <w:sz w:val="28"/>
          <w:szCs w:val="28"/>
          <w:lang w:val="uk-UA"/>
        </w:rPr>
        <w:t>зроста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ючий </w:t>
      </w:r>
      <w:r w:rsidRPr="007B66DA">
        <w:rPr>
          <w:rFonts w:ascii="Times New Roman" w:hAnsi="Times New Roman" w:cs="Times New Roman"/>
          <w:sz w:val="28"/>
          <w:szCs w:val="28"/>
          <w:lang w:val="uk-UA"/>
        </w:rPr>
        <w:t>обсяг електр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66DA">
        <w:rPr>
          <w:rFonts w:ascii="Times New Roman" w:hAnsi="Times New Roman" w:cs="Times New Roman"/>
          <w:sz w:val="28"/>
          <w:szCs w:val="28"/>
          <w:lang w:val="uk-UA"/>
        </w:rPr>
        <w:t>енергії, виробленої з альтернативних джерел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витісняє інші види електричної енергії.</w:t>
      </w:r>
      <w:r w:rsidR="003E297C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Таке витіснення здійснюється</w:t>
      </w:r>
      <w:r w:rsidR="0041284C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</w:t>
      </w:r>
      <w:r w:rsidR="003E297C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електричної енергії, виробленої атомними станціями, оскільки інші види генерації (ТЕС та гідроенергетика) здатні до швидкого та безпечного маневрування </w:t>
      </w:r>
      <w:r w:rsidR="0041284C">
        <w:rPr>
          <w:rFonts w:ascii="Times New Roman" w:hAnsi="Times New Roman" w:cs="Times New Roman"/>
          <w:sz w:val="28"/>
          <w:szCs w:val="28"/>
          <w:lang w:val="uk-UA"/>
        </w:rPr>
        <w:t xml:space="preserve">своїми </w:t>
      </w:r>
      <w:proofErr w:type="spellStart"/>
      <w:r w:rsidR="003E297C" w:rsidRPr="007B66DA">
        <w:rPr>
          <w:rFonts w:ascii="Times New Roman" w:hAnsi="Times New Roman" w:cs="Times New Roman"/>
          <w:sz w:val="28"/>
          <w:szCs w:val="28"/>
          <w:lang w:val="uk-UA"/>
        </w:rPr>
        <w:t>потужностями</w:t>
      </w:r>
      <w:proofErr w:type="spellEnd"/>
      <w:r w:rsidR="003E297C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4925" w:rsidRPr="00307EB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3E297C" w:rsidRPr="00307EB2">
        <w:rPr>
          <w:rFonts w:ascii="Times New Roman" w:hAnsi="Times New Roman" w:cs="Times New Roman"/>
          <w:sz w:val="28"/>
          <w:szCs w:val="28"/>
          <w:lang w:val="uk-UA"/>
        </w:rPr>
        <w:t>маневрування потужністю в останній час також вкрай актуальн</w:t>
      </w:r>
      <w:r w:rsidR="00E14925" w:rsidRPr="00307EB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E297C" w:rsidRPr="00307EB2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E14925" w:rsidRPr="00307EB2">
        <w:rPr>
          <w:rFonts w:ascii="Times New Roman" w:hAnsi="Times New Roman" w:cs="Times New Roman"/>
          <w:sz w:val="28"/>
          <w:szCs w:val="28"/>
          <w:lang w:val="uk-UA"/>
        </w:rPr>
        <w:t>рівень прогнозування обсягу електричної енергії, яка виробляється з альтернативних джерел вкрай низька, а її виробники не несуть відповідальності за небаланс, тому все частіше НЕК «Укренерго» змушене вручну</w:t>
      </w:r>
      <w:r w:rsidR="007B66DA" w:rsidRPr="00307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925" w:rsidRPr="00307EB2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он-лайн</w:t>
      </w:r>
      <w:r w:rsidR="007B66DA" w:rsidRPr="00307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925" w:rsidRPr="00307EB2">
        <w:rPr>
          <w:rFonts w:ascii="Times New Roman" w:hAnsi="Times New Roman" w:cs="Times New Roman"/>
          <w:sz w:val="28"/>
          <w:szCs w:val="28"/>
          <w:lang w:val="uk-UA"/>
        </w:rPr>
        <w:t xml:space="preserve"> регулювати (збільшувати або зменшувати) потужність інших видів генерації.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32D" w:rsidRDefault="001D632D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ситуація має наслідком створення обставин в яких 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1284C">
        <w:rPr>
          <w:rFonts w:ascii="Times New Roman" w:hAnsi="Times New Roman" w:cs="Times New Roman"/>
          <w:sz w:val="28"/>
          <w:szCs w:val="28"/>
          <w:lang w:val="uk-UA"/>
        </w:rPr>
        <w:t>об’єднаній енергетичній системі</w:t>
      </w:r>
      <w:r w:rsidR="00423CEB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6DA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 через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поступове зменшення обсягу електричної енергії, що виробляється атомними станціями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 свою чергу ставить під загрозу енергетичну та національну безпеку України.</w:t>
      </w:r>
      <w:r w:rsidR="00E14925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32D" w:rsidRDefault="001D632D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C" w:rsidRPr="00D956B5" w:rsidRDefault="00E14925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цієї проблеми пропонується використати механізм стимулювання </w:t>
      </w:r>
      <w:r w:rsidR="001D632D" w:rsidRPr="00D956B5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D65043"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потужних </w:t>
      </w:r>
      <w:r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споживачів електричної </w:t>
      </w:r>
      <w:r w:rsidR="00D65043" w:rsidRPr="00D956B5">
        <w:rPr>
          <w:rFonts w:ascii="Times New Roman" w:hAnsi="Times New Roman" w:cs="Times New Roman"/>
          <w:sz w:val="28"/>
          <w:szCs w:val="28"/>
          <w:lang w:val="uk-UA"/>
        </w:rPr>
        <w:t>енергії, які будуть якнайменше впливати на баланс ОЕС</w:t>
      </w:r>
      <w:r w:rsidR="0041284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65043"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сталого та прогнозованого споживання.</w:t>
      </w:r>
      <w:r w:rsidR="00D65043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Для таких нових споживачів пропонується надати можливість укладати довгострокові договори із виробник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5043" w:rsidRPr="007B66D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5043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електричної енергії,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 за окремою процедурою за рішенням К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6D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B8634E" w:rsidRPr="007B6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56B5" w:rsidRPr="00382C10" w:rsidRDefault="00D956B5" w:rsidP="00D956B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D632D" w:rsidRDefault="00D956B5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Цілі і завдання прийняття законопроекту</w:t>
      </w:r>
    </w:p>
    <w:p w:rsidR="00D956B5" w:rsidRPr="0041284C" w:rsidRDefault="00D956B5" w:rsidP="00D956B5">
      <w:pPr>
        <w:jc w:val="both"/>
        <w:rPr>
          <w:rFonts w:ascii="Times New Roman" w:hAnsi="Times New Roman" w:cs="Times New Roman"/>
          <w:b/>
          <w:sz w:val="8"/>
          <w:szCs w:val="8"/>
          <w:lang w:val="uk-UA" w:eastAsia="ru-RU"/>
        </w:rPr>
      </w:pPr>
    </w:p>
    <w:p w:rsidR="0065575C" w:rsidRDefault="0041284C" w:rsidP="00307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84C">
        <w:rPr>
          <w:rFonts w:ascii="Times New Roman" w:hAnsi="Times New Roman" w:cs="Times New Roman"/>
          <w:sz w:val="28"/>
          <w:szCs w:val="28"/>
          <w:lang w:val="uk-UA"/>
        </w:rPr>
        <w:t>Ціллю законопроект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84C">
        <w:rPr>
          <w:rFonts w:ascii="Times New Roman" w:hAnsi="Times New Roman" w:cs="Times New Roman"/>
          <w:sz w:val="28"/>
          <w:szCs w:val="28"/>
          <w:lang w:val="uk-UA"/>
        </w:rPr>
        <w:t xml:space="preserve"> є створення належних умов для збереження сталої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ОЕС України, підтримка критичної енергетичної інфраструктури, забезпечення енергетичної безпеки України</w:t>
      </w:r>
      <w:r w:rsidR="00307E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EB2" w:rsidRDefault="00307EB2" w:rsidP="00307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EB2" w:rsidRDefault="00307EB2" w:rsidP="00307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711" w:rsidRPr="004C5711" w:rsidRDefault="004C5711" w:rsidP="004C5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C" w:rsidRPr="003A70EA" w:rsidRDefault="0065575C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70EA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Загальна характеристика та основні положення законопроекту</w:t>
      </w:r>
    </w:p>
    <w:p w:rsidR="0065575C" w:rsidRPr="00D956B5" w:rsidRDefault="0065575C" w:rsidP="00D956B5">
      <w:pPr>
        <w:ind w:left="720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</w:p>
    <w:p w:rsidR="00941B4D" w:rsidRDefault="0065575C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0EA">
        <w:rPr>
          <w:rFonts w:ascii="Times New Roman" w:hAnsi="Times New Roman" w:cs="Times New Roman"/>
          <w:sz w:val="28"/>
          <w:szCs w:val="28"/>
          <w:lang w:val="uk-UA"/>
        </w:rPr>
        <w:t>Проектом акт</w:t>
      </w:r>
      <w:r w:rsidR="003A70EA" w:rsidRPr="003A70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4D">
        <w:rPr>
          <w:rFonts w:ascii="Times New Roman" w:hAnsi="Times New Roman" w:cs="Times New Roman"/>
          <w:sz w:val="28"/>
          <w:szCs w:val="28"/>
          <w:lang w:val="uk-UA"/>
        </w:rPr>
        <w:t>пропонується:</w:t>
      </w:r>
    </w:p>
    <w:p w:rsidR="00C426B3" w:rsidRDefault="00941B4D" w:rsidP="00C426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B3">
        <w:rPr>
          <w:rFonts w:ascii="Times" w:hAnsi="Times" w:cs="Times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>можливості встановлювати для підприємств зазначених у п.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1171">
        <w:rPr>
          <w:rFonts w:ascii="Times New Roman" w:hAnsi="Times New Roman" w:cs="Times New Roman"/>
          <w:sz w:val="28"/>
          <w:szCs w:val="28"/>
          <w:lang w:val="uk-UA"/>
        </w:rPr>
        <w:t xml:space="preserve">66 Закону України «Про ринок електричної енергії» </w:t>
      </w:r>
      <w:r w:rsidR="002A1171" w:rsidRPr="00C426B3">
        <w:rPr>
          <w:rFonts w:ascii="Times New Roman" w:hAnsi="Times New Roman" w:cs="Times New Roman"/>
          <w:sz w:val="28"/>
          <w:szCs w:val="28"/>
          <w:lang w:val="uk-UA"/>
        </w:rPr>
        <w:t>обов’язковий продаж на постійній основі визначеного обсягу електричної енергії за довгостроковими (не менш, ніж п’ять років) двосторонніми договорами на спеціальних електронних аукціонах виключно кінцевим споживачам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 xml:space="preserve"> які:</w:t>
      </w:r>
      <w:r w:rsidR="00C426B3" w:rsidRPr="00C42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6B3" w:rsidRDefault="00C426B3" w:rsidP="00C426B3">
      <w:pPr>
        <w:pStyle w:val="a3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B3">
        <w:rPr>
          <w:rFonts w:ascii="Times New Roman" w:hAnsi="Times New Roman" w:cs="Times New Roman"/>
          <w:sz w:val="28"/>
          <w:szCs w:val="28"/>
          <w:lang w:val="uk-UA"/>
        </w:rPr>
        <w:t xml:space="preserve">мають на меті створення нових та наступну експлуатацію об’єктів, сукупна проектна потужність електроустановок яких складає 100 </w:t>
      </w:r>
      <w:proofErr w:type="spellStart"/>
      <w:r w:rsidRPr="00C426B3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C426B3">
        <w:rPr>
          <w:rFonts w:ascii="Times New Roman" w:hAnsi="Times New Roman" w:cs="Times New Roman"/>
          <w:sz w:val="28"/>
          <w:szCs w:val="28"/>
          <w:lang w:val="uk-UA"/>
        </w:rPr>
        <w:t xml:space="preserve"> та вище; </w:t>
      </w:r>
    </w:p>
    <w:p w:rsidR="00C426B3" w:rsidRDefault="00C426B3" w:rsidP="00C426B3">
      <w:pPr>
        <w:pStyle w:val="a3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B3">
        <w:rPr>
          <w:rFonts w:ascii="Times New Roman" w:hAnsi="Times New Roman" w:cs="Times New Roman"/>
          <w:sz w:val="28"/>
          <w:szCs w:val="28"/>
          <w:lang w:val="uk-UA"/>
        </w:rPr>
        <w:t>умови споживання таких об’єктів відрізняються сталим споживанням, прогнозованістю та мінімальним ризиком небалансу;</w:t>
      </w:r>
    </w:p>
    <w:p w:rsidR="0065575C" w:rsidRPr="00C426B3" w:rsidRDefault="00C426B3" w:rsidP="00C426B3">
      <w:pPr>
        <w:pStyle w:val="a3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B3">
        <w:rPr>
          <w:rFonts w:ascii="Times New Roman" w:hAnsi="Times New Roman" w:cs="Times New Roman"/>
          <w:sz w:val="28"/>
          <w:szCs w:val="28"/>
          <w:lang w:val="uk-UA"/>
        </w:rPr>
        <w:t>господарська діяльність таких підприємств (основний виробничий процес) не пов’язаний з викидами парникових газів.</w:t>
      </w:r>
    </w:p>
    <w:p w:rsidR="002A1171" w:rsidRPr="002A1171" w:rsidRDefault="002A1171" w:rsidP="00941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171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2A1171">
        <w:rPr>
          <w:rFonts w:ascii="Times" w:hAnsi="Times" w:cs="Times"/>
          <w:sz w:val="28"/>
          <w:szCs w:val="28"/>
          <w:lang w:val="uk-UA"/>
        </w:rPr>
        <w:t>виробникам електричної енергії - державним підприємствам, а також господарськ</w:t>
      </w:r>
      <w:r>
        <w:rPr>
          <w:rFonts w:ascii="Times" w:hAnsi="Times" w:cs="Times"/>
          <w:sz w:val="28"/>
          <w:szCs w:val="28"/>
          <w:lang w:val="uk-UA"/>
        </w:rPr>
        <w:t>им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товариства</w:t>
      </w:r>
      <w:r>
        <w:rPr>
          <w:rFonts w:ascii="Times" w:hAnsi="Times" w:cs="Times"/>
          <w:sz w:val="28"/>
          <w:szCs w:val="28"/>
          <w:lang w:val="uk-UA"/>
        </w:rPr>
        <w:t>м</w:t>
      </w:r>
      <w:r w:rsidRPr="002A1171">
        <w:rPr>
          <w:rFonts w:ascii="Times" w:hAnsi="Times" w:cs="Times"/>
          <w:sz w:val="28"/>
          <w:szCs w:val="28"/>
          <w:lang w:val="uk-UA"/>
        </w:rPr>
        <w:t>, частка держави у статутному капіталі яких становить 50 відсотків та більше, господарськ</w:t>
      </w:r>
      <w:r>
        <w:rPr>
          <w:rFonts w:ascii="Times" w:hAnsi="Times" w:cs="Times"/>
          <w:sz w:val="28"/>
          <w:szCs w:val="28"/>
          <w:lang w:val="uk-UA"/>
        </w:rPr>
        <w:t>им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товариства</w:t>
      </w:r>
      <w:r>
        <w:rPr>
          <w:rFonts w:ascii="Times" w:hAnsi="Times" w:cs="Times"/>
          <w:sz w:val="28"/>
          <w:szCs w:val="28"/>
          <w:lang w:val="uk-UA"/>
        </w:rPr>
        <w:t>м</w:t>
      </w:r>
      <w:r w:rsidRPr="002A1171">
        <w:rPr>
          <w:rFonts w:ascii="Times" w:hAnsi="Times" w:cs="Times"/>
          <w:sz w:val="28"/>
          <w:szCs w:val="28"/>
          <w:lang w:val="uk-UA"/>
        </w:rPr>
        <w:t>, у статутному капіталі яких 50 відсотків та більше акцій (часток, паїв) належать іншим господарським товариствам, акціонером яких є держава і володіє в них контрольним пакетом акцій, а також дочірні</w:t>
      </w:r>
      <w:r>
        <w:rPr>
          <w:rFonts w:ascii="Times" w:hAnsi="Times" w:cs="Times"/>
          <w:sz w:val="28"/>
          <w:szCs w:val="28"/>
          <w:lang w:val="uk-UA"/>
        </w:rPr>
        <w:t>м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підприємства</w:t>
      </w:r>
      <w:r>
        <w:rPr>
          <w:rFonts w:ascii="Times" w:hAnsi="Times" w:cs="Times"/>
          <w:sz w:val="28"/>
          <w:szCs w:val="28"/>
          <w:lang w:val="uk-UA"/>
        </w:rPr>
        <w:t>м</w:t>
      </w:r>
      <w:r w:rsidRPr="002A1171">
        <w:rPr>
          <w:rFonts w:ascii="Times" w:hAnsi="Times" w:cs="Times"/>
          <w:sz w:val="28"/>
          <w:szCs w:val="28"/>
          <w:lang w:val="uk-UA"/>
        </w:rPr>
        <w:t>, представництва</w:t>
      </w:r>
      <w:r>
        <w:rPr>
          <w:rFonts w:ascii="Times" w:hAnsi="Times" w:cs="Times"/>
          <w:sz w:val="28"/>
          <w:szCs w:val="28"/>
          <w:lang w:val="uk-UA"/>
        </w:rPr>
        <w:t>м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та філі</w:t>
      </w:r>
      <w:r>
        <w:rPr>
          <w:rFonts w:ascii="Times" w:hAnsi="Times" w:cs="Times"/>
          <w:sz w:val="28"/>
          <w:szCs w:val="28"/>
          <w:lang w:val="uk-UA"/>
        </w:rPr>
        <w:t>ям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таких підприємств і товариств </w:t>
      </w:r>
      <w:r>
        <w:rPr>
          <w:rFonts w:ascii="Times" w:hAnsi="Times" w:cs="Times"/>
          <w:sz w:val="28"/>
          <w:szCs w:val="28"/>
          <w:lang w:val="uk-UA"/>
        </w:rPr>
        <w:t xml:space="preserve">можливості </w:t>
      </w:r>
      <w:r w:rsidRPr="002A1171">
        <w:rPr>
          <w:rFonts w:ascii="Times" w:hAnsi="Times" w:cs="Times"/>
          <w:sz w:val="28"/>
          <w:szCs w:val="28"/>
          <w:lang w:val="uk-UA"/>
        </w:rPr>
        <w:t>здійсню</w:t>
      </w:r>
      <w:r>
        <w:rPr>
          <w:rFonts w:ascii="Times" w:hAnsi="Times" w:cs="Times"/>
          <w:sz w:val="28"/>
          <w:szCs w:val="28"/>
          <w:lang w:val="uk-UA"/>
        </w:rPr>
        <w:t>вати</w:t>
      </w:r>
      <w:r w:rsidRPr="002A1171">
        <w:rPr>
          <w:rFonts w:ascii="Times" w:hAnsi="Times" w:cs="Times"/>
          <w:sz w:val="28"/>
          <w:szCs w:val="28"/>
          <w:lang w:val="uk-UA"/>
        </w:rPr>
        <w:t xml:space="preserve"> продаж електричної енергії за договорами експорту електричної енергії</w:t>
      </w:r>
      <w:r>
        <w:rPr>
          <w:rFonts w:ascii="Times" w:hAnsi="Times" w:cs="Times"/>
          <w:sz w:val="28"/>
          <w:szCs w:val="28"/>
          <w:lang w:val="uk-UA"/>
        </w:rPr>
        <w:t xml:space="preserve"> без проведення аукціону.</w:t>
      </w:r>
    </w:p>
    <w:p w:rsidR="0065575C" w:rsidRPr="003A70EA" w:rsidRDefault="0065575C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C" w:rsidRPr="003A70EA" w:rsidRDefault="0065575C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70EA">
        <w:rPr>
          <w:rFonts w:ascii="Times New Roman" w:hAnsi="Times New Roman" w:cs="Times New Roman"/>
          <w:b/>
          <w:sz w:val="28"/>
          <w:szCs w:val="28"/>
          <w:lang w:val="uk-UA" w:eastAsia="ru-RU"/>
        </w:rPr>
        <w:t>Стан нормативно-правової бази у даній сфері правового регулювання</w:t>
      </w:r>
    </w:p>
    <w:p w:rsidR="0065575C" w:rsidRPr="00D956B5" w:rsidRDefault="0065575C" w:rsidP="00D956B5">
      <w:pPr>
        <w:ind w:firstLine="720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</w:p>
    <w:p w:rsidR="0065575C" w:rsidRDefault="00F340F0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нормативно-правовим</w:t>
      </w:r>
      <w:r w:rsidR="0065575C"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ом, що діє</w:t>
      </w:r>
      <w:r w:rsidR="0065575C"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 у даній сфері правового регулювання є 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="0065575C" w:rsidRPr="003A70E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«Про ринок електричної енергії»</w:t>
      </w:r>
      <w:r w:rsidR="0065575C" w:rsidRPr="003A70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6B5" w:rsidRPr="003A70EA" w:rsidRDefault="00D956B5" w:rsidP="00D956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C" w:rsidRPr="003A70EA" w:rsidRDefault="0065575C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70EA">
        <w:rPr>
          <w:rFonts w:ascii="Times New Roman" w:hAnsi="Times New Roman" w:cs="Times New Roman"/>
          <w:b/>
          <w:sz w:val="28"/>
          <w:szCs w:val="28"/>
          <w:lang w:val="uk-UA" w:eastAsia="ru-RU"/>
        </w:rPr>
        <w:t>Фінансово-економічне обґрунтування</w:t>
      </w:r>
    </w:p>
    <w:p w:rsidR="0065575C" w:rsidRPr="00D956B5" w:rsidRDefault="0065575C" w:rsidP="00D956B5">
      <w:pPr>
        <w:ind w:firstLine="720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</w:p>
    <w:p w:rsidR="0065575C" w:rsidRDefault="0065575C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0EA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проекту акту</w:t>
      </w:r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видатків з Державного та місцевих бюджетів.</w:t>
      </w:r>
    </w:p>
    <w:p w:rsidR="00C426B3" w:rsidRPr="003A70EA" w:rsidRDefault="00C426B3" w:rsidP="00D956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56B5" w:rsidRDefault="0065575C" w:rsidP="00D956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94BC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Прогноз соціально-економічних та інших результатів прийняття проекту</w:t>
      </w:r>
    </w:p>
    <w:p w:rsidR="00D956B5" w:rsidRPr="00D956B5" w:rsidRDefault="00D956B5" w:rsidP="00D956B5">
      <w:pPr>
        <w:ind w:left="1080"/>
        <w:jc w:val="both"/>
        <w:rPr>
          <w:rFonts w:ascii="Times New Roman" w:hAnsi="Times New Roman" w:cs="Times New Roman"/>
          <w:b/>
          <w:sz w:val="8"/>
          <w:szCs w:val="8"/>
          <w:lang w:val="uk-UA" w:eastAsia="ru-RU"/>
        </w:rPr>
      </w:pPr>
    </w:p>
    <w:p w:rsidR="00046053" w:rsidRPr="00D956B5" w:rsidRDefault="00046053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Pr="00D956B5">
        <w:rPr>
          <w:rFonts w:ascii="Times New Roman" w:hAnsi="Times New Roman" w:cs="Times New Roman"/>
          <w:sz w:val="28"/>
          <w:szCs w:val="28"/>
          <w:lang w:val="uk-UA"/>
        </w:rPr>
        <w:t xml:space="preserve">НАЕК «Енергоатом» відпускає електроенергію відповідно до  двосторонньої угоди на адресу ДП за економічно обґрунтованою ціною, встановленою НКРЕКП. Відпускна ціна становить 566,70грн. за 1МВт/год без ПДВ, що покриває собівартість і планову норму прибутку. За отриманою інформацією, собівартість електроенергії, яка подавалася при розрахунку </w:t>
      </w:r>
      <w:r w:rsidRPr="00D956B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відпускної ціни в 566,70 грн. за 1МВт/год, становила близько 470грн. за 1МВт/ год при нормі прибутку 20%.</w:t>
      </w:r>
    </w:p>
    <w:p w:rsidR="00046053" w:rsidRPr="003A70EA" w:rsidRDefault="00046053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Якщо закласти в модель інфляцію 15% і норму прибутку 25%, то відпускна ціна без ПДВ за 1МВт/год може бути на рівні 675,63грн. (47,00 * 1,15 * 1,25).  </w:t>
      </w:r>
    </w:p>
    <w:p w:rsidR="00046053" w:rsidRPr="003A70EA" w:rsidRDefault="00046053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При мінімальній річній інфляції дохідної та видаткової частини на рівні 5%, протягом трьох років експлуатації перших трьох черг сумарної потужності 434МВт, валовий дохід </w:t>
      </w:r>
      <w:r w:rsidR="00C426B3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НАЕК «Енергоатом» становитиме 7,0 </w:t>
      </w:r>
      <w:proofErr w:type="spellStart"/>
      <w:r w:rsidRPr="003A70EA">
        <w:rPr>
          <w:rFonts w:ascii="Times New Roman" w:hAnsi="Times New Roman" w:cs="Times New Roman"/>
          <w:sz w:val="28"/>
          <w:szCs w:val="28"/>
          <w:lang w:val="uk-UA"/>
        </w:rPr>
        <w:t>млрд.грн</w:t>
      </w:r>
      <w:proofErr w:type="spellEnd"/>
      <w:r w:rsidRPr="003A70EA">
        <w:rPr>
          <w:rFonts w:ascii="Times New Roman" w:hAnsi="Times New Roman" w:cs="Times New Roman"/>
          <w:sz w:val="28"/>
          <w:szCs w:val="28"/>
          <w:lang w:val="uk-UA"/>
        </w:rPr>
        <w:t>. з ПДВ. Валовий прибуток складе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0EA">
        <w:rPr>
          <w:rFonts w:ascii="Times New Roman" w:hAnsi="Times New Roman" w:cs="Times New Roman"/>
          <w:sz w:val="28"/>
          <w:szCs w:val="28"/>
          <w:lang w:val="uk-UA"/>
        </w:rPr>
        <w:t>млрд.грн</w:t>
      </w:r>
      <w:proofErr w:type="spellEnd"/>
      <w:r w:rsidRPr="003A70E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D632D" w:rsidRPr="00D956B5" w:rsidRDefault="001D632D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C" w:rsidRPr="004129FA" w:rsidRDefault="004129FA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9FA">
        <w:rPr>
          <w:rFonts w:ascii="Times New Roman" w:hAnsi="Times New Roman" w:cs="Times New Roman"/>
          <w:sz w:val="28"/>
          <w:szCs w:val="28"/>
          <w:lang w:val="uk-UA"/>
        </w:rPr>
        <w:t>Опис поточної проблематики у додатку №</w:t>
      </w:r>
      <w:r w:rsidR="007642C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12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0F0" w:rsidRDefault="00F340F0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2CF" w:rsidRPr="007642CF" w:rsidRDefault="007642CF" w:rsidP="00D956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7642CF" w:rsidTr="007642CF">
        <w:tc>
          <w:tcPr>
            <w:tcW w:w="4320" w:type="dxa"/>
          </w:tcPr>
          <w:p w:rsidR="007642CF" w:rsidRDefault="007642CF" w:rsidP="007642CF">
            <w:p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Народні </w:t>
            </w:r>
            <w:r w:rsidRPr="00041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041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</w:t>
            </w:r>
            <w:r w:rsidRPr="00BB0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040" w:type="dxa"/>
          </w:tcPr>
          <w:p w:rsidR="007642CF" w:rsidRPr="00BB0B81" w:rsidRDefault="007642CF" w:rsidP="007642CF">
            <w:pPr>
              <w:ind w:left="612" w:firstLine="70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0B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Скороход А.К. (№ </w:t>
            </w:r>
            <w:proofErr w:type="spellStart"/>
            <w:r w:rsidRPr="00BB0B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посв</w:t>
            </w:r>
            <w:proofErr w:type="spellEnd"/>
            <w:r w:rsidRPr="00BB0B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299)</w:t>
            </w:r>
          </w:p>
          <w:p w:rsidR="007642CF" w:rsidRPr="00BB0B81" w:rsidRDefault="007642CF" w:rsidP="007642CF">
            <w:pPr>
              <w:ind w:left="2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42CF" w:rsidRDefault="007642CF" w:rsidP="007642CF">
            <w:pPr>
              <w:ind w:left="25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575C" w:rsidRPr="000430F0" w:rsidRDefault="0065575C" w:rsidP="00BC4F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46053" w:rsidRPr="00043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65575C" w:rsidRPr="00046053" w:rsidRDefault="0065575C" w:rsidP="00655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6B5" w:rsidRDefault="00D956B5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5874A4" w:rsidRPr="005874A4" w:rsidRDefault="005874A4" w:rsidP="005874A4">
      <w:pPr>
        <w:ind w:firstLine="851"/>
        <w:jc w:val="right"/>
        <w:rPr>
          <w:rFonts w:ascii="Times New Roman" w:hAnsi="Times New Roman" w:cs="Times New Roman"/>
          <w:lang w:val="uk-UA"/>
        </w:rPr>
      </w:pPr>
      <w:r w:rsidRPr="005874A4">
        <w:rPr>
          <w:rFonts w:ascii="Times New Roman" w:hAnsi="Times New Roman" w:cs="Times New Roman"/>
          <w:lang w:val="uk-UA"/>
        </w:rPr>
        <w:lastRenderedPageBreak/>
        <w:t>Додаток №</w:t>
      </w:r>
      <w:r w:rsidR="00D956B5">
        <w:rPr>
          <w:rFonts w:ascii="Times New Roman" w:hAnsi="Times New Roman" w:cs="Times New Roman"/>
          <w:lang w:val="uk-UA"/>
        </w:rPr>
        <w:t xml:space="preserve"> </w:t>
      </w:r>
      <w:r w:rsidR="00307EB2">
        <w:rPr>
          <w:rFonts w:ascii="Times New Roman" w:hAnsi="Times New Roman" w:cs="Times New Roman"/>
          <w:lang w:val="uk-UA"/>
        </w:rPr>
        <w:t>1</w:t>
      </w:r>
    </w:p>
    <w:p w:rsidR="005874A4" w:rsidRPr="005874A4" w:rsidRDefault="005874A4" w:rsidP="005874A4">
      <w:pPr>
        <w:ind w:firstLine="851"/>
        <w:jc w:val="right"/>
        <w:rPr>
          <w:rFonts w:ascii="Times New Roman" w:hAnsi="Times New Roman" w:cs="Times New Roman"/>
          <w:lang w:val="uk-UA"/>
        </w:rPr>
      </w:pPr>
    </w:p>
    <w:p w:rsidR="005874A4" w:rsidRPr="005874A4" w:rsidRDefault="005874A4" w:rsidP="005874A4">
      <w:pPr>
        <w:ind w:firstLine="851"/>
        <w:jc w:val="right"/>
        <w:rPr>
          <w:rFonts w:ascii="Times New Roman" w:hAnsi="Times New Roman" w:cs="Times New Roman"/>
          <w:lang w:val="uk-UA"/>
        </w:rPr>
      </w:pPr>
    </w:p>
    <w:p w:rsidR="005874A4" w:rsidRPr="005874A4" w:rsidRDefault="005874A4" w:rsidP="005874A4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поточної проблематики</w:t>
      </w:r>
    </w:p>
    <w:p w:rsidR="005874A4" w:rsidRPr="005874A4" w:rsidRDefault="005874A4" w:rsidP="005874A4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в Україні посилюється дисбаланс між потенціалом генеруючих підприємств і можливостями щодо розподілу і споживання електроенергії, що призводить до виникнення технічних обмежень як в генерації, так і в розподілі електроенергії.</w:t>
      </w: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2018 ситуація значно погіршилася в порівнянні з 2013 роком:</w:t>
      </w: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виробництво: 193,6млрд. проти 159,3млрд.кВт * год;</w:t>
      </w: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споживання: 183,7млрд. проти 153,1млрд.кВт * год;</w:t>
      </w: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експорт: 9,9млрд. проти 6,2 </w:t>
      </w:r>
      <w:proofErr w:type="spellStart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млрд.кВт</w:t>
      </w:r>
      <w:proofErr w:type="spellEnd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* год.</w:t>
      </w:r>
    </w:p>
    <w:p w:rsidR="005874A4" w:rsidRPr="005874A4" w:rsidRDefault="005874A4" w:rsidP="005874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874A4" w:rsidRPr="005874A4" w:rsidRDefault="005874A4" w:rsidP="005874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Реальний стан справ дещо спотворює те, що державні компанії, зокрема </w:t>
      </w:r>
      <w:r w:rsidR="00A722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ДП </w:t>
      </w:r>
      <w:r w:rsidRPr="005874A4">
        <w:rPr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="00A72214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5874A4">
        <w:rPr>
          <w:rFonts w:ascii="Times New Roman" w:hAnsi="Times New Roman" w:cs="Times New Roman"/>
          <w:sz w:val="28"/>
          <w:szCs w:val="28"/>
          <w:lang w:val="uk-UA" w:eastAsia="uk-UA"/>
        </w:rPr>
        <w:t>К «Енергоатом», при плануванні часто вказують номінальну потужність як планову, що невірно, а також той факт, що для балансування виробництва/ споживання електроенергії окремим енергоблоком або знижується виробництво, або вони становляться на ремонт/технічне обслуговування. Щороку загальна кількість днів простою ядерних енергоблоків збільшується, а середній час поточних і капітальних ремонтів зростає. Якщо в 2018 році середня тривалість ремонту одного енергоблоку становила 111 днів, то в 2018 році - вже 130 днів.</w:t>
      </w:r>
    </w:p>
    <w:p w:rsidR="005874A4" w:rsidRPr="005874A4" w:rsidRDefault="005874A4" w:rsidP="005874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наслідок, фактичний обсяг виробництва найбільш дешевої електроенергії </w:t>
      </w:r>
      <w:r w:rsidR="00C426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ДП </w:t>
      </w: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НАЕК «Енергоатом» знижується:</w:t>
      </w:r>
    </w:p>
    <w:p w:rsidR="005874A4" w:rsidRPr="005874A4" w:rsidRDefault="005874A4" w:rsidP="005874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4A4" w:rsidRDefault="005874A4" w:rsidP="005874A4">
      <w:r w:rsidRPr="004651A0">
        <w:rPr>
          <w:noProof/>
          <w:lang w:val="uk-UA" w:eastAsia="uk-UA"/>
        </w:rPr>
        <w:drawing>
          <wp:inline distT="0" distB="0" distL="0" distR="0" wp14:anchorId="78C34DC9" wp14:editId="778C027D">
            <wp:extent cx="5786205" cy="3467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92" cy="3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A4" w:rsidRPr="00650761" w:rsidRDefault="005874A4" w:rsidP="005874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65076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lastRenderedPageBreak/>
        <w:t>Що в підсумку призводить до зростання більш дорогих видів генерації в енергобалансі України:</w:t>
      </w:r>
    </w:p>
    <w:p w:rsidR="005874A4" w:rsidRPr="0096683E" w:rsidRDefault="005874A4" w:rsidP="005874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874A4" w:rsidRPr="002B2706" w:rsidRDefault="005874A4" w:rsidP="005874A4">
      <w:pPr>
        <w:rPr>
          <w:rFonts w:ascii="Times New Roman" w:hAnsi="Times New Roman" w:cs="Times New Roman"/>
          <w:sz w:val="28"/>
          <w:szCs w:val="28"/>
        </w:rPr>
      </w:pPr>
      <w:r w:rsidRPr="002B270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14879F5" wp14:editId="647B9247">
            <wp:extent cx="6120765" cy="298377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Зростання альтернативної генерації призводить не до заміщення ТЕС і ТЕЦ, а до витіснення АЕС. Зростає частка ТЕС і ТЕЦ, які практично монополізували ринок промислових споживачів і заробляють додаткові  прибутки на ринках ВДР і РДН (</w:t>
      </w:r>
      <w:r w:rsidRPr="00587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внутрішньодобовий ринок</w:t>
      </w:r>
      <w:r w:rsidRPr="005874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та ринок </w:t>
      </w:r>
      <w:r w:rsidRPr="00587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«на добу наперед»).</w:t>
      </w:r>
    </w:p>
    <w:p w:rsidR="005874A4" w:rsidRDefault="005874A4" w:rsidP="005874A4">
      <w:pPr>
        <w:pStyle w:val="Default"/>
        <w:rPr>
          <w:sz w:val="22"/>
          <w:szCs w:val="22"/>
        </w:rPr>
      </w:pPr>
    </w:p>
    <w:p w:rsidR="005874A4" w:rsidRDefault="005874A4" w:rsidP="005874A4">
      <w:pPr>
        <w:pStyle w:val="Default"/>
        <w:rPr>
          <w:sz w:val="22"/>
          <w:szCs w:val="22"/>
        </w:rPr>
      </w:pPr>
      <w:r w:rsidRPr="004651A0">
        <w:rPr>
          <w:noProof/>
          <w:lang w:eastAsia="uk-UA"/>
        </w:rPr>
        <w:drawing>
          <wp:inline distT="0" distB="0" distL="0" distR="0" wp14:anchorId="73A7ABAB" wp14:editId="0271C552">
            <wp:extent cx="6629400" cy="397199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22" cy="39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A4" w:rsidRDefault="005874A4" w:rsidP="005874A4"/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тлі низької якості прогнозування обсягів альтернативної генерації і дисбалансу між генерацією і споживанням, в ряді регіонів України виникають значні технічні обмеження в енергосистемі. Зокрема, ПС 750кВ «Каховська» будувалася для забезпечення електроенергією споживачів Херсонської області та Кримського півострова (тільки в Крим у 2013 році було передано 5,3млрд.кВт/ год - до 800МВт передавальних </w:t>
      </w:r>
      <w:proofErr w:type="spellStart"/>
      <w:r w:rsidRPr="005874A4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5874A4">
        <w:rPr>
          <w:rFonts w:ascii="Times New Roman" w:hAnsi="Times New Roman" w:cs="Times New Roman"/>
          <w:sz w:val="28"/>
          <w:szCs w:val="28"/>
          <w:lang w:val="uk-UA"/>
        </w:rPr>
        <w:t xml:space="preserve">). Виходячи з цього завдання, розраховувалися передаючі потужності, а також забезпечувалася альтернативна генерація і будувалася ЛЕП 750кВ для </w:t>
      </w:r>
      <w:proofErr w:type="spellStart"/>
      <w:r w:rsidRPr="005874A4">
        <w:rPr>
          <w:rFonts w:ascii="Times New Roman" w:hAnsi="Times New Roman" w:cs="Times New Roman"/>
          <w:sz w:val="28"/>
          <w:szCs w:val="28"/>
          <w:lang w:val="uk-UA"/>
        </w:rPr>
        <w:t>дозавантаження</w:t>
      </w:r>
      <w:proofErr w:type="spellEnd"/>
      <w:r w:rsidRPr="005874A4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АЕС. </w:t>
      </w: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Сьогодні у ПС «Каховська» є істотні технічні обмеження з передачі електроенергії </w:t>
      </w:r>
      <w:proofErr w:type="spellStart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заживлених</w:t>
      </w:r>
      <w:proofErr w:type="spellEnd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неї виробників, а ЗАЕС вже змушена повністю зупинити роботу шостого енергоблоку через брак споживачів.</w:t>
      </w:r>
    </w:p>
    <w:p w:rsidR="005874A4" w:rsidRPr="005874A4" w:rsidRDefault="005874A4" w:rsidP="00587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Розвиток української енергетики повинен приводити до ефективного енергобалансу генерації/споживання з вирівнюванням технічних обмежень і трендом на здешевлення вартості електроенергії, а не навпаки. Зростання генерації АЕС - один з ключових елементів енергетичної стратегії і розширення можливостей у </w:t>
      </w:r>
      <w:r w:rsidR="00C426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ДП </w:t>
      </w: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НАЕК «Енергоатом» з реалізації електроенергії за довгостроковими двосторонніми угодами - необхідність.</w:t>
      </w:r>
    </w:p>
    <w:p w:rsidR="005874A4" w:rsidRPr="005874A4" w:rsidRDefault="005874A4" w:rsidP="005874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</w:t>
      </w:r>
      <w:r w:rsidR="00C426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ДП</w:t>
      </w: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НАЕК «Енергоатом» відпускає електроенергію за двосторонньою угодою тільки на адресу ДП. Відпускна ціна становить 566,70 грн за 1МВт / год, що покриває собівартість і планову норму прибутку. Якщо для нових стратегічних проектів ціна на електроенергію буде на рівні близько 650 грн за 1МВт (2,5 </w:t>
      </w:r>
      <w:proofErr w:type="spellStart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дол.США</w:t>
      </w:r>
      <w:proofErr w:type="spellEnd"/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1 кВт / год) - це забезпечить для </w:t>
      </w:r>
      <w:r w:rsidR="00C426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ДП </w:t>
      </w: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НАЕК «Енергоатом» норму прибутку на рівні 30-40%. І це буде додатковий обсяг виробленої та реалізованої електроенергії.</w:t>
      </w:r>
    </w:p>
    <w:p w:rsidR="005874A4" w:rsidRPr="005874A4" w:rsidRDefault="005874A4" w:rsidP="005874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Важливо розуміти, що конкурентний рівень ціни на електроенергію для подібних проектів не може визначатися в порівнянні з іншими сегментами українського ринку. Крім того, для підключення до електропостачання, інвестор зазнає значних витрат на будівництво інфраструктури для зниження напруги з 330 кВ до 0,4 кВ. Існує досвід Китаю, коли ГЕС, які простоюють, відпускали електроенергію стабільно споживаючим дата-центрам за 1 цент за 1 кВт / год; РФ - будівництво дата-центрів в охоронних зонах АЕС;  Казахстану - пропонує дата-центрам пільгові умови із залучення інвестицій і ціну на електроенергію в середньому 1,5-2,0 цента за 1 кВт / год.</w:t>
      </w:r>
    </w:p>
    <w:p w:rsidR="005874A4" w:rsidRPr="005874A4" w:rsidRDefault="005874A4" w:rsidP="005874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4A4" w:rsidRPr="00650761" w:rsidRDefault="005874A4" w:rsidP="005874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4A4" w:rsidRPr="00650761" w:rsidRDefault="005874A4" w:rsidP="005874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4A4" w:rsidRPr="00650761" w:rsidSect="00F860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4A" w:rsidRDefault="001E284A" w:rsidP="00F860D4">
      <w:r>
        <w:separator/>
      </w:r>
    </w:p>
  </w:endnote>
  <w:endnote w:type="continuationSeparator" w:id="0">
    <w:p w:rsidR="001E284A" w:rsidRDefault="001E284A" w:rsidP="00F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4" w:rsidRDefault="00F860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4" w:rsidRDefault="00F860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4" w:rsidRDefault="00F860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4A" w:rsidRDefault="001E284A" w:rsidP="00F860D4">
      <w:r>
        <w:separator/>
      </w:r>
    </w:p>
  </w:footnote>
  <w:footnote w:type="continuationSeparator" w:id="0">
    <w:p w:rsidR="001E284A" w:rsidRDefault="001E284A" w:rsidP="00F8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4" w:rsidRDefault="00F860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131435"/>
      <w:docPartObj>
        <w:docPartGallery w:val="Page Numbers (Top of Page)"/>
        <w:docPartUnique/>
      </w:docPartObj>
    </w:sdtPr>
    <w:sdtEndPr/>
    <w:sdtContent>
      <w:p w:rsidR="00F860D4" w:rsidRDefault="00F860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10" w:rsidRPr="00BB3210">
          <w:rPr>
            <w:noProof/>
            <w:lang w:val="uk-UA"/>
          </w:rPr>
          <w:t>6</w:t>
        </w:r>
        <w:r>
          <w:fldChar w:fldCharType="end"/>
        </w:r>
      </w:p>
    </w:sdtContent>
  </w:sdt>
  <w:p w:rsidR="00F860D4" w:rsidRDefault="00F860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4" w:rsidRDefault="00F860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616C"/>
    <w:multiLevelType w:val="hybridMultilevel"/>
    <w:tmpl w:val="D20801F4"/>
    <w:lvl w:ilvl="0" w:tplc="D1E85B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D73B53"/>
    <w:multiLevelType w:val="hybridMultilevel"/>
    <w:tmpl w:val="7A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329D"/>
    <w:multiLevelType w:val="hybridMultilevel"/>
    <w:tmpl w:val="FC30687E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0E57E4"/>
    <w:multiLevelType w:val="hybridMultilevel"/>
    <w:tmpl w:val="A6E04C3E"/>
    <w:lvl w:ilvl="0" w:tplc="3B7A4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FD97C51"/>
    <w:multiLevelType w:val="hybridMultilevel"/>
    <w:tmpl w:val="8C422B2C"/>
    <w:lvl w:ilvl="0" w:tplc="3D10E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B"/>
    <w:rsid w:val="000430F0"/>
    <w:rsid w:val="00046053"/>
    <w:rsid w:val="001D632D"/>
    <w:rsid w:val="001E284A"/>
    <w:rsid w:val="001F1014"/>
    <w:rsid w:val="002100FB"/>
    <w:rsid w:val="00260BBA"/>
    <w:rsid w:val="002A1171"/>
    <w:rsid w:val="002B3EC2"/>
    <w:rsid w:val="00301B38"/>
    <w:rsid w:val="00307EB2"/>
    <w:rsid w:val="003173F8"/>
    <w:rsid w:val="003A70EA"/>
    <w:rsid w:val="003E297C"/>
    <w:rsid w:val="0041284C"/>
    <w:rsid w:val="004129FA"/>
    <w:rsid w:val="00423CEB"/>
    <w:rsid w:val="004349E4"/>
    <w:rsid w:val="004963E8"/>
    <w:rsid w:val="004C5711"/>
    <w:rsid w:val="005051DB"/>
    <w:rsid w:val="005414A2"/>
    <w:rsid w:val="00557CC2"/>
    <w:rsid w:val="00570F88"/>
    <w:rsid w:val="005750E1"/>
    <w:rsid w:val="005874A4"/>
    <w:rsid w:val="0060684C"/>
    <w:rsid w:val="00650761"/>
    <w:rsid w:val="0065575C"/>
    <w:rsid w:val="0066580D"/>
    <w:rsid w:val="006A0250"/>
    <w:rsid w:val="007642CF"/>
    <w:rsid w:val="007B66DA"/>
    <w:rsid w:val="00941B4D"/>
    <w:rsid w:val="00A72214"/>
    <w:rsid w:val="00A94BCF"/>
    <w:rsid w:val="00B65DE4"/>
    <w:rsid w:val="00B84500"/>
    <w:rsid w:val="00B8634E"/>
    <w:rsid w:val="00B9731D"/>
    <w:rsid w:val="00BB2A25"/>
    <w:rsid w:val="00BB3210"/>
    <w:rsid w:val="00BC4F60"/>
    <w:rsid w:val="00BF7FA5"/>
    <w:rsid w:val="00C426B3"/>
    <w:rsid w:val="00D65043"/>
    <w:rsid w:val="00D72CF0"/>
    <w:rsid w:val="00D90C8A"/>
    <w:rsid w:val="00D956B5"/>
    <w:rsid w:val="00DB29CD"/>
    <w:rsid w:val="00E14925"/>
    <w:rsid w:val="00E84A05"/>
    <w:rsid w:val="00E8606B"/>
    <w:rsid w:val="00F340F0"/>
    <w:rsid w:val="00F74353"/>
    <w:rsid w:val="00F860D4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49107B-D542-724A-AC99-5601884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3E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63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655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5874A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paragraph" w:styleId="a7">
    <w:name w:val="header"/>
    <w:basedOn w:val="a"/>
    <w:link w:val="a8"/>
    <w:uiPriority w:val="99"/>
    <w:unhideWhenUsed/>
    <w:rsid w:val="00F860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860D4"/>
  </w:style>
  <w:style w:type="paragraph" w:styleId="a9">
    <w:name w:val="footer"/>
    <w:basedOn w:val="a"/>
    <w:link w:val="aa"/>
    <w:uiPriority w:val="99"/>
    <w:unhideWhenUsed/>
    <w:rsid w:val="00F860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860D4"/>
  </w:style>
  <w:style w:type="table" w:styleId="ab">
    <w:name w:val="Table Grid"/>
    <w:basedOn w:val="a1"/>
    <w:uiPriority w:val="39"/>
    <w:rsid w:val="0076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D909-239F-44AA-8736-A8B42E6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5673</Words>
  <Characters>3234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Afinogenov</dc:creator>
  <cp:keywords/>
  <dc:description/>
  <cp:lastModifiedBy>Скороход Анна Костянтинівна</cp:lastModifiedBy>
  <cp:revision>3</cp:revision>
  <cp:lastPrinted>2020-06-16T09:29:00Z</cp:lastPrinted>
  <dcterms:created xsi:type="dcterms:W3CDTF">2020-06-17T09:53:00Z</dcterms:created>
  <dcterms:modified xsi:type="dcterms:W3CDTF">2020-06-19T09:38:00Z</dcterms:modified>
</cp:coreProperties>
</file>