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E721" w14:textId="77777777" w:rsidR="00932E98" w:rsidRPr="008E3D93" w:rsidRDefault="00932E98" w:rsidP="00932E98">
      <w:pPr>
        <w:ind w:firstLine="720"/>
        <w:jc w:val="center"/>
        <w:rPr>
          <w:b/>
          <w:sz w:val="28"/>
          <w:szCs w:val="28"/>
          <w:lang w:eastAsia="uk-UA"/>
        </w:rPr>
      </w:pPr>
      <w:bookmarkStart w:id="0" w:name="bookmark0"/>
      <w:bookmarkStart w:id="1" w:name="_GoBack"/>
      <w:bookmarkEnd w:id="1"/>
    </w:p>
    <w:p w14:paraId="78C7E722" w14:textId="77777777" w:rsidR="00247C83" w:rsidRPr="008E3D93" w:rsidRDefault="00247C83" w:rsidP="00932E98">
      <w:pPr>
        <w:ind w:firstLine="720"/>
        <w:jc w:val="center"/>
        <w:rPr>
          <w:b/>
          <w:sz w:val="32"/>
          <w:szCs w:val="32"/>
          <w:lang w:eastAsia="uk-UA"/>
        </w:rPr>
      </w:pPr>
      <w:r w:rsidRPr="008E3D93">
        <w:rPr>
          <w:b/>
          <w:sz w:val="32"/>
          <w:szCs w:val="32"/>
          <w:lang w:eastAsia="uk-UA"/>
        </w:rPr>
        <w:t>ПОЯСНЮВАЛЬНА ЗАПИСКА</w:t>
      </w:r>
      <w:bookmarkEnd w:id="0"/>
    </w:p>
    <w:p w14:paraId="78C7E723" w14:textId="77777777" w:rsidR="00932E98" w:rsidRPr="008E3D93" w:rsidRDefault="00932E98" w:rsidP="00932E98">
      <w:pPr>
        <w:ind w:firstLine="720"/>
        <w:jc w:val="center"/>
        <w:rPr>
          <w:b/>
          <w:sz w:val="32"/>
          <w:szCs w:val="32"/>
          <w:lang w:eastAsia="uk-UA"/>
        </w:rPr>
      </w:pPr>
    </w:p>
    <w:p w14:paraId="7AAD383A" w14:textId="77777777" w:rsidR="009036ED" w:rsidRPr="00F46C06" w:rsidRDefault="00247C83" w:rsidP="009036ED">
      <w:pPr>
        <w:jc w:val="center"/>
        <w:rPr>
          <w:b/>
          <w:bCs/>
          <w:sz w:val="28"/>
          <w:szCs w:val="28"/>
        </w:rPr>
      </w:pPr>
      <w:bookmarkStart w:id="2" w:name="bookmark1"/>
      <w:r w:rsidRPr="008E3D93">
        <w:rPr>
          <w:b/>
          <w:sz w:val="30"/>
          <w:szCs w:val="30"/>
          <w:lang w:eastAsia="uk-UA"/>
        </w:rPr>
        <w:t>до проекту Закону України</w:t>
      </w:r>
      <w:r w:rsidR="009036ED" w:rsidRPr="009036ED">
        <w:rPr>
          <w:b/>
          <w:sz w:val="30"/>
          <w:szCs w:val="30"/>
          <w:lang w:val="ru-RU" w:eastAsia="uk-UA"/>
        </w:rPr>
        <w:t xml:space="preserve"> </w:t>
      </w:r>
      <w:r w:rsidR="009036ED">
        <w:rPr>
          <w:rFonts w:asciiTheme="minorHAnsi" w:hAnsiTheme="minorHAnsi"/>
          <w:b/>
          <w:bCs/>
          <w:sz w:val="28"/>
          <w:szCs w:val="28"/>
        </w:rPr>
        <w:t>«П</w:t>
      </w:r>
      <w:r w:rsidR="009036ED" w:rsidRPr="00F46C06">
        <w:rPr>
          <w:b/>
          <w:bCs/>
          <w:sz w:val="28"/>
          <w:szCs w:val="28"/>
        </w:rPr>
        <w:t>ро внесення змін до Закону України «Про Національне агентство України з питань виявлення, розшуку та управління активами, одержаними від корупційних та інших злочині»</w:t>
      </w:r>
    </w:p>
    <w:p w14:paraId="78C7E724" w14:textId="2AFA8781" w:rsidR="00CF66AC" w:rsidRPr="009036ED" w:rsidRDefault="00CF66AC" w:rsidP="00932E98">
      <w:pPr>
        <w:ind w:firstLine="720"/>
        <w:jc w:val="center"/>
        <w:rPr>
          <w:b/>
          <w:sz w:val="30"/>
          <w:szCs w:val="30"/>
          <w:lang w:val="ru-RU" w:eastAsia="uk-UA"/>
        </w:rPr>
      </w:pPr>
    </w:p>
    <w:p w14:paraId="78C7E727" w14:textId="77777777" w:rsidR="002647C6" w:rsidRPr="008E3D93" w:rsidRDefault="002647C6" w:rsidP="00932E98">
      <w:pPr>
        <w:ind w:firstLine="720"/>
        <w:jc w:val="center"/>
        <w:rPr>
          <w:b/>
          <w:sz w:val="28"/>
          <w:szCs w:val="28"/>
          <w:lang w:eastAsia="uk-UA"/>
        </w:rPr>
      </w:pPr>
      <w:bookmarkStart w:id="3" w:name="bookmark3"/>
      <w:bookmarkEnd w:id="2"/>
    </w:p>
    <w:p w14:paraId="78C7E728" w14:textId="77777777" w:rsidR="00247C83" w:rsidRPr="008E3D93" w:rsidRDefault="00247C83" w:rsidP="00932E98">
      <w:pPr>
        <w:numPr>
          <w:ilvl w:val="0"/>
          <w:numId w:val="4"/>
        </w:numPr>
        <w:jc w:val="both"/>
        <w:rPr>
          <w:b/>
          <w:sz w:val="28"/>
          <w:szCs w:val="28"/>
          <w:lang w:eastAsia="uk-UA"/>
        </w:rPr>
      </w:pPr>
      <w:r w:rsidRPr="008E3D93">
        <w:rPr>
          <w:b/>
          <w:sz w:val="28"/>
          <w:szCs w:val="28"/>
          <w:lang w:eastAsia="uk-UA"/>
        </w:rPr>
        <w:t>Обґрунтування необхідності прийняття законопроекту</w:t>
      </w:r>
      <w:bookmarkEnd w:id="3"/>
    </w:p>
    <w:p w14:paraId="08BCAB45" w14:textId="77777777" w:rsidR="009036ED" w:rsidRPr="009036ED" w:rsidRDefault="009036ED" w:rsidP="009036ED">
      <w:pPr>
        <w:spacing w:line="276" w:lineRule="auto"/>
        <w:ind w:firstLine="709"/>
        <w:jc w:val="both"/>
        <w:rPr>
          <w:sz w:val="28"/>
          <w:szCs w:val="28"/>
        </w:rPr>
      </w:pPr>
      <w:r w:rsidRPr="009036ED">
        <w:rPr>
          <w:sz w:val="28"/>
          <w:szCs w:val="28"/>
        </w:rPr>
        <w:t>Зазначений законопроект розроблений з метою удосконалення законодавства у сфері протидії легалізації (відмивання) доходів Україна, шляхом запровадження ефективних правових механізмів повернення активів, здобутих злочинним шляхом.</w:t>
      </w:r>
    </w:p>
    <w:p w14:paraId="49032EC9" w14:textId="77777777" w:rsidR="009036ED" w:rsidRPr="009036ED" w:rsidRDefault="009036ED" w:rsidP="009036ED">
      <w:pPr>
        <w:spacing w:line="276" w:lineRule="auto"/>
        <w:ind w:firstLine="709"/>
        <w:jc w:val="both"/>
        <w:rPr>
          <w:sz w:val="28"/>
          <w:szCs w:val="28"/>
        </w:rPr>
      </w:pPr>
      <w:r w:rsidRPr="009036ED">
        <w:rPr>
          <w:sz w:val="28"/>
          <w:szCs w:val="28"/>
        </w:rPr>
        <w:t xml:space="preserve">Суми незаконно набутих в Україні активів і виведених за кордон обчислюються сотнями мільйонів доларів США. Їх повернення в державу останні роки декларується як національний інтерес та один з пріоритетів у роботі органів  прокуратури і правоохоронних органів. Особливої актуальності це питання набуває в умовах нової економічної реальності, з якою найближчим часом неминуче стикнеться наша держава.  </w:t>
      </w:r>
    </w:p>
    <w:p w14:paraId="1A26C21E" w14:textId="77777777" w:rsidR="009036ED" w:rsidRPr="009036ED" w:rsidRDefault="009036ED" w:rsidP="009036ED">
      <w:pPr>
        <w:spacing w:line="276" w:lineRule="auto"/>
        <w:ind w:firstLine="709"/>
        <w:jc w:val="both"/>
        <w:rPr>
          <w:sz w:val="28"/>
          <w:szCs w:val="28"/>
        </w:rPr>
      </w:pPr>
      <w:r w:rsidRPr="009036ED">
        <w:rPr>
          <w:sz w:val="28"/>
          <w:szCs w:val="28"/>
        </w:rPr>
        <w:t xml:space="preserve">Проте, на сьогодні наявні в Україні правові механізми повернення вказаних активів не відповідають поточним тенденціям розвитку транскордонної злочинності, не дають змогу своєчасно реагувати та вживати необхідних заходів з протидії сучасним формам та методам легалізації протиправних активів. </w:t>
      </w:r>
    </w:p>
    <w:p w14:paraId="5BF1BE5B" w14:textId="77777777" w:rsidR="009036ED" w:rsidRPr="009036ED" w:rsidRDefault="009036ED" w:rsidP="009036ED">
      <w:pPr>
        <w:spacing w:line="276" w:lineRule="auto"/>
        <w:ind w:firstLine="709"/>
        <w:jc w:val="both"/>
        <w:rPr>
          <w:sz w:val="28"/>
          <w:szCs w:val="28"/>
        </w:rPr>
      </w:pPr>
      <w:r w:rsidRPr="009036ED">
        <w:rPr>
          <w:sz w:val="28"/>
          <w:szCs w:val="28"/>
        </w:rPr>
        <w:t>В нашій державі, як і в будь-якій іноземній країні, застосування одних лише кримінально-процесуальних засобів повернення злочинно набутих активів не є ефективною практикою. Це пояснюється тим, що схеми, які, зазвичай, використовуються при виведенні протиправних коштів, пов’язані із складними множинними фінансовими операціями, які здійснюються через фінансові установи різних іноземних держав з використанням десятків фіктивних компаній, зареєстрованих в іноземних юрисдикціях. Відповідно, виявлення, розслідування і доведення повного ланцюга фінансових операцій з незаконними активами і встановлення кінцевого знаходження останніх вимагає не тільки великої кількості слідчих дій та експертиз, а також десятків запитів про міжнародно-правову допомогу у кримінальному провадженні, виконання яких триває роками. Але, навіть, встановлення місця знаходження незаконно набутих активів не означає їх повернення в державу, а лише можливість накладення на них арешту на певний термін. Передумовою для повернення таких активів є обвинувальний вирок у кримінальному провадженні, який майже неможливо отримати через тривалість збору доказів, насамперед з-за кордону, а також тривалий судовий розгляд та оскарження судового рішення.</w:t>
      </w:r>
    </w:p>
    <w:p w14:paraId="64209182" w14:textId="77777777" w:rsidR="009036ED" w:rsidRPr="009036ED" w:rsidRDefault="009036ED" w:rsidP="009036ED">
      <w:pPr>
        <w:spacing w:line="276" w:lineRule="auto"/>
        <w:ind w:firstLine="709"/>
        <w:jc w:val="both"/>
        <w:rPr>
          <w:sz w:val="28"/>
          <w:szCs w:val="28"/>
        </w:rPr>
      </w:pPr>
      <w:r w:rsidRPr="009036ED">
        <w:rPr>
          <w:sz w:val="28"/>
          <w:szCs w:val="28"/>
        </w:rPr>
        <w:lastRenderedPageBreak/>
        <w:t>Слід констатувати, що за роки своєї незалежності Україна фактично немає жодного випадку реального повернення злочинних активів до державного бюджету з-за кордонних юрисдикцій.</w:t>
      </w:r>
    </w:p>
    <w:p w14:paraId="507B0A02" w14:textId="77777777" w:rsidR="009036ED" w:rsidRPr="009036ED" w:rsidRDefault="009036ED" w:rsidP="009036ED">
      <w:pPr>
        <w:spacing w:line="276" w:lineRule="auto"/>
        <w:ind w:firstLine="709"/>
        <w:jc w:val="both"/>
        <w:rPr>
          <w:sz w:val="28"/>
          <w:szCs w:val="28"/>
        </w:rPr>
      </w:pPr>
      <w:r w:rsidRPr="009036ED">
        <w:rPr>
          <w:sz w:val="28"/>
          <w:szCs w:val="28"/>
        </w:rPr>
        <w:t xml:space="preserve">Окреслена ситуація не є унікальною для України, у зв’язку з чим у багатьох іноземних юрисдикціях активно використовується практика виявлення, арешту і повернення незаконно здобутих коштів в рамках цивільного процесу, який відбувається паралельно із триваючим кримінальним провадженням. </w:t>
      </w:r>
    </w:p>
    <w:p w14:paraId="1B3BCA24" w14:textId="77777777" w:rsidR="009036ED" w:rsidRPr="009036ED" w:rsidRDefault="009036ED" w:rsidP="009036ED">
      <w:pPr>
        <w:spacing w:line="276" w:lineRule="auto"/>
        <w:ind w:firstLine="709"/>
        <w:jc w:val="both"/>
        <w:rPr>
          <w:sz w:val="28"/>
          <w:szCs w:val="28"/>
        </w:rPr>
      </w:pPr>
      <w:r w:rsidRPr="009036ED">
        <w:rPr>
          <w:sz w:val="28"/>
          <w:szCs w:val="28"/>
        </w:rPr>
        <w:t>Так, у межах цивільного провадження, іноземний суд, як правило зобов'язує відповідача (власника активу) подати свої заперечення на позов, розкрити суду інформацію про законність джерел походження активів, структуру власності своїх компаній та бізнесу, іншу інформацію, на збір якої у слідчого йдуть роки. Вказана інформація надалі може бути використана у кримінальному проваджені для встановлення наявності або відсутності ознак складу кримінального правопорушення.</w:t>
      </w:r>
    </w:p>
    <w:p w14:paraId="5FC691A1" w14:textId="77777777" w:rsidR="009036ED" w:rsidRPr="009036ED" w:rsidRDefault="009036ED" w:rsidP="009036ED">
      <w:pPr>
        <w:spacing w:line="276" w:lineRule="auto"/>
        <w:ind w:firstLine="709"/>
        <w:jc w:val="both"/>
        <w:rPr>
          <w:sz w:val="28"/>
          <w:szCs w:val="28"/>
        </w:rPr>
      </w:pPr>
      <w:r w:rsidRPr="009036ED">
        <w:rPr>
          <w:sz w:val="28"/>
          <w:szCs w:val="28"/>
        </w:rPr>
        <w:t xml:space="preserve">Водночас, класична практика ініціювання цивільного провадження державою в іноземних судових юрисдикціях, залучення до цього процесу іноземних юридичних радників потребує значних витрат з державного бюджету, що в поточних умовах є недоцільним. </w:t>
      </w:r>
    </w:p>
    <w:p w14:paraId="5FCDC36C" w14:textId="77777777" w:rsidR="009036ED" w:rsidRPr="009036ED" w:rsidRDefault="009036ED" w:rsidP="009036ED">
      <w:pPr>
        <w:spacing w:line="276" w:lineRule="auto"/>
        <w:ind w:firstLine="709"/>
        <w:jc w:val="both"/>
        <w:rPr>
          <w:sz w:val="28"/>
          <w:szCs w:val="28"/>
        </w:rPr>
      </w:pPr>
      <w:r w:rsidRPr="009036ED">
        <w:rPr>
          <w:sz w:val="28"/>
          <w:szCs w:val="28"/>
        </w:rPr>
        <w:t>Між тим, у світі поширеним є механізм, який передбачає залучення державою до фінансування цього процесу так званих судових фондів (Litigation Funds), які розробляють стратегію та тактику необхідних юридичних механізмів, самостійно залучають юридичні компанії у потрібних іноземних юрисдикціях, а також інвестують власні кошти в перспективні справи з повернення злочинно здобутих активів, а прибуток отримують як частку від фактично повернутих потерпілому (у даному випадку – державі) коштів. Таким чином, держава не витрачає бюджетних фондів на юридичне супроводження окресленої позовної роботи і не несе матеріальних ризиків у разі програшу. З іншого боку виграш відповідного процесу у цивільному провадженні забезпечує повернення в державу коштів, що у межах кримінального провадження є фактично недосяжним результатом. Частка повернутих активів, за рахунок яких здійснюватиметься оплата діяльності судових фондів є меншою у порівнянні з перспективою втрати Україною можливості їх повернення.</w:t>
      </w:r>
    </w:p>
    <w:p w14:paraId="73CF02B0" w14:textId="77777777" w:rsidR="009036ED" w:rsidRPr="009036ED" w:rsidRDefault="009036ED" w:rsidP="009036ED">
      <w:pPr>
        <w:spacing w:line="276" w:lineRule="auto"/>
        <w:ind w:firstLine="709"/>
        <w:jc w:val="both"/>
        <w:rPr>
          <w:sz w:val="28"/>
          <w:szCs w:val="28"/>
        </w:rPr>
      </w:pPr>
      <w:r w:rsidRPr="009036ED">
        <w:rPr>
          <w:sz w:val="28"/>
          <w:szCs w:val="28"/>
        </w:rPr>
        <w:t>Серед останніх успішних прикладів застосування наведеного правового механізму можна назвати досвід Республіка Казахстан, яка за останні кілька років саме з використанням судових фондів (британських) не тільки повернула понад 1,5 млрд доларів, вкрадених у вкладників «БТА Банку», але й істотно прискорила збір необхідних доказів органом досудового розслідування і отримала обвинувальний вирок суду в кримінальному провадженні.</w:t>
      </w:r>
    </w:p>
    <w:p w14:paraId="67A70ED3" w14:textId="77777777" w:rsidR="009036ED" w:rsidRPr="009036ED" w:rsidRDefault="009036ED" w:rsidP="009036ED">
      <w:pPr>
        <w:spacing w:line="276" w:lineRule="auto"/>
        <w:ind w:firstLine="709"/>
        <w:jc w:val="both"/>
        <w:rPr>
          <w:sz w:val="28"/>
          <w:szCs w:val="28"/>
        </w:rPr>
      </w:pPr>
      <w:r w:rsidRPr="009036ED">
        <w:rPr>
          <w:sz w:val="28"/>
          <w:szCs w:val="28"/>
        </w:rPr>
        <w:t xml:space="preserve">З метою запровадження в Україні вказаної міжнародної практики необхідним є наділення одного з органів державної влади повноваженнями </w:t>
      </w:r>
      <w:r w:rsidRPr="009036ED">
        <w:rPr>
          <w:sz w:val="28"/>
          <w:szCs w:val="28"/>
        </w:rPr>
        <w:lastRenderedPageBreak/>
        <w:t xml:space="preserve">ініціювати та організовувати представництво інтересів держави у цивільних провадженнях в іноземних юрисдикціях у справах, пов’язаних з поверненням в Україну протиправних активів. </w:t>
      </w:r>
    </w:p>
    <w:p w14:paraId="0EF09C48" w14:textId="77777777" w:rsidR="009036ED" w:rsidRPr="009036ED" w:rsidRDefault="009036ED" w:rsidP="009036ED">
      <w:pPr>
        <w:spacing w:line="276" w:lineRule="auto"/>
        <w:ind w:firstLine="709"/>
        <w:jc w:val="both"/>
        <w:rPr>
          <w:sz w:val="28"/>
          <w:szCs w:val="28"/>
        </w:rPr>
      </w:pPr>
      <w:r w:rsidRPr="009036ED">
        <w:rPr>
          <w:sz w:val="28"/>
          <w:szCs w:val="28"/>
        </w:rPr>
        <w:t>У цьому зв’язку пропонується зміни до чинного законодавства, а саме доповнення Закону України «Про Національне агентство України з питань виявлення, розшуку та управління активами, одержаними від корупційних та інших злочині» новим розділом.</w:t>
      </w:r>
    </w:p>
    <w:p w14:paraId="3FA831A6" w14:textId="77777777" w:rsidR="009036ED" w:rsidRPr="009036ED" w:rsidRDefault="009036ED" w:rsidP="009036ED">
      <w:pPr>
        <w:spacing w:line="276" w:lineRule="auto"/>
        <w:ind w:firstLine="709"/>
        <w:jc w:val="both"/>
        <w:rPr>
          <w:sz w:val="28"/>
          <w:szCs w:val="28"/>
        </w:rPr>
      </w:pPr>
      <w:r w:rsidRPr="009036ED">
        <w:rPr>
          <w:sz w:val="28"/>
          <w:szCs w:val="28"/>
        </w:rPr>
        <w:t>Відповідно до статті 2 вказаного Закону Національне агентство України з питань виявлення, розшуку та управління активами (далі – АРМА), є центральним органом виконавчої влади із спеціальним статусом, що забезпечує формування та реалізацію державної політики у сфері виявлення та розшуку активів, на які може бути накладено арешт у кримінальному провадженні чи у справі про визнання необґрунтованими активів та їх стягнення в дохід держави, та/або з управління активами, на які накладено арешт у кримінальному провадженні чи у справі про визнання необґрунтованими активів та їх стягнення в дохід держави або які конфісковано у кримінальному провадженні чи стягнено за рішенням суду в дохід держави внаслідок визнання їх необґрунтованими.</w:t>
      </w:r>
    </w:p>
    <w:p w14:paraId="32858FB0" w14:textId="77777777" w:rsidR="009036ED" w:rsidRPr="009036ED" w:rsidRDefault="009036ED" w:rsidP="009036ED">
      <w:pPr>
        <w:spacing w:line="276" w:lineRule="auto"/>
        <w:ind w:firstLine="709"/>
        <w:jc w:val="both"/>
        <w:rPr>
          <w:sz w:val="28"/>
          <w:szCs w:val="28"/>
        </w:rPr>
      </w:pPr>
      <w:r w:rsidRPr="009036ED">
        <w:rPr>
          <w:sz w:val="28"/>
          <w:szCs w:val="28"/>
        </w:rPr>
        <w:t>Пунктом 7 частини першої статті 9 Закону визначено, що до функцій АРМА належить, участь у забезпеченні представництва прав та інтересів України у закордонних юрисдикційних органах у справах, пов’язаних з поверненням в Україну активів, одержаних від корупційних та інших злочинів.</w:t>
      </w:r>
    </w:p>
    <w:p w14:paraId="48E6195F" w14:textId="77777777" w:rsidR="009036ED" w:rsidRPr="009036ED" w:rsidRDefault="009036ED" w:rsidP="009036ED">
      <w:pPr>
        <w:spacing w:line="276" w:lineRule="auto"/>
        <w:ind w:firstLine="709"/>
        <w:jc w:val="both"/>
        <w:rPr>
          <w:sz w:val="28"/>
          <w:szCs w:val="28"/>
        </w:rPr>
      </w:pPr>
      <w:r w:rsidRPr="009036ED">
        <w:rPr>
          <w:sz w:val="28"/>
          <w:szCs w:val="28"/>
        </w:rPr>
        <w:t>Пропоновані законопроектом зміни дозволять АРМА, виконуючи вказану функцію, залучати на договірних засадах та отримувати юридичні послуги від судових фондів (юридичних радників), не витрачаючи при цьому бюджетних коштів.</w:t>
      </w:r>
    </w:p>
    <w:p w14:paraId="3E682176" w14:textId="77777777" w:rsidR="009036ED" w:rsidRPr="009036ED" w:rsidRDefault="009036ED" w:rsidP="009036ED">
      <w:pPr>
        <w:spacing w:line="276" w:lineRule="auto"/>
        <w:ind w:firstLine="709"/>
        <w:jc w:val="both"/>
        <w:rPr>
          <w:sz w:val="28"/>
          <w:szCs w:val="28"/>
        </w:rPr>
      </w:pPr>
      <w:r w:rsidRPr="009036ED">
        <w:rPr>
          <w:sz w:val="28"/>
          <w:szCs w:val="28"/>
        </w:rPr>
        <w:t>Таким чином, Україна отримає дієвий правовий механізм реального повернення активів, здобутих злочинних шляхом і виведених закордон, а також це дозволить істотно прискорили збір необхідних доказів у відповідних кримінальних провадженнях.</w:t>
      </w:r>
    </w:p>
    <w:p w14:paraId="78C7E72A" w14:textId="77777777" w:rsidR="00C66908" w:rsidRPr="008E3D93" w:rsidRDefault="00C66908" w:rsidP="00932E98">
      <w:pPr>
        <w:ind w:firstLine="720"/>
        <w:jc w:val="both"/>
        <w:rPr>
          <w:sz w:val="28"/>
          <w:szCs w:val="28"/>
          <w:lang w:eastAsia="uk-UA"/>
        </w:rPr>
      </w:pPr>
    </w:p>
    <w:p w14:paraId="78C7E72B" w14:textId="77777777" w:rsidR="00247C83" w:rsidRPr="008E3D93" w:rsidRDefault="00247C83" w:rsidP="00932E98">
      <w:pPr>
        <w:numPr>
          <w:ilvl w:val="0"/>
          <w:numId w:val="4"/>
        </w:numPr>
        <w:jc w:val="both"/>
        <w:rPr>
          <w:b/>
          <w:sz w:val="28"/>
          <w:szCs w:val="28"/>
          <w:lang w:eastAsia="uk-UA"/>
        </w:rPr>
      </w:pPr>
      <w:bookmarkStart w:id="4" w:name="bookmark4"/>
      <w:r w:rsidRPr="008E3D93">
        <w:rPr>
          <w:b/>
          <w:sz w:val="28"/>
          <w:szCs w:val="28"/>
          <w:lang w:eastAsia="uk-UA"/>
        </w:rPr>
        <w:t>Цілі і завдання законопроекту</w:t>
      </w:r>
      <w:bookmarkEnd w:id="4"/>
    </w:p>
    <w:p w14:paraId="6EA0E292" w14:textId="77777777" w:rsidR="009036ED" w:rsidRPr="00F46C06" w:rsidRDefault="009036ED" w:rsidP="009036ED">
      <w:pPr>
        <w:pStyle w:val="aa"/>
        <w:spacing w:before="0" w:after="0"/>
        <w:ind w:firstLine="709"/>
        <w:jc w:val="both"/>
        <w:rPr>
          <w:rFonts w:ascii="Times New Roman" w:hAnsi="Times New Roman" w:cs="Times New Roman"/>
          <w:color w:val="auto"/>
          <w:sz w:val="28"/>
          <w:szCs w:val="28"/>
          <w:shd w:val="clear" w:color="auto" w:fill="FFFFFF"/>
        </w:rPr>
      </w:pPr>
      <w:r w:rsidRPr="00F46C06">
        <w:rPr>
          <w:rFonts w:ascii="Times New Roman" w:hAnsi="Times New Roman" w:cs="Times New Roman"/>
          <w:color w:val="auto"/>
          <w:sz w:val="28"/>
          <w:szCs w:val="28"/>
          <w:lang w:eastAsia="ru-RU"/>
        </w:rPr>
        <w:t xml:space="preserve">Законопроект спрямований на вдосконалення </w:t>
      </w:r>
      <w:r w:rsidRPr="00F46C06">
        <w:rPr>
          <w:rFonts w:ascii="Times New Roman" w:hAnsi="Times New Roman" w:cs="Times New Roman"/>
          <w:color w:val="auto"/>
          <w:sz w:val="28"/>
          <w:szCs w:val="28"/>
          <w:shd w:val="clear" w:color="auto" w:fill="FFFFFF"/>
        </w:rPr>
        <w:t>правового рулювання відносин, що виникають у зв’язку із представництвом та захистом прав та інтересів України у закордонних юрисдикційних органах у спорах та справах щодо майна (активів), яке прямо або опосередковано походить з юрисдикції України, має ознаки протиправного походження і на яке за законодавством України може бути накладено арешт у кримінальному провадженні, підготовкою до такого представництва та захисту.</w:t>
      </w:r>
    </w:p>
    <w:p w14:paraId="78C7E72D" w14:textId="77777777" w:rsidR="00EF4E58" w:rsidRPr="008E3D93" w:rsidRDefault="00EF4E58" w:rsidP="009036ED">
      <w:pPr>
        <w:jc w:val="both"/>
        <w:rPr>
          <w:sz w:val="28"/>
          <w:szCs w:val="28"/>
          <w:lang w:eastAsia="uk-UA"/>
        </w:rPr>
      </w:pPr>
    </w:p>
    <w:p w14:paraId="78C7E72E" w14:textId="77777777" w:rsidR="00247C83" w:rsidRPr="008E3D93" w:rsidRDefault="00247C83" w:rsidP="00932E98">
      <w:pPr>
        <w:numPr>
          <w:ilvl w:val="0"/>
          <w:numId w:val="4"/>
        </w:numPr>
        <w:jc w:val="both"/>
        <w:rPr>
          <w:b/>
          <w:sz w:val="28"/>
          <w:szCs w:val="28"/>
          <w:lang w:eastAsia="uk-UA"/>
        </w:rPr>
      </w:pPr>
      <w:bookmarkStart w:id="5" w:name="bookmark5"/>
      <w:r w:rsidRPr="008E3D93">
        <w:rPr>
          <w:b/>
          <w:sz w:val="28"/>
          <w:szCs w:val="28"/>
          <w:lang w:eastAsia="uk-UA"/>
        </w:rPr>
        <w:t>Загальна характеристика та основні положення законопроекту</w:t>
      </w:r>
      <w:bookmarkEnd w:id="5"/>
    </w:p>
    <w:p w14:paraId="48EE9AFD" w14:textId="77777777" w:rsidR="009036ED" w:rsidRPr="009036ED" w:rsidRDefault="009036ED" w:rsidP="009036ED">
      <w:pPr>
        <w:ind w:firstLine="709"/>
        <w:jc w:val="both"/>
        <w:rPr>
          <w:sz w:val="28"/>
          <w:szCs w:val="28"/>
          <w:shd w:val="clear" w:color="auto" w:fill="FFFFFF"/>
          <w:lang w:eastAsia="uk-UA"/>
        </w:rPr>
      </w:pPr>
      <w:r w:rsidRPr="009036ED">
        <w:rPr>
          <w:sz w:val="28"/>
          <w:szCs w:val="28"/>
          <w:shd w:val="clear" w:color="auto" w:fill="FFFFFF"/>
          <w:lang w:eastAsia="uk-UA"/>
        </w:rPr>
        <w:t xml:space="preserve">Проектом передбачається внесення змін до Закону України «Про Національне агентство України з питань виявлення, розшуку та управління </w:t>
      </w:r>
      <w:r w:rsidRPr="009036ED">
        <w:rPr>
          <w:sz w:val="28"/>
          <w:szCs w:val="28"/>
          <w:shd w:val="clear" w:color="auto" w:fill="FFFFFF"/>
          <w:lang w:eastAsia="uk-UA"/>
        </w:rPr>
        <w:lastRenderedPageBreak/>
        <w:t>активами, одержаними від корупційних та інших злочині» (Відомості Верховної Ради України, 2016 р., № 1, ст. 2), а саме доповнення його новим розділом IV-1 «Представництво і захист прав та інтересів України у закордонних юрисдикційних органах».</w:t>
      </w:r>
    </w:p>
    <w:p w14:paraId="78C7E730" w14:textId="77777777" w:rsidR="004666CE" w:rsidRPr="008E3D93" w:rsidRDefault="004666CE" w:rsidP="009036ED">
      <w:pPr>
        <w:jc w:val="both"/>
        <w:rPr>
          <w:sz w:val="28"/>
          <w:szCs w:val="28"/>
        </w:rPr>
      </w:pPr>
    </w:p>
    <w:p w14:paraId="78C7E731" w14:textId="77777777" w:rsidR="002B059B" w:rsidRPr="008E3D93" w:rsidRDefault="002B059B" w:rsidP="00932E98">
      <w:pPr>
        <w:numPr>
          <w:ilvl w:val="0"/>
          <w:numId w:val="4"/>
        </w:numPr>
        <w:jc w:val="both"/>
        <w:rPr>
          <w:b/>
          <w:sz w:val="28"/>
          <w:szCs w:val="28"/>
        </w:rPr>
      </w:pPr>
      <w:r w:rsidRPr="008E3D93">
        <w:rPr>
          <w:b/>
          <w:sz w:val="28"/>
          <w:szCs w:val="28"/>
        </w:rPr>
        <w:t>Стан нормативно-правової бази</w:t>
      </w:r>
    </w:p>
    <w:p w14:paraId="442BDFA8" w14:textId="77777777" w:rsidR="009036ED" w:rsidRPr="009036ED" w:rsidRDefault="009036ED" w:rsidP="009036ED">
      <w:pPr>
        <w:ind w:firstLine="709"/>
        <w:jc w:val="both"/>
        <w:rPr>
          <w:sz w:val="28"/>
          <w:szCs w:val="28"/>
        </w:rPr>
      </w:pPr>
      <w:r w:rsidRPr="009036ED">
        <w:rPr>
          <w:sz w:val="28"/>
          <w:szCs w:val="28"/>
        </w:rPr>
        <w:t>У даній сфері правового регулювання діє Закон України «Про Національне агентство України з питань виявлення, розшуку та управління активами, одержаними від корупційних та інших злочинів», Закон України «Про прокуратуру», Кримінальний процесуальний кодекс України та інші нормативно-правові акти.</w:t>
      </w:r>
    </w:p>
    <w:p w14:paraId="62300CCA" w14:textId="77777777" w:rsidR="009036ED" w:rsidRPr="009036ED" w:rsidRDefault="009036ED" w:rsidP="009036ED">
      <w:pPr>
        <w:ind w:firstLine="709"/>
        <w:jc w:val="both"/>
        <w:rPr>
          <w:sz w:val="28"/>
          <w:szCs w:val="28"/>
        </w:rPr>
      </w:pPr>
      <w:r w:rsidRPr="009036ED">
        <w:rPr>
          <w:sz w:val="28"/>
          <w:szCs w:val="28"/>
        </w:rPr>
        <w:t>У проекті відсутні правила та процедури, які можуть містити ризики вчинення корупційних правопорушень.</w:t>
      </w:r>
    </w:p>
    <w:p w14:paraId="78C7E733" w14:textId="6B767D04" w:rsidR="00D615A7" w:rsidRPr="008E3D93" w:rsidRDefault="00D615A7" w:rsidP="009036ED">
      <w:pPr>
        <w:jc w:val="both"/>
        <w:rPr>
          <w:b/>
          <w:sz w:val="28"/>
          <w:szCs w:val="28"/>
        </w:rPr>
      </w:pPr>
    </w:p>
    <w:p w14:paraId="78C7E734" w14:textId="77777777" w:rsidR="00247C83" w:rsidRPr="008E3D93" w:rsidRDefault="00247C83" w:rsidP="00932E98">
      <w:pPr>
        <w:numPr>
          <w:ilvl w:val="0"/>
          <w:numId w:val="4"/>
        </w:numPr>
        <w:jc w:val="both"/>
        <w:rPr>
          <w:b/>
          <w:sz w:val="28"/>
          <w:szCs w:val="28"/>
          <w:lang w:eastAsia="uk-UA"/>
        </w:rPr>
      </w:pPr>
      <w:bookmarkStart w:id="6" w:name="bookmark7"/>
      <w:r w:rsidRPr="008E3D93">
        <w:rPr>
          <w:b/>
          <w:sz w:val="28"/>
          <w:szCs w:val="28"/>
          <w:lang w:eastAsia="uk-UA"/>
        </w:rPr>
        <w:t>Фінансово-економічне обґрунтування</w:t>
      </w:r>
      <w:bookmarkEnd w:id="6"/>
    </w:p>
    <w:p w14:paraId="6A3662E7" w14:textId="77777777" w:rsidR="009036ED" w:rsidRPr="009036ED" w:rsidRDefault="009036ED" w:rsidP="009036ED">
      <w:pPr>
        <w:ind w:firstLine="709"/>
        <w:jc w:val="both"/>
        <w:rPr>
          <w:sz w:val="28"/>
          <w:szCs w:val="28"/>
        </w:rPr>
      </w:pPr>
      <w:r w:rsidRPr="009036ED">
        <w:rPr>
          <w:sz w:val="28"/>
          <w:szCs w:val="28"/>
        </w:rPr>
        <w:t>Реалізація проекту Закону не потребуватиме додаткових витрат з Державного бюджету України.</w:t>
      </w:r>
    </w:p>
    <w:p w14:paraId="78C7E736" w14:textId="77777777" w:rsidR="00C66908" w:rsidRPr="008E3D93" w:rsidRDefault="00C66908" w:rsidP="009036ED">
      <w:pPr>
        <w:jc w:val="both"/>
        <w:rPr>
          <w:sz w:val="28"/>
          <w:szCs w:val="28"/>
          <w:lang w:eastAsia="uk-UA"/>
        </w:rPr>
      </w:pPr>
    </w:p>
    <w:p w14:paraId="78C7E737" w14:textId="77777777" w:rsidR="002B059B" w:rsidRPr="008E3D93" w:rsidRDefault="00247C83" w:rsidP="00932E98">
      <w:pPr>
        <w:numPr>
          <w:ilvl w:val="0"/>
          <w:numId w:val="4"/>
        </w:numPr>
        <w:jc w:val="both"/>
        <w:rPr>
          <w:b/>
          <w:sz w:val="28"/>
          <w:szCs w:val="28"/>
          <w:lang w:eastAsia="uk-UA"/>
        </w:rPr>
      </w:pPr>
      <w:bookmarkStart w:id="7" w:name="bookmark8"/>
      <w:r w:rsidRPr="008E3D93">
        <w:rPr>
          <w:b/>
          <w:sz w:val="28"/>
          <w:szCs w:val="28"/>
          <w:lang w:eastAsia="uk-UA"/>
        </w:rPr>
        <w:t>Обґрунтування очікуваних соціально-економічних, правових та інших наслідків застосування законопроекту після його прийняття</w:t>
      </w:r>
      <w:bookmarkEnd w:id="7"/>
    </w:p>
    <w:p w14:paraId="2F192246" w14:textId="77777777" w:rsidR="009036ED" w:rsidRPr="009036ED" w:rsidRDefault="009036ED" w:rsidP="009036ED">
      <w:pPr>
        <w:ind w:firstLine="709"/>
        <w:jc w:val="both"/>
        <w:rPr>
          <w:bCs/>
          <w:sz w:val="28"/>
          <w:szCs w:val="28"/>
          <w:shd w:val="clear" w:color="auto" w:fill="FFFFFF"/>
        </w:rPr>
      </w:pPr>
      <w:bookmarkStart w:id="8" w:name="__DdeLink__15811_413467415"/>
      <w:r w:rsidRPr="009036ED">
        <w:rPr>
          <w:bCs/>
          <w:sz w:val="28"/>
          <w:szCs w:val="28"/>
          <w:shd w:val="clear" w:color="auto" w:fill="FFFFFF"/>
        </w:rPr>
        <w:t>Прийняття проекту забезпечить вдосконалення регулювання правовідносин, що виникають у зв’язку із представництвом та захистом прав та інтересів України у закордонних юрисдикційних органах у спорах та справах щодо майна, яке прямо або опосередковано походить з юрисдикції України, має ознаки протиправного походження і на яке за законодавством України може бути накладено арешт у кримінальному провадженні, підготовкою до такого представництва та захисту.</w:t>
      </w:r>
    </w:p>
    <w:p w14:paraId="72449D2F" w14:textId="77777777" w:rsidR="009036ED" w:rsidRPr="009036ED" w:rsidRDefault="009036ED" w:rsidP="009036ED">
      <w:pPr>
        <w:ind w:firstLine="709"/>
        <w:jc w:val="both"/>
        <w:rPr>
          <w:bCs/>
          <w:sz w:val="28"/>
          <w:szCs w:val="28"/>
          <w:shd w:val="clear" w:color="auto" w:fill="FFFFFF"/>
        </w:rPr>
      </w:pPr>
      <w:r w:rsidRPr="009036ED">
        <w:rPr>
          <w:bCs/>
          <w:sz w:val="28"/>
          <w:szCs w:val="28"/>
        </w:rPr>
        <w:t xml:space="preserve">Як наслідок, </w:t>
      </w:r>
      <w:r w:rsidRPr="009036ED">
        <w:rPr>
          <w:bCs/>
          <w:sz w:val="28"/>
          <w:szCs w:val="28"/>
          <w:shd w:val="clear" w:color="auto" w:fill="FFFFFF"/>
        </w:rPr>
        <w:t xml:space="preserve">в Україні буде запроваджено </w:t>
      </w:r>
      <w:r w:rsidRPr="009036ED">
        <w:rPr>
          <w:sz w:val="28"/>
          <w:szCs w:val="28"/>
          <w:shd w:val="clear" w:color="auto" w:fill="FFFFFF"/>
        </w:rPr>
        <w:t>дієвий правовий механізм реального повернення в державу активів, здобутих злочинних шляхом і виведених закордон, а також це дозволить істотно прискорили збір необхідних доказів та здійснення правосуддя у відповідних кримінальних провадженнях.</w:t>
      </w:r>
    </w:p>
    <w:bookmarkEnd w:id="8"/>
    <w:p w14:paraId="78C7E739" w14:textId="77777777" w:rsidR="00932E98" w:rsidRPr="008E3D93" w:rsidRDefault="00932E98" w:rsidP="00932E98">
      <w:pPr>
        <w:ind w:firstLine="720"/>
        <w:jc w:val="both"/>
        <w:rPr>
          <w:sz w:val="28"/>
          <w:szCs w:val="28"/>
        </w:rPr>
      </w:pPr>
    </w:p>
    <w:p w14:paraId="78C7E73A" w14:textId="77777777" w:rsidR="00850FE1" w:rsidRPr="008E3D93" w:rsidRDefault="00850FE1" w:rsidP="00932E98">
      <w:pPr>
        <w:ind w:firstLine="720"/>
        <w:jc w:val="both"/>
        <w:rPr>
          <w:b/>
          <w:sz w:val="32"/>
          <w:szCs w:val="32"/>
          <w:lang w:eastAsia="uk-UA"/>
        </w:rPr>
      </w:pPr>
    </w:p>
    <w:p w14:paraId="78C7E73B" w14:textId="6E4C9D08" w:rsidR="00D26439" w:rsidRPr="008E3D93" w:rsidRDefault="00932E98" w:rsidP="00932E98">
      <w:pPr>
        <w:jc w:val="both"/>
        <w:rPr>
          <w:b/>
          <w:sz w:val="32"/>
          <w:szCs w:val="32"/>
        </w:rPr>
      </w:pPr>
      <w:r w:rsidRPr="008E3D93">
        <w:rPr>
          <w:b/>
          <w:sz w:val="32"/>
          <w:szCs w:val="32"/>
        </w:rPr>
        <w:t xml:space="preserve"> н</w:t>
      </w:r>
      <w:r w:rsidR="00872FF5" w:rsidRPr="008E3D93">
        <w:rPr>
          <w:b/>
          <w:sz w:val="32"/>
          <w:szCs w:val="32"/>
        </w:rPr>
        <w:t>ародн</w:t>
      </w:r>
      <w:r w:rsidR="009036ED">
        <w:rPr>
          <w:b/>
          <w:sz w:val="32"/>
          <w:szCs w:val="32"/>
        </w:rPr>
        <w:t>і</w:t>
      </w:r>
      <w:r w:rsidR="00872FF5" w:rsidRPr="008E3D93">
        <w:rPr>
          <w:b/>
          <w:sz w:val="32"/>
          <w:szCs w:val="32"/>
        </w:rPr>
        <w:t xml:space="preserve"> депутат</w:t>
      </w:r>
      <w:r w:rsidR="009036ED">
        <w:rPr>
          <w:b/>
          <w:sz w:val="32"/>
          <w:szCs w:val="32"/>
        </w:rPr>
        <w:t>и</w:t>
      </w:r>
      <w:r w:rsidR="00872FF5" w:rsidRPr="008E3D93">
        <w:rPr>
          <w:b/>
          <w:sz w:val="32"/>
          <w:szCs w:val="32"/>
        </w:rPr>
        <w:t xml:space="preserve"> України   </w:t>
      </w:r>
      <w:r w:rsidR="009036ED">
        <w:rPr>
          <w:b/>
          <w:sz w:val="32"/>
          <w:szCs w:val="32"/>
        </w:rPr>
        <w:t xml:space="preserve">                            </w:t>
      </w:r>
      <w:r w:rsidR="00872FF5" w:rsidRPr="008E3D93">
        <w:rPr>
          <w:b/>
          <w:sz w:val="32"/>
          <w:szCs w:val="32"/>
        </w:rPr>
        <w:t xml:space="preserve">           </w:t>
      </w:r>
      <w:r w:rsidR="00415423" w:rsidRPr="008E3D93">
        <w:rPr>
          <w:b/>
          <w:sz w:val="32"/>
          <w:szCs w:val="32"/>
        </w:rPr>
        <w:t xml:space="preserve">                                     </w:t>
      </w:r>
    </w:p>
    <w:p w14:paraId="78C7E73C" w14:textId="77777777" w:rsidR="002B059B" w:rsidRPr="008E3D93" w:rsidRDefault="002B059B" w:rsidP="008E3D93">
      <w:pPr>
        <w:jc w:val="both"/>
        <w:rPr>
          <w:sz w:val="28"/>
          <w:szCs w:val="28"/>
        </w:rPr>
      </w:pPr>
    </w:p>
    <w:sectPr w:rsidR="002B059B" w:rsidRPr="008E3D93" w:rsidSect="00932E98">
      <w:footerReference w:type="even" r:id="rId10"/>
      <w:footerReference w:type="default" r:id="rId11"/>
      <w:pgSz w:w="11906" w:h="16838"/>
      <w:pgMar w:top="719" w:right="926" w:bottom="1134"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6904" w14:textId="77777777" w:rsidR="001D152F" w:rsidRDefault="001D152F">
      <w:r>
        <w:separator/>
      </w:r>
    </w:p>
  </w:endnote>
  <w:endnote w:type="continuationSeparator" w:id="0">
    <w:p w14:paraId="5B51F935" w14:textId="77777777" w:rsidR="001D152F" w:rsidRDefault="001D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E741" w14:textId="77777777" w:rsidR="008E3D93" w:rsidRDefault="008E3D93" w:rsidP="002B20A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1C71">
      <w:rPr>
        <w:rStyle w:val="a5"/>
        <w:noProof/>
      </w:rPr>
      <w:t>2</w:t>
    </w:r>
    <w:r>
      <w:rPr>
        <w:rStyle w:val="a5"/>
      </w:rPr>
      <w:fldChar w:fldCharType="end"/>
    </w:r>
  </w:p>
  <w:p w14:paraId="78C7E742" w14:textId="77777777" w:rsidR="008E3D93" w:rsidRDefault="008E3D93" w:rsidP="008E3D9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E743" w14:textId="7A62C02D" w:rsidR="008E3D93" w:rsidRDefault="008E3D93" w:rsidP="002B20A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6716">
      <w:rPr>
        <w:rStyle w:val="a5"/>
        <w:noProof/>
      </w:rPr>
      <w:t>4</w:t>
    </w:r>
    <w:r>
      <w:rPr>
        <w:rStyle w:val="a5"/>
      </w:rPr>
      <w:fldChar w:fldCharType="end"/>
    </w:r>
  </w:p>
  <w:p w14:paraId="78C7E744" w14:textId="77777777" w:rsidR="008E3D93" w:rsidRDefault="008E3D93" w:rsidP="008E3D9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9A8E" w14:textId="77777777" w:rsidR="001D152F" w:rsidRDefault="001D152F">
      <w:r>
        <w:separator/>
      </w:r>
    </w:p>
  </w:footnote>
  <w:footnote w:type="continuationSeparator" w:id="0">
    <w:p w14:paraId="6A1CE919" w14:textId="77777777" w:rsidR="001D152F" w:rsidRDefault="001D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1CF0621C"/>
    <w:multiLevelType w:val="hybridMultilevel"/>
    <w:tmpl w:val="40265C8C"/>
    <w:lvl w:ilvl="0" w:tplc="574EC616">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2766A6A"/>
    <w:multiLevelType w:val="hybridMultilevel"/>
    <w:tmpl w:val="FE548288"/>
    <w:lvl w:ilvl="0" w:tplc="8C44B908">
      <w:start w:val="6"/>
      <w:numFmt w:val="bullet"/>
      <w:lvlText w:val="-"/>
      <w:lvlJc w:val="left"/>
      <w:pPr>
        <w:tabs>
          <w:tab w:val="num" w:pos="1080"/>
        </w:tabs>
        <w:ind w:left="1080" w:hanging="7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020D0"/>
    <w:multiLevelType w:val="hybridMultilevel"/>
    <w:tmpl w:val="8320D334"/>
    <w:lvl w:ilvl="0" w:tplc="123A976C">
      <w:start w:val="1"/>
      <w:numFmt w:val="bullet"/>
      <w:lvlText w:val="-"/>
      <w:lvlJc w:val="left"/>
      <w:pPr>
        <w:ind w:left="1000" w:hanging="360"/>
      </w:pPr>
      <w:rPr>
        <w:rFonts w:ascii="Times New Roman" w:eastAsia="Times New Roman" w:hAnsi="Times New Roman" w:hint="default"/>
      </w:rPr>
    </w:lvl>
    <w:lvl w:ilvl="1" w:tplc="04220003">
      <w:start w:val="1"/>
      <w:numFmt w:val="bullet"/>
      <w:lvlText w:val="o"/>
      <w:lvlJc w:val="left"/>
      <w:pPr>
        <w:ind w:left="1720" w:hanging="360"/>
      </w:pPr>
      <w:rPr>
        <w:rFonts w:ascii="Courier New" w:hAnsi="Courier New" w:hint="default"/>
      </w:rPr>
    </w:lvl>
    <w:lvl w:ilvl="2" w:tplc="04220005">
      <w:start w:val="1"/>
      <w:numFmt w:val="bullet"/>
      <w:lvlText w:val=""/>
      <w:lvlJc w:val="left"/>
      <w:pPr>
        <w:ind w:left="2440" w:hanging="360"/>
      </w:pPr>
      <w:rPr>
        <w:rFonts w:ascii="Wingdings" w:hAnsi="Wingdings" w:hint="default"/>
      </w:rPr>
    </w:lvl>
    <w:lvl w:ilvl="3" w:tplc="04220001">
      <w:start w:val="1"/>
      <w:numFmt w:val="bullet"/>
      <w:lvlText w:val=""/>
      <w:lvlJc w:val="left"/>
      <w:pPr>
        <w:ind w:left="3160" w:hanging="360"/>
      </w:pPr>
      <w:rPr>
        <w:rFonts w:ascii="Symbol" w:hAnsi="Symbol" w:hint="default"/>
      </w:rPr>
    </w:lvl>
    <w:lvl w:ilvl="4" w:tplc="04220003">
      <w:start w:val="1"/>
      <w:numFmt w:val="bullet"/>
      <w:lvlText w:val="o"/>
      <w:lvlJc w:val="left"/>
      <w:pPr>
        <w:ind w:left="3880" w:hanging="360"/>
      </w:pPr>
      <w:rPr>
        <w:rFonts w:ascii="Courier New" w:hAnsi="Courier New" w:hint="default"/>
      </w:rPr>
    </w:lvl>
    <w:lvl w:ilvl="5" w:tplc="04220005">
      <w:start w:val="1"/>
      <w:numFmt w:val="bullet"/>
      <w:lvlText w:val=""/>
      <w:lvlJc w:val="left"/>
      <w:pPr>
        <w:ind w:left="4600" w:hanging="360"/>
      </w:pPr>
      <w:rPr>
        <w:rFonts w:ascii="Wingdings" w:hAnsi="Wingdings" w:hint="default"/>
      </w:rPr>
    </w:lvl>
    <w:lvl w:ilvl="6" w:tplc="04220001">
      <w:start w:val="1"/>
      <w:numFmt w:val="bullet"/>
      <w:lvlText w:val=""/>
      <w:lvlJc w:val="left"/>
      <w:pPr>
        <w:ind w:left="5320" w:hanging="360"/>
      </w:pPr>
      <w:rPr>
        <w:rFonts w:ascii="Symbol" w:hAnsi="Symbol" w:hint="default"/>
      </w:rPr>
    </w:lvl>
    <w:lvl w:ilvl="7" w:tplc="04220003">
      <w:start w:val="1"/>
      <w:numFmt w:val="bullet"/>
      <w:lvlText w:val="o"/>
      <w:lvlJc w:val="left"/>
      <w:pPr>
        <w:ind w:left="6040" w:hanging="360"/>
      </w:pPr>
      <w:rPr>
        <w:rFonts w:ascii="Courier New" w:hAnsi="Courier New" w:hint="default"/>
      </w:rPr>
    </w:lvl>
    <w:lvl w:ilvl="8" w:tplc="04220005">
      <w:start w:val="1"/>
      <w:numFmt w:val="bullet"/>
      <w:lvlText w:val=""/>
      <w:lvlJc w:val="left"/>
      <w:pPr>
        <w:ind w:left="6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98"/>
    <w:rsid w:val="00003B9B"/>
    <w:rsid w:val="00011891"/>
    <w:rsid w:val="000319DE"/>
    <w:rsid w:val="00046F35"/>
    <w:rsid w:val="00053361"/>
    <w:rsid w:val="00096BEA"/>
    <w:rsid w:val="000B57DA"/>
    <w:rsid w:val="000E059E"/>
    <w:rsid w:val="0010342E"/>
    <w:rsid w:val="001307E6"/>
    <w:rsid w:val="001461EE"/>
    <w:rsid w:val="001B4F00"/>
    <w:rsid w:val="001C2410"/>
    <w:rsid w:val="001D152F"/>
    <w:rsid w:val="001E4F3E"/>
    <w:rsid w:val="0024646D"/>
    <w:rsid w:val="00247C83"/>
    <w:rsid w:val="002647C6"/>
    <w:rsid w:val="002B059B"/>
    <w:rsid w:val="002B20AC"/>
    <w:rsid w:val="002C3EEB"/>
    <w:rsid w:val="00373A5B"/>
    <w:rsid w:val="00377147"/>
    <w:rsid w:val="003C10BD"/>
    <w:rsid w:val="003D5AE0"/>
    <w:rsid w:val="003F05E7"/>
    <w:rsid w:val="00415423"/>
    <w:rsid w:val="00431B42"/>
    <w:rsid w:val="004562CE"/>
    <w:rsid w:val="004666CE"/>
    <w:rsid w:val="004B3B64"/>
    <w:rsid w:val="004D3FEC"/>
    <w:rsid w:val="005374DD"/>
    <w:rsid w:val="005443DE"/>
    <w:rsid w:val="005B12F2"/>
    <w:rsid w:val="00605BAA"/>
    <w:rsid w:val="006329B0"/>
    <w:rsid w:val="00683540"/>
    <w:rsid w:val="006A0251"/>
    <w:rsid w:val="006A1D1C"/>
    <w:rsid w:val="006B319D"/>
    <w:rsid w:val="006B594A"/>
    <w:rsid w:val="006C35B9"/>
    <w:rsid w:val="006C3D78"/>
    <w:rsid w:val="006F251C"/>
    <w:rsid w:val="007372B0"/>
    <w:rsid w:val="00761EC9"/>
    <w:rsid w:val="00772AD0"/>
    <w:rsid w:val="00774186"/>
    <w:rsid w:val="0077458B"/>
    <w:rsid w:val="00780E12"/>
    <w:rsid w:val="007D1325"/>
    <w:rsid w:val="007E1923"/>
    <w:rsid w:val="007E3958"/>
    <w:rsid w:val="007F1C0E"/>
    <w:rsid w:val="00805B0B"/>
    <w:rsid w:val="0081539F"/>
    <w:rsid w:val="00850FE1"/>
    <w:rsid w:val="00855595"/>
    <w:rsid w:val="00870DED"/>
    <w:rsid w:val="00871C71"/>
    <w:rsid w:val="00872FF5"/>
    <w:rsid w:val="008A0AEA"/>
    <w:rsid w:val="008C6B4E"/>
    <w:rsid w:val="008D2B8B"/>
    <w:rsid w:val="008E0D1E"/>
    <w:rsid w:val="008E212A"/>
    <w:rsid w:val="008E3D93"/>
    <w:rsid w:val="009036ED"/>
    <w:rsid w:val="00927E95"/>
    <w:rsid w:val="00932E98"/>
    <w:rsid w:val="00940F23"/>
    <w:rsid w:val="00953850"/>
    <w:rsid w:val="00980EA6"/>
    <w:rsid w:val="0098533B"/>
    <w:rsid w:val="009B1AEA"/>
    <w:rsid w:val="009B1C18"/>
    <w:rsid w:val="009F0B54"/>
    <w:rsid w:val="00A01C89"/>
    <w:rsid w:val="00A24D96"/>
    <w:rsid w:val="00A42E0B"/>
    <w:rsid w:val="00A81AF6"/>
    <w:rsid w:val="00A96716"/>
    <w:rsid w:val="00AA57C7"/>
    <w:rsid w:val="00AB08CD"/>
    <w:rsid w:val="00AB3398"/>
    <w:rsid w:val="00B15B8B"/>
    <w:rsid w:val="00B3760D"/>
    <w:rsid w:val="00B64ED4"/>
    <w:rsid w:val="00BB3645"/>
    <w:rsid w:val="00C04D92"/>
    <w:rsid w:val="00C36A62"/>
    <w:rsid w:val="00C65868"/>
    <w:rsid w:val="00C66908"/>
    <w:rsid w:val="00C7037A"/>
    <w:rsid w:val="00CB4815"/>
    <w:rsid w:val="00CB75BB"/>
    <w:rsid w:val="00CD5DB8"/>
    <w:rsid w:val="00CF66AC"/>
    <w:rsid w:val="00D26439"/>
    <w:rsid w:val="00D44EAC"/>
    <w:rsid w:val="00D615A7"/>
    <w:rsid w:val="00D649A2"/>
    <w:rsid w:val="00D96A3B"/>
    <w:rsid w:val="00DE74CD"/>
    <w:rsid w:val="00E11D83"/>
    <w:rsid w:val="00E15CC7"/>
    <w:rsid w:val="00E527F1"/>
    <w:rsid w:val="00EA0971"/>
    <w:rsid w:val="00EA7288"/>
    <w:rsid w:val="00EE0876"/>
    <w:rsid w:val="00EF21FF"/>
    <w:rsid w:val="00EF4E58"/>
    <w:rsid w:val="00EF53BC"/>
    <w:rsid w:val="00F12BCC"/>
    <w:rsid w:val="00F2687F"/>
    <w:rsid w:val="00FA4380"/>
    <w:rsid w:val="00FC59C8"/>
    <w:rsid w:val="00FC6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7E721"/>
  <w14:defaultImageDpi w14:val="0"/>
  <w15:docId w15:val="{37FC60DF-27CF-43B5-B2E6-478A3C5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398"/>
    <w:rPr>
      <w:lang w:eastAsia="ru-RU"/>
    </w:rPr>
  </w:style>
  <w:style w:type="paragraph" w:styleId="1">
    <w:name w:val="heading 1"/>
    <w:basedOn w:val="a"/>
    <w:next w:val="a"/>
    <w:link w:val="10"/>
    <w:uiPriority w:val="99"/>
    <w:qFormat/>
    <w:rsid w:val="00AB3398"/>
    <w:pPr>
      <w:keepNext/>
      <w:jc w:val="right"/>
      <w:outlineLvl w:val="0"/>
    </w:pPr>
    <w:rPr>
      <w:sz w:val="24"/>
      <w:szCs w:val="24"/>
    </w:rPr>
  </w:style>
  <w:style w:type="paragraph" w:styleId="2">
    <w:name w:val="heading 2"/>
    <w:basedOn w:val="a"/>
    <w:next w:val="a"/>
    <w:link w:val="20"/>
    <w:uiPriority w:val="99"/>
    <w:qFormat/>
    <w:rsid w:val="00AB3398"/>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3398"/>
    <w:rPr>
      <w:rFonts w:cs="Times New Roman"/>
      <w:sz w:val="24"/>
      <w:lang w:val="uk-UA" w:eastAsia="ru-RU"/>
    </w:rPr>
  </w:style>
  <w:style w:type="character" w:customStyle="1" w:styleId="20">
    <w:name w:val="Заголовок 2 Знак"/>
    <w:link w:val="2"/>
    <w:uiPriority w:val="99"/>
    <w:locked/>
    <w:rsid w:val="00AB3398"/>
    <w:rPr>
      <w:rFonts w:cs="Times New Roman"/>
      <w:b/>
      <w:sz w:val="32"/>
      <w:lang w:val="uk-UA" w:eastAsia="ru-RU"/>
    </w:rPr>
  </w:style>
  <w:style w:type="paragraph" w:styleId="21">
    <w:name w:val="Body Text Indent 2"/>
    <w:basedOn w:val="a"/>
    <w:link w:val="22"/>
    <w:uiPriority w:val="99"/>
    <w:rsid w:val="00AB3398"/>
    <w:pPr>
      <w:spacing w:after="120" w:line="480" w:lineRule="auto"/>
      <w:ind w:left="283"/>
    </w:pPr>
    <w:rPr>
      <w:sz w:val="24"/>
      <w:szCs w:val="24"/>
    </w:rPr>
  </w:style>
  <w:style w:type="paragraph" w:styleId="a3">
    <w:name w:val="header"/>
    <w:basedOn w:val="a"/>
    <w:link w:val="a4"/>
    <w:uiPriority w:val="99"/>
    <w:rsid w:val="00AB3398"/>
    <w:pPr>
      <w:tabs>
        <w:tab w:val="center" w:pos="4677"/>
        <w:tab w:val="right" w:pos="9355"/>
      </w:tabs>
    </w:pPr>
  </w:style>
  <w:style w:type="character" w:customStyle="1" w:styleId="22">
    <w:name w:val="Основний текст з відступом 2 Знак"/>
    <w:link w:val="21"/>
    <w:uiPriority w:val="99"/>
    <w:semiHidden/>
    <w:locked/>
    <w:rPr>
      <w:rFonts w:cs="Times New Roman"/>
      <w:sz w:val="20"/>
      <w:szCs w:val="20"/>
      <w:lang w:val="uk-UA" w:eastAsia="x-none"/>
    </w:rPr>
  </w:style>
  <w:style w:type="character" w:styleId="a5">
    <w:name w:val="page number"/>
    <w:uiPriority w:val="99"/>
    <w:rsid w:val="00AB3398"/>
    <w:rPr>
      <w:rFonts w:cs="Times New Roman"/>
    </w:rPr>
  </w:style>
  <w:style w:type="character" w:customStyle="1" w:styleId="a4">
    <w:name w:val="Верхній колонтитул Знак"/>
    <w:link w:val="a3"/>
    <w:uiPriority w:val="99"/>
    <w:semiHidden/>
    <w:locked/>
    <w:rPr>
      <w:rFonts w:cs="Times New Roman"/>
      <w:sz w:val="20"/>
      <w:szCs w:val="20"/>
      <w:lang w:val="uk-UA" w:eastAsia="x-none"/>
    </w:rPr>
  </w:style>
  <w:style w:type="paragraph" w:customStyle="1" w:styleId="11">
    <w:name w:val="Знак Знак1 Знак Знак"/>
    <w:basedOn w:val="a"/>
    <w:uiPriority w:val="99"/>
    <w:rsid w:val="000B57DA"/>
    <w:rPr>
      <w:rFonts w:ascii="Verdana" w:hAnsi="Verdana" w:cs="Verdana"/>
      <w:lang w:val="en-US" w:eastAsia="en-US"/>
    </w:rPr>
  </w:style>
  <w:style w:type="paragraph" w:customStyle="1" w:styleId="12">
    <w:name w:val="Знак1 Знак Знак Знак"/>
    <w:basedOn w:val="a"/>
    <w:uiPriority w:val="99"/>
    <w:rsid w:val="00D649A2"/>
    <w:rPr>
      <w:rFonts w:ascii="Verdana" w:hAnsi="Verdana" w:cs="Verdana"/>
      <w:lang w:val="en-US" w:eastAsia="en-US"/>
    </w:rPr>
  </w:style>
  <w:style w:type="character" w:customStyle="1" w:styleId="apple-style-span">
    <w:name w:val="apple-style-span"/>
    <w:uiPriority w:val="99"/>
    <w:rsid w:val="00D649A2"/>
    <w:rPr>
      <w:rFonts w:cs="Times New Roman"/>
    </w:rPr>
  </w:style>
  <w:style w:type="character" w:customStyle="1" w:styleId="apple-converted-space">
    <w:name w:val="apple-converted-space"/>
    <w:uiPriority w:val="99"/>
    <w:rsid w:val="00D649A2"/>
    <w:rPr>
      <w:rFonts w:cs="Times New Roman"/>
    </w:rPr>
  </w:style>
  <w:style w:type="character" w:customStyle="1" w:styleId="FontStyle">
    <w:name w:val="Font Style"/>
    <w:uiPriority w:val="99"/>
    <w:rsid w:val="00373A5B"/>
    <w:rPr>
      <w:color w:val="000000"/>
      <w:sz w:val="20"/>
    </w:rPr>
  </w:style>
  <w:style w:type="paragraph" w:styleId="HTML">
    <w:name w:val="HTML Preformatted"/>
    <w:basedOn w:val="a"/>
    <w:link w:val="HTML0"/>
    <w:uiPriority w:val="99"/>
    <w:rsid w:val="002B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styleId="a6">
    <w:name w:val="Balloon Text"/>
    <w:basedOn w:val="a"/>
    <w:link w:val="a7"/>
    <w:uiPriority w:val="99"/>
    <w:semiHidden/>
    <w:rsid w:val="00772AD0"/>
    <w:rPr>
      <w:rFonts w:ascii="Tahoma" w:hAnsi="Tahoma" w:cs="Tahoma"/>
      <w:sz w:val="16"/>
      <w:szCs w:val="16"/>
    </w:rPr>
  </w:style>
  <w:style w:type="character" w:customStyle="1" w:styleId="HTML0">
    <w:name w:val="Стандартний HTML Знак"/>
    <w:link w:val="HTML"/>
    <w:uiPriority w:val="99"/>
    <w:semiHidden/>
    <w:locked/>
    <w:rPr>
      <w:rFonts w:ascii="Courier New" w:hAnsi="Courier New" w:cs="Courier New"/>
      <w:sz w:val="20"/>
      <w:szCs w:val="20"/>
      <w:lang w:val="uk-UA" w:eastAsia="x-none"/>
    </w:rPr>
  </w:style>
  <w:style w:type="paragraph" w:styleId="a8">
    <w:name w:val="footer"/>
    <w:basedOn w:val="a"/>
    <w:link w:val="a9"/>
    <w:uiPriority w:val="99"/>
    <w:rsid w:val="008E3D93"/>
    <w:pPr>
      <w:tabs>
        <w:tab w:val="center" w:pos="4819"/>
        <w:tab w:val="right" w:pos="9639"/>
      </w:tabs>
    </w:pPr>
  </w:style>
  <w:style w:type="character" w:customStyle="1" w:styleId="a7">
    <w:name w:val="Текст у виносці Знак"/>
    <w:link w:val="a6"/>
    <w:uiPriority w:val="99"/>
    <w:semiHidden/>
    <w:locked/>
    <w:rPr>
      <w:rFonts w:ascii="Tahoma" w:hAnsi="Tahoma" w:cs="Tahoma"/>
      <w:sz w:val="16"/>
      <w:szCs w:val="16"/>
      <w:lang w:val="uk-UA" w:eastAsia="x-none"/>
    </w:rPr>
  </w:style>
  <w:style w:type="character" w:customStyle="1" w:styleId="a9">
    <w:name w:val="Нижній колонтитул Знак"/>
    <w:link w:val="a8"/>
    <w:uiPriority w:val="99"/>
    <w:semiHidden/>
    <w:rPr>
      <w:sz w:val="20"/>
      <w:szCs w:val="20"/>
      <w:lang w:eastAsia="ru-RU"/>
    </w:rPr>
  </w:style>
  <w:style w:type="paragraph" w:styleId="aa">
    <w:name w:val="Normal (Web)"/>
    <w:basedOn w:val="a"/>
    <w:uiPriority w:val="99"/>
    <w:rsid w:val="009036ED"/>
    <w:pPr>
      <w:suppressAutoHyphens/>
      <w:overflowPunct w:val="0"/>
      <w:spacing w:before="100" w:after="100"/>
    </w:pPr>
    <w:rPr>
      <w:rFonts w:ascii="Liberation Serif;Times New Roma" w:hAnsi="Liberation Serif;Times New Roma" w:cs="Liberation Serif;Times New Roma"/>
      <w:color w:val="00000A"/>
      <w:sz w:val="24"/>
      <w:szCs w:val="24"/>
      <w:lang w:eastAsia="uk-UA"/>
    </w:rPr>
  </w:style>
  <w:style w:type="paragraph" w:customStyle="1" w:styleId="rvps2">
    <w:name w:val="rvps2"/>
    <w:basedOn w:val="a"/>
    <w:rsid w:val="009036ED"/>
    <w:pPr>
      <w:spacing w:before="100" w:beforeAutospacing="1" w:after="100" w:afterAutospacing="1"/>
    </w:pPr>
    <w:rPr>
      <w:sz w:val="24"/>
      <w:szCs w:val="24"/>
      <w:lang w:val="ru-RU"/>
    </w:rPr>
  </w:style>
  <w:style w:type="paragraph" w:styleId="ab">
    <w:name w:val="List Paragraph"/>
    <w:basedOn w:val="a"/>
    <w:uiPriority w:val="99"/>
    <w:qFormat/>
    <w:rsid w:val="0090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5673F-B0F4-4953-AB4D-1514918AB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9BB64-D7CF-4066-AC4C-B51D0789BB66}">
  <ds:schemaRefs>
    <ds:schemaRef ds:uri="http://schemas.microsoft.com/sharepoint/v3/contenttype/forms"/>
  </ds:schemaRefs>
</ds:datastoreItem>
</file>

<file path=customXml/itemProps3.xml><?xml version="1.0" encoding="utf-8"?>
<ds:datastoreItem xmlns:ds="http://schemas.openxmlformats.org/officeDocument/2006/customXml" ds:itemID="{26F4B66B-BFCB-4E72-9103-5C27EF6C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6051</Words>
  <Characters>3450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2020-04-06T11:25:00Z</dcterms:created>
  <dcterms:modified xsi:type="dcterms:W3CDTF">2020-04-06T11:25:00Z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