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CCD" w:rsidRPr="00117817" w:rsidRDefault="00CA3A43" w:rsidP="00CA3A43">
      <w:pPr>
        <w:jc w:val="center"/>
        <w:rPr>
          <w:b/>
          <w:lang w:val="uk-UA"/>
        </w:rPr>
      </w:pPr>
      <w:r w:rsidRPr="00117817">
        <w:rPr>
          <w:b/>
          <w:lang w:val="uk-UA"/>
        </w:rPr>
        <w:t>ВИСНОВОК</w:t>
      </w:r>
    </w:p>
    <w:p w:rsidR="005A5EA6" w:rsidRPr="005A5EA6" w:rsidRDefault="005A5EA6" w:rsidP="005A5EA6">
      <w:pPr>
        <w:jc w:val="center"/>
        <w:rPr>
          <w:b/>
          <w:lang w:val="uk-UA"/>
        </w:rPr>
      </w:pPr>
      <w:r w:rsidRPr="005A5EA6">
        <w:rPr>
          <w:b/>
          <w:lang w:val="uk-UA"/>
        </w:rPr>
        <w:t xml:space="preserve">Комітету Верховної Ради України з питань інтеграції </w:t>
      </w:r>
    </w:p>
    <w:p w:rsidR="005A5EA6" w:rsidRPr="005A5EA6" w:rsidRDefault="005A5EA6" w:rsidP="005A5EA6">
      <w:pPr>
        <w:jc w:val="center"/>
        <w:rPr>
          <w:b/>
          <w:lang w:val="uk-UA"/>
        </w:rPr>
      </w:pPr>
      <w:r w:rsidRPr="005A5EA6">
        <w:rPr>
          <w:b/>
          <w:lang w:val="uk-UA"/>
        </w:rPr>
        <w:t>України з Європейським Союзом</w:t>
      </w:r>
    </w:p>
    <w:p w:rsidR="005A5EA6" w:rsidRDefault="005A5EA6" w:rsidP="005A5EA6">
      <w:pPr>
        <w:jc w:val="center"/>
        <w:rPr>
          <w:b/>
          <w:lang w:val="uk-UA"/>
        </w:rPr>
      </w:pPr>
      <w:r w:rsidRPr="005A5EA6">
        <w:rPr>
          <w:b/>
          <w:lang w:val="uk-UA"/>
        </w:rPr>
        <w:t xml:space="preserve">щодо проєкту Закону України </w:t>
      </w:r>
    </w:p>
    <w:p w:rsidR="00CA3A43" w:rsidRPr="00117817" w:rsidRDefault="007F54BD" w:rsidP="005A5EA6">
      <w:pPr>
        <w:jc w:val="center"/>
        <w:rPr>
          <w:lang w:val="uk-UA"/>
        </w:rPr>
      </w:pPr>
      <w:bookmarkStart w:id="0" w:name="_GoBack"/>
      <w:bookmarkEnd w:id="0"/>
      <w:r w:rsidRPr="00117817">
        <w:rPr>
          <w:lang w:val="uk-UA"/>
        </w:rPr>
        <w:t>«</w:t>
      </w:r>
      <w:r w:rsidR="004C55DC" w:rsidRPr="00117817">
        <w:rPr>
          <w:lang w:val="uk-UA"/>
        </w:rPr>
        <w:t xml:space="preserve">Про </w:t>
      </w:r>
      <w:r w:rsidR="00FA62E7" w:rsidRPr="00117817">
        <w:rPr>
          <w:lang w:val="uk-UA"/>
        </w:rPr>
        <w:t>внесення змін до Податкового кодексу України щодо здешевлення вартості продуктів харчування</w:t>
      </w:r>
      <w:r w:rsidR="00C2777B" w:rsidRPr="00117817">
        <w:rPr>
          <w:bCs/>
          <w:lang w:val="uk-UA"/>
        </w:rPr>
        <w:t>»</w:t>
      </w:r>
    </w:p>
    <w:p w:rsidR="00CA3A43" w:rsidRPr="00117817" w:rsidRDefault="00CA3A43" w:rsidP="001C13D4">
      <w:pPr>
        <w:jc w:val="center"/>
        <w:rPr>
          <w:lang w:val="uk-UA"/>
        </w:rPr>
      </w:pPr>
      <w:r w:rsidRPr="00117817">
        <w:rPr>
          <w:lang w:val="uk-UA"/>
        </w:rPr>
        <w:t xml:space="preserve">(р. № </w:t>
      </w:r>
      <w:r w:rsidR="00FA62E7" w:rsidRPr="00117817">
        <w:rPr>
          <w:lang w:val="uk-UA"/>
        </w:rPr>
        <w:t>3305 від 06.04.2020</w:t>
      </w:r>
      <w:r w:rsidR="00024839" w:rsidRPr="00117817">
        <w:rPr>
          <w:lang w:val="uk-UA"/>
        </w:rPr>
        <w:t>,</w:t>
      </w:r>
      <w:r w:rsidRPr="00117817">
        <w:rPr>
          <w:lang w:val="uk-UA"/>
        </w:rPr>
        <w:t xml:space="preserve"> </w:t>
      </w:r>
      <w:r w:rsidR="00FD5E18" w:rsidRPr="00117817">
        <w:rPr>
          <w:lang w:val="uk-UA"/>
        </w:rPr>
        <w:t>н.д.</w:t>
      </w:r>
      <w:r w:rsidR="00C2777B" w:rsidRPr="00117817">
        <w:rPr>
          <w:lang w:val="uk-UA"/>
        </w:rPr>
        <w:t xml:space="preserve"> </w:t>
      </w:r>
      <w:r w:rsidR="00FA62E7" w:rsidRPr="00117817">
        <w:rPr>
          <w:lang w:val="uk-UA"/>
        </w:rPr>
        <w:t>С</w:t>
      </w:r>
      <w:r w:rsidR="00555FC1" w:rsidRPr="00117817">
        <w:rPr>
          <w:lang w:val="uk-UA"/>
        </w:rPr>
        <w:t>.</w:t>
      </w:r>
      <w:r w:rsidR="00FA62E7" w:rsidRPr="00117817">
        <w:rPr>
          <w:lang w:val="uk-UA"/>
        </w:rPr>
        <w:t>Мінько</w:t>
      </w:r>
      <w:r w:rsidRPr="00117817">
        <w:rPr>
          <w:lang w:val="uk-UA"/>
        </w:rPr>
        <w:t>)</w:t>
      </w:r>
    </w:p>
    <w:p w:rsidR="0063772A" w:rsidRPr="00117817" w:rsidRDefault="0063772A" w:rsidP="00CA3A43">
      <w:pPr>
        <w:jc w:val="center"/>
        <w:rPr>
          <w:lang w:val="uk-UA"/>
        </w:rPr>
      </w:pPr>
    </w:p>
    <w:p w:rsidR="00CA3A43" w:rsidRPr="00117817" w:rsidRDefault="00CA3A43" w:rsidP="00FA51A8">
      <w:pPr>
        <w:numPr>
          <w:ilvl w:val="0"/>
          <w:numId w:val="6"/>
        </w:numPr>
        <w:jc w:val="both"/>
        <w:rPr>
          <w:b/>
          <w:i/>
          <w:lang w:val="uk-UA"/>
        </w:rPr>
      </w:pPr>
      <w:r w:rsidRPr="00117817">
        <w:rPr>
          <w:b/>
          <w:i/>
          <w:lang w:val="uk-UA"/>
        </w:rPr>
        <w:t>Загальна характеристика законо</w:t>
      </w:r>
      <w:r w:rsidR="000F4084">
        <w:rPr>
          <w:b/>
          <w:i/>
          <w:lang w:val="uk-UA"/>
        </w:rPr>
        <w:t>проєкт</w:t>
      </w:r>
      <w:r w:rsidRPr="00117817">
        <w:rPr>
          <w:b/>
          <w:i/>
          <w:lang w:val="uk-UA"/>
        </w:rPr>
        <w:t>у.</w:t>
      </w:r>
    </w:p>
    <w:p w:rsidR="004C55DC" w:rsidRPr="00117817" w:rsidRDefault="009E4289" w:rsidP="0029077E">
      <w:pPr>
        <w:spacing w:after="120" w:line="252" w:lineRule="auto"/>
        <w:ind w:firstLine="720"/>
        <w:jc w:val="both"/>
        <w:rPr>
          <w:lang w:val="uk-UA"/>
        </w:rPr>
      </w:pPr>
      <w:r w:rsidRPr="00117817">
        <w:rPr>
          <w:bCs/>
          <w:color w:val="000000"/>
          <w:lang w:val="uk-UA"/>
        </w:rPr>
        <w:t>Проєктом закону пропонується внести зміни до підпункту "в" пункту 193.1 статті 193 Податкового кодексу України, в якому передбачити запровадження зниженої ставки податку на додану вартість у розмірі 7% по операціям з постачання на митній території України та ввезення на митну територію України продуктів харчування, що входять до складу наборів продуктів харчування, наборів непродовольчих товарів та наборів послуг для основних соціальних і демографічних груп населення, який формується в порядку, визначеному Законом України "Про прожитковий мінімум"</w:t>
      </w:r>
      <w:r w:rsidR="0029077E" w:rsidRPr="00117817">
        <w:rPr>
          <w:bCs/>
          <w:color w:val="000000"/>
          <w:lang w:val="uk-UA"/>
        </w:rPr>
        <w:t>.</w:t>
      </w:r>
    </w:p>
    <w:p w:rsidR="00CA3A43" w:rsidRPr="00117817" w:rsidRDefault="00CA3A43" w:rsidP="0011633D">
      <w:pPr>
        <w:numPr>
          <w:ilvl w:val="0"/>
          <w:numId w:val="6"/>
        </w:numPr>
        <w:spacing w:before="120"/>
        <w:jc w:val="both"/>
        <w:rPr>
          <w:i/>
          <w:lang w:val="uk-UA"/>
        </w:rPr>
      </w:pPr>
      <w:r w:rsidRPr="00117817">
        <w:rPr>
          <w:b/>
          <w:i/>
          <w:lang w:val="uk-UA"/>
        </w:rPr>
        <w:t>Належність законо</w:t>
      </w:r>
      <w:r w:rsidR="000F4084">
        <w:rPr>
          <w:b/>
          <w:i/>
          <w:lang w:val="uk-UA"/>
        </w:rPr>
        <w:t>проєкт</w:t>
      </w:r>
      <w:r w:rsidRPr="00117817">
        <w:rPr>
          <w:b/>
          <w:i/>
          <w:lang w:val="uk-UA"/>
        </w:rPr>
        <w:t>у за предметом правового регулювання до сфери дії законодавства ЄС, зобов’язань України в рамках Ради Європи</w:t>
      </w:r>
      <w:r w:rsidR="008F2985" w:rsidRPr="00117817">
        <w:rPr>
          <w:b/>
          <w:i/>
          <w:lang w:val="uk-UA"/>
        </w:rPr>
        <w:t>, норм та принципів</w:t>
      </w:r>
      <w:r w:rsidR="00C86E17" w:rsidRPr="00117817">
        <w:rPr>
          <w:b/>
          <w:i/>
          <w:lang w:val="uk-UA"/>
        </w:rPr>
        <w:t xml:space="preserve"> системи</w:t>
      </w:r>
      <w:r w:rsidR="008F2985" w:rsidRPr="00117817">
        <w:rPr>
          <w:b/>
          <w:i/>
          <w:lang w:val="uk-UA"/>
        </w:rPr>
        <w:t xml:space="preserve"> ГАТТ/СОТ</w:t>
      </w:r>
      <w:r w:rsidRPr="00117817">
        <w:rPr>
          <w:b/>
          <w:i/>
          <w:lang w:val="uk-UA"/>
        </w:rPr>
        <w:t>.</w:t>
      </w:r>
    </w:p>
    <w:p w:rsidR="00E33508" w:rsidRPr="00117817" w:rsidRDefault="00FA51A8" w:rsidP="005A37AC">
      <w:pPr>
        <w:tabs>
          <w:tab w:val="left" w:pos="360"/>
        </w:tabs>
        <w:spacing w:before="120"/>
        <w:jc w:val="both"/>
        <w:rPr>
          <w:lang w:val="uk-UA"/>
        </w:rPr>
      </w:pPr>
      <w:r w:rsidRPr="00117817">
        <w:rPr>
          <w:lang w:val="uk-UA"/>
        </w:rPr>
        <w:tab/>
      </w:r>
      <w:r w:rsidR="005A37AC" w:rsidRPr="00117817">
        <w:rPr>
          <w:lang w:val="uk-UA"/>
        </w:rPr>
        <w:tab/>
        <w:t xml:space="preserve">Положення </w:t>
      </w:r>
      <w:r w:rsidR="000F4084">
        <w:rPr>
          <w:lang w:val="uk-UA"/>
        </w:rPr>
        <w:t>проєкт</w:t>
      </w:r>
      <w:r w:rsidR="005A37AC" w:rsidRPr="00117817">
        <w:rPr>
          <w:lang w:val="uk-UA"/>
        </w:rPr>
        <w:t>у закону охоплюється міжнародно-правовими зобов’язаннями України у сфері європейської інтеграції, передбаченими у рамках Глави 4 «Оподаткування» Розділу ІV «Торгівля та питання пов’язані з торгівлею» та Глави 10 «Конкуренція» Розділу V «Економічне та галузеве співробітництво»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w:t>
      </w:r>
    </w:p>
    <w:p w:rsidR="007537FA" w:rsidRPr="00117817" w:rsidRDefault="007537FA" w:rsidP="007537FA">
      <w:pPr>
        <w:numPr>
          <w:ilvl w:val="0"/>
          <w:numId w:val="6"/>
        </w:numPr>
        <w:spacing w:before="120"/>
        <w:jc w:val="both"/>
        <w:rPr>
          <w:b/>
          <w:i/>
          <w:lang w:val="uk-UA"/>
        </w:rPr>
      </w:pPr>
      <w:r w:rsidRPr="00117817">
        <w:rPr>
          <w:b/>
          <w:i/>
          <w:lang w:val="uk-UA"/>
        </w:rPr>
        <w:t>Відповідність законо</w:t>
      </w:r>
      <w:r w:rsidR="000F4084">
        <w:rPr>
          <w:b/>
          <w:i/>
          <w:lang w:val="uk-UA"/>
        </w:rPr>
        <w:t>проєкт</w:t>
      </w:r>
      <w:r w:rsidRPr="00117817">
        <w:rPr>
          <w:b/>
          <w:i/>
          <w:lang w:val="uk-UA"/>
        </w:rPr>
        <w:t>у праву ЄС, зобов’язанням України в рамках Ради Європи, нормам та принципам системи ГАТТ/СОТ.</w:t>
      </w:r>
      <w:r w:rsidRPr="00117817">
        <w:rPr>
          <w:b/>
          <w:i/>
          <w:lang w:val="uk-UA"/>
        </w:rPr>
        <w:tab/>
      </w:r>
    </w:p>
    <w:p w:rsidR="004C55DC" w:rsidRPr="00117817" w:rsidRDefault="004C55DC" w:rsidP="004C55DC">
      <w:pPr>
        <w:ind w:firstLine="708"/>
        <w:jc w:val="both"/>
        <w:rPr>
          <w:lang w:val="uk-UA"/>
        </w:rPr>
      </w:pPr>
      <w:r w:rsidRPr="00117817">
        <w:rPr>
          <w:lang w:val="uk-UA"/>
        </w:rPr>
        <w:t xml:space="preserve">Положення </w:t>
      </w:r>
      <w:r w:rsidR="000F4084">
        <w:rPr>
          <w:lang w:val="uk-UA"/>
        </w:rPr>
        <w:t>проєкт</w:t>
      </w:r>
      <w:r w:rsidRPr="00117817">
        <w:rPr>
          <w:lang w:val="uk-UA"/>
        </w:rPr>
        <w:t xml:space="preserve">у закону за предметом правового регулювання охоплюються статтею 353 Угоди Глави 4 «Оподаткування»  Розділу V «Економічне і галузеве співробітництво» та Додатком ХХVІІІ до Угоди про асоціацію між Україною та ЄС, якою передбачається, що поступове наближення до структури оподаткування, визначеної у acquis ЄС, здійснюватиметься відповідно до Додатку XXVIII до цієї Угоди. </w:t>
      </w:r>
    </w:p>
    <w:p w:rsidR="004C55DC" w:rsidRPr="00117817" w:rsidRDefault="004C55DC" w:rsidP="004C55DC">
      <w:pPr>
        <w:ind w:firstLine="700"/>
        <w:jc w:val="both"/>
        <w:rPr>
          <w:lang w:val="uk-UA"/>
        </w:rPr>
      </w:pPr>
      <w:r w:rsidRPr="00117817">
        <w:rPr>
          <w:lang w:val="uk-UA"/>
        </w:rPr>
        <w:t xml:space="preserve">Додаток XXVIII до Глави 4 «Оподаткування» розділу V «Економічне і галузеве співробітництво» передбачає, що Україна зобов’язується поступово наблизити своє законодавство до законодавства ЄС щодо застосування Директиви Ради ЄС № 2006/112/ЄС від 28.11.2006 року про спільну систему податку на додану вартість протягом 5 років з дати набрання чинності цією Угодою, за винятком статей 5-8, 20, 33, 40-42, 79, 100-101, 123-130, 140-142, 145, 146 (1(«B»), 147, 155, 164-166, 170-171, 175, 203, 205, 209, 210, 212, 219, 238-240, 245, 254, 258, 274-280, 293-294, 370-395, 396-400, 402-410, 411-413 (положення, що застосовуються до </w:t>
      </w:r>
      <w:r w:rsidRPr="00117817">
        <w:rPr>
          <w:lang w:val="uk-UA"/>
        </w:rPr>
        <w:lastRenderedPageBreak/>
        <w:t>держав-членів ЄС); статей 281-294, 295- 305, 306-325, 326-332, 333-343, 348-349, 358-369 (щодо спеціальних податкових режимів).</w:t>
      </w:r>
    </w:p>
    <w:p w:rsidR="00117817" w:rsidRPr="00117817" w:rsidRDefault="00117817" w:rsidP="00117817">
      <w:pPr>
        <w:ind w:firstLine="700"/>
        <w:jc w:val="both"/>
        <w:rPr>
          <w:bCs/>
          <w:color w:val="000000"/>
          <w:lang w:val="uk-UA" w:eastAsia="uk-UA"/>
        </w:rPr>
      </w:pPr>
      <w:r w:rsidRPr="00117817">
        <w:rPr>
          <w:lang w:val="uk-UA"/>
        </w:rPr>
        <w:t>В супроводжувальних документах автори законо</w:t>
      </w:r>
      <w:r w:rsidR="000F4084">
        <w:rPr>
          <w:lang w:val="uk-UA"/>
        </w:rPr>
        <w:t>проєкт</w:t>
      </w:r>
      <w:r w:rsidRPr="00117817">
        <w:rPr>
          <w:lang w:val="uk-UA"/>
        </w:rPr>
        <w:t xml:space="preserve">у посилаються на досвід Європейського Союзу щодо </w:t>
      </w:r>
      <w:r w:rsidRPr="00117817">
        <w:rPr>
          <w:bCs/>
          <w:color w:val="000000"/>
          <w:lang w:val="uk-UA" w:eastAsia="uk-UA"/>
        </w:rPr>
        <w:t xml:space="preserve">здешевлення вартості продуктів харчування шляхом застосування знижених ставок податку на додану вартість до продуктів харчування. Зокрема, автори наводять приклад Польщі яка використовує дві знижені ставки податку на додану вартість на продукти харчування: соціально значущі продукти харчування (5% ставка ПДВ), інші продукти харчування (8% ставка ПДВ). </w:t>
      </w:r>
    </w:p>
    <w:p w:rsidR="00507FB8" w:rsidRPr="00117817" w:rsidRDefault="004C55DC" w:rsidP="00507FB8">
      <w:pPr>
        <w:ind w:firstLine="700"/>
        <w:jc w:val="both"/>
        <w:rPr>
          <w:lang w:val="uk-UA"/>
        </w:rPr>
      </w:pPr>
      <w:r w:rsidRPr="00117817">
        <w:rPr>
          <w:lang w:val="uk-UA"/>
        </w:rPr>
        <w:t xml:space="preserve">Відповідно до </w:t>
      </w:r>
      <w:r w:rsidR="005A37AC" w:rsidRPr="00117817">
        <w:rPr>
          <w:lang w:val="uk-UA"/>
        </w:rPr>
        <w:t>п. 2 Статті 98 Секції 2 «Знижені ставки» Директиви 2006/112/ЄС держави-члени  можуть  застосовувати одну або дві знижених ставки, які застосовуються лише до поставки товарів або послуг за категоріями</w:t>
      </w:r>
      <w:r w:rsidR="00507FB8" w:rsidRPr="00117817">
        <w:rPr>
          <w:lang w:val="uk-UA"/>
        </w:rPr>
        <w:t>, вичерпний перелік яких зазначений у</w:t>
      </w:r>
      <w:r w:rsidR="005A37AC" w:rsidRPr="00117817">
        <w:rPr>
          <w:lang w:val="uk-UA"/>
        </w:rPr>
        <w:t xml:space="preserve"> Додатку III </w:t>
      </w:r>
      <w:r w:rsidR="00507FB8" w:rsidRPr="00117817">
        <w:rPr>
          <w:lang w:val="uk-UA"/>
        </w:rPr>
        <w:t xml:space="preserve">до </w:t>
      </w:r>
      <w:r w:rsidR="005A37AC" w:rsidRPr="00117817">
        <w:rPr>
          <w:lang w:val="uk-UA"/>
        </w:rPr>
        <w:t>Директиви.</w:t>
      </w:r>
      <w:r w:rsidR="00507FB8" w:rsidRPr="00117817">
        <w:rPr>
          <w:lang w:val="uk-UA"/>
        </w:rPr>
        <w:t xml:space="preserve"> </w:t>
      </w:r>
    </w:p>
    <w:p w:rsidR="004C55DC" w:rsidRPr="00117817" w:rsidRDefault="00507FB8" w:rsidP="00507FB8">
      <w:pPr>
        <w:ind w:firstLine="700"/>
        <w:jc w:val="both"/>
        <w:rPr>
          <w:lang w:val="uk-UA"/>
        </w:rPr>
      </w:pPr>
      <w:r w:rsidRPr="00117817">
        <w:rPr>
          <w:lang w:val="uk-UA"/>
        </w:rPr>
        <w:t>До таких товарів, в тому числі, відносяться</w:t>
      </w:r>
      <w:r w:rsidR="005A37AC" w:rsidRPr="00117817">
        <w:rPr>
          <w:lang w:val="uk-UA"/>
        </w:rPr>
        <w:t xml:space="preserve"> </w:t>
      </w:r>
      <w:r w:rsidRPr="00117817">
        <w:rPr>
          <w:lang w:val="uk-UA"/>
        </w:rPr>
        <w:t>х</w:t>
      </w:r>
      <w:r w:rsidR="005A37AC" w:rsidRPr="00117817">
        <w:rPr>
          <w:lang w:val="uk-UA"/>
        </w:rPr>
        <w:t>арчові  продукти  (в  тому  числі  напої,  за   винятком алкогольних  напоїв)  для  споживання  людьми  та тваринами;  живі тварини,  насіння, рослини та інгредієнти, зазвичай призначені для приготування    харчових   продуктів;   продукція,   що   зазвичай використовується  як  доповнення  до  харчових  продуктів  або  як замінник харчових продуктів;  фармацевтична   продукція   такого   роду,   що  зазвичай використовується для охорони здоров'я, профілактики захворювань, і для   лікування   в  медичних  та  ветеринарних  цілях,  включаючи продукцію, призначену для контрацепції та санітарного захисту; медичне обладнання,  допоміжні та інші пристрої, зазвичай призначені для компенсації або лікування інвалідності,  призначені винятково для особистого користування інвалідами, включаючи ремонт таких товарів, та поставка дитячих сидінь для автомобілів</w:t>
      </w:r>
      <w:r w:rsidRPr="00117817">
        <w:rPr>
          <w:lang w:val="uk-UA"/>
        </w:rPr>
        <w:t>, а також ряд інших товарів та послуг, тощо</w:t>
      </w:r>
      <w:r w:rsidR="001E3EFE">
        <w:rPr>
          <w:lang w:val="uk-UA"/>
        </w:rPr>
        <w:t>..</w:t>
      </w:r>
      <w:r w:rsidRPr="00117817">
        <w:rPr>
          <w:lang w:val="uk-UA"/>
        </w:rPr>
        <w:t xml:space="preserve">. </w:t>
      </w:r>
    </w:p>
    <w:p w:rsidR="008F6430" w:rsidRPr="00117817" w:rsidRDefault="00117817" w:rsidP="008F6430">
      <w:pPr>
        <w:ind w:firstLine="700"/>
        <w:jc w:val="both"/>
        <w:rPr>
          <w:lang w:val="uk-UA"/>
        </w:rPr>
      </w:pPr>
      <w:r w:rsidRPr="00117817">
        <w:rPr>
          <w:lang w:val="uk-UA"/>
        </w:rPr>
        <w:t xml:space="preserve">В цілому погоджуючись з авторами щодо </w:t>
      </w:r>
      <w:r>
        <w:rPr>
          <w:lang w:val="uk-UA"/>
        </w:rPr>
        <w:t xml:space="preserve">можливості </w:t>
      </w:r>
      <w:r w:rsidRPr="00117817">
        <w:rPr>
          <w:lang w:val="uk-UA"/>
        </w:rPr>
        <w:t>застосування зн</w:t>
      </w:r>
      <w:r>
        <w:rPr>
          <w:lang w:val="uk-UA"/>
        </w:rPr>
        <w:t>и</w:t>
      </w:r>
      <w:r w:rsidRPr="00117817">
        <w:rPr>
          <w:lang w:val="uk-UA"/>
        </w:rPr>
        <w:t>жених ставок на продукти харчування</w:t>
      </w:r>
      <w:r>
        <w:rPr>
          <w:lang w:val="uk-UA"/>
        </w:rPr>
        <w:t>, варто зазначити</w:t>
      </w:r>
      <w:r w:rsidR="008F6430" w:rsidRPr="00117817">
        <w:rPr>
          <w:lang w:val="uk-UA"/>
        </w:rPr>
        <w:t xml:space="preserve">, </w:t>
      </w:r>
      <w:r>
        <w:rPr>
          <w:lang w:val="uk-UA"/>
        </w:rPr>
        <w:t xml:space="preserve">що </w:t>
      </w:r>
      <w:r w:rsidR="008F6430" w:rsidRPr="00117817">
        <w:rPr>
          <w:lang w:val="uk-UA"/>
        </w:rPr>
        <w:t xml:space="preserve">відповідно до положень законопроєкту знижена ставка податку на додану вартість застосовуватиметься </w:t>
      </w:r>
      <w:r>
        <w:rPr>
          <w:lang w:val="uk-UA"/>
        </w:rPr>
        <w:t xml:space="preserve">не лише до продуктів харчування, але </w:t>
      </w:r>
      <w:r w:rsidR="008F6430" w:rsidRPr="00117817">
        <w:rPr>
          <w:lang w:val="uk-UA"/>
        </w:rPr>
        <w:t xml:space="preserve">також </w:t>
      </w:r>
      <w:r>
        <w:rPr>
          <w:lang w:val="uk-UA"/>
        </w:rPr>
        <w:t xml:space="preserve">і </w:t>
      </w:r>
      <w:r w:rsidR="008F6430" w:rsidRPr="00117817">
        <w:rPr>
          <w:lang w:val="uk-UA"/>
        </w:rPr>
        <w:t>до непродовольчих товарів та послуг.</w:t>
      </w:r>
      <w:r>
        <w:rPr>
          <w:lang w:val="uk-UA"/>
        </w:rPr>
        <w:t xml:space="preserve"> При цьому законо</w:t>
      </w:r>
      <w:r w:rsidR="000F4084">
        <w:rPr>
          <w:lang w:val="uk-UA"/>
        </w:rPr>
        <w:t>проєкт</w:t>
      </w:r>
      <w:r>
        <w:rPr>
          <w:lang w:val="uk-UA"/>
        </w:rPr>
        <w:t xml:space="preserve"> не містить положень,  які б дозволили класифікувати </w:t>
      </w:r>
      <w:r w:rsidR="00BF7B41">
        <w:rPr>
          <w:lang w:val="uk-UA"/>
        </w:rPr>
        <w:t xml:space="preserve">такі товари та послуги у відповідності до вимог, встановлених Додатком ІІІ </w:t>
      </w:r>
      <w:r w:rsidR="00BF7B41" w:rsidRPr="00BF7B41">
        <w:rPr>
          <w:lang w:val="uk-UA"/>
        </w:rPr>
        <w:t>Директиви 2006/112/ЄС</w:t>
      </w:r>
      <w:r w:rsidR="00BF7B41">
        <w:rPr>
          <w:lang w:val="uk-UA"/>
        </w:rPr>
        <w:t xml:space="preserve"> та які б унеможливлювали застосування знижених ставок податку на додану вартість до товарів та послуг, не передбачених у зазначеному додатку.</w:t>
      </w:r>
    </w:p>
    <w:p w:rsidR="008B7566" w:rsidRPr="00117817" w:rsidRDefault="00BF7B41" w:rsidP="008B7566">
      <w:pPr>
        <w:ind w:firstLine="360"/>
        <w:jc w:val="both"/>
        <w:rPr>
          <w:lang w:val="uk-UA"/>
        </w:rPr>
      </w:pPr>
      <w:r>
        <w:rPr>
          <w:lang w:val="uk-UA"/>
        </w:rPr>
        <w:t>П</w:t>
      </w:r>
      <w:r w:rsidR="008B7566" w:rsidRPr="00117817">
        <w:rPr>
          <w:lang w:val="uk-UA"/>
        </w:rPr>
        <w:t>ро</w:t>
      </w:r>
      <w:r w:rsidR="008F6430" w:rsidRPr="00117817">
        <w:rPr>
          <w:lang w:val="uk-UA"/>
        </w:rPr>
        <w:t>є</w:t>
      </w:r>
      <w:r w:rsidR="008B7566" w:rsidRPr="00117817">
        <w:rPr>
          <w:lang w:val="uk-UA"/>
        </w:rPr>
        <w:t>ктом закону</w:t>
      </w:r>
      <w:r>
        <w:rPr>
          <w:lang w:val="uk-UA"/>
        </w:rPr>
        <w:t>, з</w:t>
      </w:r>
      <w:r w:rsidRPr="00C75E1B">
        <w:rPr>
          <w:lang w:val="uk-UA"/>
        </w:rPr>
        <w:t>окрема,</w:t>
      </w:r>
      <w:r w:rsidR="008B7566" w:rsidRPr="00C75E1B">
        <w:rPr>
          <w:lang w:val="uk-UA"/>
        </w:rPr>
        <w:t xml:space="preserve"> передбачається застосування ставки податку на додану вартість у розмірі 7 відсотків «по операціях постачання на митній території України та ввезення на митну територію України продуктів харчування, що входять до складу наборів продуктів харчування, наборів непродовольчих товарів та наборів послуг для основних соціальних і демографічних груп населення, який формується в порядку, визначеному Законом України «Про прожитковий мінімум».</w:t>
      </w:r>
    </w:p>
    <w:p w:rsidR="00214938" w:rsidRPr="00117817" w:rsidRDefault="008B7566" w:rsidP="008B7566">
      <w:pPr>
        <w:tabs>
          <w:tab w:val="left" w:pos="360"/>
        </w:tabs>
        <w:jc w:val="both"/>
        <w:rPr>
          <w:lang w:val="uk-UA"/>
        </w:rPr>
      </w:pPr>
      <w:r w:rsidRPr="00117817">
        <w:rPr>
          <w:lang w:val="uk-UA"/>
        </w:rPr>
        <w:tab/>
        <w:t xml:space="preserve">Виходячи з </w:t>
      </w:r>
      <w:r w:rsidR="00CD555E">
        <w:rPr>
          <w:lang w:val="uk-UA"/>
        </w:rPr>
        <w:t>вищезазначеного тексту</w:t>
      </w:r>
      <w:r w:rsidRPr="00117817">
        <w:rPr>
          <w:lang w:val="uk-UA"/>
        </w:rPr>
        <w:t xml:space="preserve">, можна </w:t>
      </w:r>
      <w:r w:rsidR="00BF7B41">
        <w:rPr>
          <w:lang w:val="uk-UA"/>
        </w:rPr>
        <w:t xml:space="preserve">також </w:t>
      </w:r>
      <w:r w:rsidRPr="00117817">
        <w:rPr>
          <w:lang w:val="uk-UA"/>
        </w:rPr>
        <w:t xml:space="preserve">дійти до висновку, що окремі його положення є внутрішньо </w:t>
      </w:r>
      <w:r w:rsidR="008F6430" w:rsidRPr="00117817">
        <w:rPr>
          <w:lang w:val="uk-UA"/>
        </w:rPr>
        <w:t>не</w:t>
      </w:r>
      <w:r w:rsidRPr="00117817">
        <w:rPr>
          <w:lang w:val="uk-UA"/>
        </w:rPr>
        <w:t xml:space="preserve">узгоджені та потребують подальшого доопрацювання. Зокрема, </w:t>
      </w:r>
      <w:r w:rsidR="00214938" w:rsidRPr="00117817">
        <w:rPr>
          <w:lang w:val="uk-UA"/>
        </w:rPr>
        <w:t>з метою уникнення помилок у процесі застосування закону та перекручування його змісту</w:t>
      </w:r>
      <w:r w:rsidR="00C75E1B">
        <w:rPr>
          <w:lang w:val="uk-UA"/>
        </w:rPr>
        <w:t>. Так, зокрема незрозумілим</w:t>
      </w:r>
      <w:r w:rsidR="00DA6F65">
        <w:rPr>
          <w:lang w:val="uk-UA"/>
        </w:rPr>
        <w:t xml:space="preserve"> є те</w:t>
      </w:r>
      <w:r w:rsidR="00C75E1B">
        <w:rPr>
          <w:lang w:val="uk-UA"/>
        </w:rPr>
        <w:t xml:space="preserve">, що саме пропонує розробник у виразі </w:t>
      </w:r>
      <w:r w:rsidR="00B66DE0" w:rsidRPr="00C75E1B">
        <w:rPr>
          <w:lang w:val="uk-UA"/>
        </w:rPr>
        <w:t>«</w:t>
      </w:r>
      <w:r w:rsidR="00C75E1B">
        <w:rPr>
          <w:lang w:val="uk-UA"/>
        </w:rPr>
        <w:t xml:space="preserve">який </w:t>
      </w:r>
      <w:r w:rsidR="00214938" w:rsidRPr="00C75E1B">
        <w:rPr>
          <w:lang w:val="uk-UA"/>
        </w:rPr>
        <w:t>формується в порядку, визначеному Законом</w:t>
      </w:r>
      <w:r w:rsidR="00214938" w:rsidRPr="00117817">
        <w:rPr>
          <w:lang w:val="uk-UA"/>
        </w:rPr>
        <w:t xml:space="preserve"> </w:t>
      </w:r>
      <w:r w:rsidR="00214938" w:rsidRPr="00117817">
        <w:rPr>
          <w:lang w:val="uk-UA"/>
        </w:rPr>
        <w:lastRenderedPageBreak/>
        <w:t>України «Про прожитковий мінімум»</w:t>
      </w:r>
      <w:r w:rsidR="00C75E1B">
        <w:rPr>
          <w:lang w:val="uk-UA"/>
        </w:rPr>
        <w:t xml:space="preserve">, </w:t>
      </w:r>
      <w:r w:rsidR="00DA6F65">
        <w:rPr>
          <w:lang w:val="uk-UA"/>
        </w:rPr>
        <w:t>оскільки цей текст</w:t>
      </w:r>
      <w:r w:rsidR="00C75E1B">
        <w:rPr>
          <w:lang w:val="uk-UA"/>
        </w:rPr>
        <w:t xml:space="preserve"> </w:t>
      </w:r>
      <w:r w:rsidR="00DA6F65">
        <w:rPr>
          <w:lang w:val="uk-UA"/>
        </w:rPr>
        <w:t xml:space="preserve">логічно </w:t>
      </w:r>
      <w:r w:rsidR="00C75E1B">
        <w:rPr>
          <w:lang w:val="uk-UA"/>
        </w:rPr>
        <w:t>не узгоджується з першою частиною запропонованих автором змін</w:t>
      </w:r>
      <w:r w:rsidR="00214938" w:rsidRPr="00117817">
        <w:rPr>
          <w:lang w:val="uk-UA"/>
        </w:rPr>
        <w:t>.</w:t>
      </w:r>
    </w:p>
    <w:p w:rsidR="00CC700C" w:rsidRDefault="00B66DE0" w:rsidP="00E74BB5">
      <w:pPr>
        <w:tabs>
          <w:tab w:val="left" w:pos="360"/>
        </w:tabs>
        <w:jc w:val="both"/>
        <w:rPr>
          <w:lang w:val="uk-UA"/>
        </w:rPr>
      </w:pPr>
      <w:r w:rsidRPr="00117817">
        <w:rPr>
          <w:lang w:val="uk-UA"/>
        </w:rPr>
        <w:tab/>
      </w:r>
      <w:r w:rsidR="00CD555E">
        <w:rPr>
          <w:lang w:val="uk-UA"/>
        </w:rPr>
        <w:t>Таким чином</w:t>
      </w:r>
      <w:r w:rsidRPr="00117817">
        <w:rPr>
          <w:lang w:val="uk-UA"/>
        </w:rPr>
        <w:t xml:space="preserve">, в </w:t>
      </w:r>
      <w:r w:rsidR="008B7566" w:rsidRPr="00117817">
        <w:rPr>
          <w:lang w:val="uk-UA"/>
        </w:rPr>
        <w:t xml:space="preserve">запропонованій редакції, </w:t>
      </w:r>
      <w:r w:rsidR="000F4084">
        <w:rPr>
          <w:lang w:val="uk-UA"/>
        </w:rPr>
        <w:t>проєкт</w:t>
      </w:r>
      <w:r w:rsidR="008B7566" w:rsidRPr="00117817">
        <w:rPr>
          <w:lang w:val="uk-UA"/>
        </w:rPr>
        <w:t xml:space="preserve"> закону не відповідає принципу правової визначеності, який застосовується зокрема у практиці Суду Європейського Союзу (рішення у справі С-208/90 Emmott (1991), ECR-I-4269, par 22)</w:t>
      </w:r>
      <w:r w:rsidRPr="00117817">
        <w:rPr>
          <w:lang w:val="uk-UA"/>
        </w:rPr>
        <w:t xml:space="preserve">, а </w:t>
      </w:r>
      <w:r w:rsidR="00CD555E">
        <w:rPr>
          <w:lang w:val="uk-UA"/>
        </w:rPr>
        <w:t>тому суперечить</w:t>
      </w:r>
      <w:r w:rsidRPr="00117817">
        <w:rPr>
          <w:lang w:val="uk-UA"/>
        </w:rPr>
        <w:t xml:space="preserve"> вимогам статті 282 Угоди про асоціацію, відповідно до якої сторони зобов’язались підтримувати ефективне та передбачуване законодавче середовище для суб’єктів господарської діяльності, що займаються бізнесом на своїй території, належним чином враховуючи вимоги правової визначеності та пропорційності.</w:t>
      </w:r>
    </w:p>
    <w:p w:rsidR="00BF7B41" w:rsidRPr="00117817" w:rsidRDefault="00BF7B41" w:rsidP="00E74BB5">
      <w:pPr>
        <w:tabs>
          <w:tab w:val="left" w:pos="360"/>
        </w:tabs>
        <w:jc w:val="both"/>
        <w:rPr>
          <w:lang w:val="uk-UA"/>
        </w:rPr>
      </w:pPr>
      <w:r>
        <w:rPr>
          <w:lang w:val="uk-UA"/>
        </w:rPr>
        <w:tab/>
      </w:r>
      <w:r w:rsidR="000F4084">
        <w:rPr>
          <w:lang w:val="uk-UA"/>
        </w:rPr>
        <w:t>Проєкт</w:t>
      </w:r>
      <w:r>
        <w:rPr>
          <w:lang w:val="uk-UA"/>
        </w:rPr>
        <w:t xml:space="preserve"> закону </w:t>
      </w:r>
      <w:r w:rsidRPr="00BF7B41">
        <w:rPr>
          <w:lang w:val="uk-UA"/>
        </w:rPr>
        <w:t>«Про внесення змін до Податкового кодексу України щодо здешевлення вартості продуктів харчування»</w:t>
      </w:r>
      <w:r>
        <w:rPr>
          <w:lang w:val="uk-UA"/>
        </w:rPr>
        <w:t xml:space="preserve"> </w:t>
      </w:r>
      <w:r w:rsidRPr="00BF7B41">
        <w:rPr>
          <w:b/>
          <w:lang w:val="uk-UA"/>
        </w:rPr>
        <w:t>не відповідає</w:t>
      </w:r>
      <w:r>
        <w:rPr>
          <w:lang w:val="uk-UA"/>
        </w:rPr>
        <w:t xml:space="preserve"> міжнародно-правовим зобов’язанням України в сфері європейської інтеграції.</w:t>
      </w:r>
    </w:p>
    <w:p w:rsidR="00117817" w:rsidRPr="00117817" w:rsidRDefault="00117817">
      <w:pPr>
        <w:tabs>
          <w:tab w:val="left" w:pos="360"/>
        </w:tabs>
        <w:jc w:val="both"/>
        <w:rPr>
          <w:sz w:val="16"/>
          <w:szCs w:val="16"/>
          <w:lang w:val="uk-UA"/>
        </w:rPr>
      </w:pPr>
    </w:p>
    <w:sectPr w:rsidR="00117817" w:rsidRPr="00117817" w:rsidSect="0009003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E9A" w:rsidRDefault="001D7E9A">
      <w:r>
        <w:separator/>
      </w:r>
    </w:p>
  </w:endnote>
  <w:endnote w:type="continuationSeparator" w:id="0">
    <w:p w:rsidR="001D7E9A" w:rsidRDefault="001D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E9A" w:rsidRDefault="001D7E9A">
      <w:r>
        <w:separator/>
      </w:r>
    </w:p>
  </w:footnote>
  <w:footnote w:type="continuationSeparator" w:id="0">
    <w:p w:rsidR="001D7E9A" w:rsidRDefault="001D7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1AE9AA"/>
    <w:lvl w:ilvl="0">
      <w:numFmt w:val="bullet"/>
      <w:lvlText w:val="*"/>
      <w:lvlJc w:val="left"/>
    </w:lvl>
  </w:abstractNum>
  <w:abstractNum w:abstractNumId="1" w15:restartNumberingAfterBreak="0">
    <w:nsid w:val="2117380C"/>
    <w:multiLevelType w:val="hybridMultilevel"/>
    <w:tmpl w:val="B8563226"/>
    <w:lvl w:ilvl="0" w:tplc="9DFEC5C6">
      <w:numFmt w:val="bullet"/>
      <w:lvlText w:val="-"/>
      <w:lvlJc w:val="left"/>
      <w:pPr>
        <w:tabs>
          <w:tab w:val="num" w:pos="924"/>
        </w:tabs>
        <w:ind w:left="924" w:hanging="56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56E30"/>
    <w:multiLevelType w:val="hybridMultilevel"/>
    <w:tmpl w:val="BB1004B8"/>
    <w:lvl w:ilvl="0" w:tplc="590EDDB4">
      <w:start w:val="1"/>
      <w:numFmt w:val="decimal"/>
      <w:lvlText w:val="%1."/>
      <w:lvlJc w:val="left"/>
      <w:pPr>
        <w:tabs>
          <w:tab w:val="num" w:pos="1812"/>
        </w:tabs>
        <w:ind w:left="1812" w:hanging="1092"/>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487D1833"/>
    <w:multiLevelType w:val="hybridMultilevel"/>
    <w:tmpl w:val="102E157A"/>
    <w:lvl w:ilvl="0" w:tplc="EFE49516">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15:restartNumberingAfterBreak="0">
    <w:nsid w:val="55392963"/>
    <w:multiLevelType w:val="hybridMultilevel"/>
    <w:tmpl w:val="42DA31FE"/>
    <w:lvl w:ilvl="0" w:tplc="900A5680">
      <w:start w:val="1"/>
      <w:numFmt w:val="decimal"/>
      <w:lvlText w:val="%1."/>
      <w:lvlJc w:val="left"/>
      <w:pPr>
        <w:tabs>
          <w:tab w:val="num" w:pos="360"/>
        </w:tabs>
        <w:ind w:left="360" w:hanging="360"/>
      </w:pPr>
      <w:rPr>
        <w:rFonts w:hint="default"/>
        <w:b/>
        <w:i/>
      </w:rPr>
    </w:lvl>
    <w:lvl w:ilvl="1" w:tplc="04190001">
      <w:start w:val="1"/>
      <w:numFmt w:val="bullet"/>
      <w:lvlText w:val=""/>
      <w:lvlJc w:val="left"/>
      <w:pPr>
        <w:tabs>
          <w:tab w:val="num" w:pos="1080"/>
        </w:tabs>
        <w:ind w:left="1080" w:hanging="360"/>
      </w:pPr>
      <w:rPr>
        <w:rFonts w:ascii="Symbol" w:hAnsi="Symbol" w:hint="default"/>
        <w:b/>
        <w:i/>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58CF48A6"/>
    <w:multiLevelType w:val="hybridMultilevel"/>
    <w:tmpl w:val="88E2D2CC"/>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5FC301F4"/>
    <w:multiLevelType w:val="multilevel"/>
    <w:tmpl w:val="E29AE57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69AE0892"/>
    <w:multiLevelType w:val="multilevel"/>
    <w:tmpl w:val="E29AE57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2"/>
  </w:num>
  <w:num w:numId="3">
    <w:abstractNumId w:val="3"/>
  </w:num>
  <w:num w:numId="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6">
    <w:abstractNumId w:val="4"/>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43"/>
    <w:rsid w:val="000021F0"/>
    <w:rsid w:val="00003738"/>
    <w:rsid w:val="000042B5"/>
    <w:rsid w:val="0001797C"/>
    <w:rsid w:val="00024839"/>
    <w:rsid w:val="000250B7"/>
    <w:rsid w:val="000262DA"/>
    <w:rsid w:val="00027010"/>
    <w:rsid w:val="0003402A"/>
    <w:rsid w:val="00042E92"/>
    <w:rsid w:val="00050960"/>
    <w:rsid w:val="00053824"/>
    <w:rsid w:val="000631BF"/>
    <w:rsid w:val="00071F60"/>
    <w:rsid w:val="00090031"/>
    <w:rsid w:val="00090403"/>
    <w:rsid w:val="00090D31"/>
    <w:rsid w:val="000A04D4"/>
    <w:rsid w:val="000A725F"/>
    <w:rsid w:val="000B111F"/>
    <w:rsid w:val="000B5944"/>
    <w:rsid w:val="000B59C2"/>
    <w:rsid w:val="000D3D88"/>
    <w:rsid w:val="000E2EC7"/>
    <w:rsid w:val="000E4B56"/>
    <w:rsid w:val="000F1DB2"/>
    <w:rsid w:val="000F4084"/>
    <w:rsid w:val="0010119B"/>
    <w:rsid w:val="0011046A"/>
    <w:rsid w:val="0011633D"/>
    <w:rsid w:val="001169E6"/>
    <w:rsid w:val="00117817"/>
    <w:rsid w:val="00132F0C"/>
    <w:rsid w:val="00133EE7"/>
    <w:rsid w:val="001504C1"/>
    <w:rsid w:val="001556B7"/>
    <w:rsid w:val="00170B14"/>
    <w:rsid w:val="001730DA"/>
    <w:rsid w:val="0018016B"/>
    <w:rsid w:val="00182449"/>
    <w:rsid w:val="00182AB6"/>
    <w:rsid w:val="00185F2D"/>
    <w:rsid w:val="0018608A"/>
    <w:rsid w:val="001861C7"/>
    <w:rsid w:val="001A4F8E"/>
    <w:rsid w:val="001B2F43"/>
    <w:rsid w:val="001C13D4"/>
    <w:rsid w:val="001D5D98"/>
    <w:rsid w:val="001D78C6"/>
    <w:rsid w:val="001D7E9A"/>
    <w:rsid w:val="001D7F5C"/>
    <w:rsid w:val="001E14BB"/>
    <w:rsid w:val="001E3EFE"/>
    <w:rsid w:val="001E5BEF"/>
    <w:rsid w:val="00204686"/>
    <w:rsid w:val="00206A0B"/>
    <w:rsid w:val="00207A27"/>
    <w:rsid w:val="00212532"/>
    <w:rsid w:val="00213D2D"/>
    <w:rsid w:val="00214938"/>
    <w:rsid w:val="00216C46"/>
    <w:rsid w:val="00223A43"/>
    <w:rsid w:val="00224CCD"/>
    <w:rsid w:val="00231C1D"/>
    <w:rsid w:val="002325C0"/>
    <w:rsid w:val="002449BA"/>
    <w:rsid w:val="002462A6"/>
    <w:rsid w:val="0025788A"/>
    <w:rsid w:val="00265B6C"/>
    <w:rsid w:val="0026766B"/>
    <w:rsid w:val="00270CC8"/>
    <w:rsid w:val="002807CE"/>
    <w:rsid w:val="002842B4"/>
    <w:rsid w:val="0029077E"/>
    <w:rsid w:val="00293E83"/>
    <w:rsid w:val="00295446"/>
    <w:rsid w:val="002A3F6E"/>
    <w:rsid w:val="002B492A"/>
    <w:rsid w:val="002C4268"/>
    <w:rsid w:val="002D4F67"/>
    <w:rsid w:val="002E0062"/>
    <w:rsid w:val="002E3EE1"/>
    <w:rsid w:val="002F39F2"/>
    <w:rsid w:val="0030151A"/>
    <w:rsid w:val="00307CBD"/>
    <w:rsid w:val="003274D2"/>
    <w:rsid w:val="00341803"/>
    <w:rsid w:val="00342422"/>
    <w:rsid w:val="003426B7"/>
    <w:rsid w:val="00342F1D"/>
    <w:rsid w:val="00346B92"/>
    <w:rsid w:val="00347313"/>
    <w:rsid w:val="00375242"/>
    <w:rsid w:val="003815A9"/>
    <w:rsid w:val="003815DE"/>
    <w:rsid w:val="00383EFA"/>
    <w:rsid w:val="00390CCD"/>
    <w:rsid w:val="00393D0B"/>
    <w:rsid w:val="003948CE"/>
    <w:rsid w:val="003977A1"/>
    <w:rsid w:val="003A2271"/>
    <w:rsid w:val="003B486D"/>
    <w:rsid w:val="003E174C"/>
    <w:rsid w:val="003E66AB"/>
    <w:rsid w:val="004022EC"/>
    <w:rsid w:val="004023EE"/>
    <w:rsid w:val="00405393"/>
    <w:rsid w:val="0041051E"/>
    <w:rsid w:val="00411DBD"/>
    <w:rsid w:val="00413A22"/>
    <w:rsid w:val="0041564A"/>
    <w:rsid w:val="00415E31"/>
    <w:rsid w:val="004269B7"/>
    <w:rsid w:val="004274F7"/>
    <w:rsid w:val="00427BEE"/>
    <w:rsid w:val="00430405"/>
    <w:rsid w:val="00442453"/>
    <w:rsid w:val="004454AC"/>
    <w:rsid w:val="004464B6"/>
    <w:rsid w:val="0045072C"/>
    <w:rsid w:val="00453955"/>
    <w:rsid w:val="00454B4C"/>
    <w:rsid w:val="004565DE"/>
    <w:rsid w:val="00462953"/>
    <w:rsid w:val="0046356D"/>
    <w:rsid w:val="00476B8E"/>
    <w:rsid w:val="00477BCF"/>
    <w:rsid w:val="004855BB"/>
    <w:rsid w:val="00490795"/>
    <w:rsid w:val="00493A3D"/>
    <w:rsid w:val="004968AB"/>
    <w:rsid w:val="004A743D"/>
    <w:rsid w:val="004B6A8E"/>
    <w:rsid w:val="004C55DC"/>
    <w:rsid w:val="00502478"/>
    <w:rsid w:val="00507FB8"/>
    <w:rsid w:val="00523C61"/>
    <w:rsid w:val="0052490C"/>
    <w:rsid w:val="00526565"/>
    <w:rsid w:val="00531F28"/>
    <w:rsid w:val="005320C3"/>
    <w:rsid w:val="00532A71"/>
    <w:rsid w:val="00532AA9"/>
    <w:rsid w:val="00536E37"/>
    <w:rsid w:val="00544CF0"/>
    <w:rsid w:val="005461BF"/>
    <w:rsid w:val="005463CF"/>
    <w:rsid w:val="00555FC1"/>
    <w:rsid w:val="005658AD"/>
    <w:rsid w:val="00573A45"/>
    <w:rsid w:val="005844A8"/>
    <w:rsid w:val="005915E3"/>
    <w:rsid w:val="005958B1"/>
    <w:rsid w:val="00596F13"/>
    <w:rsid w:val="005A01DB"/>
    <w:rsid w:val="005A37AC"/>
    <w:rsid w:val="005A5EA6"/>
    <w:rsid w:val="005A6229"/>
    <w:rsid w:val="005A68AB"/>
    <w:rsid w:val="005B4D49"/>
    <w:rsid w:val="005B53B3"/>
    <w:rsid w:val="005B6840"/>
    <w:rsid w:val="005C0BF3"/>
    <w:rsid w:val="005C2492"/>
    <w:rsid w:val="005C4411"/>
    <w:rsid w:val="005C445C"/>
    <w:rsid w:val="005C74E4"/>
    <w:rsid w:val="005D1531"/>
    <w:rsid w:val="005D3993"/>
    <w:rsid w:val="005E51AE"/>
    <w:rsid w:val="005E64C4"/>
    <w:rsid w:val="005F01D6"/>
    <w:rsid w:val="005F434E"/>
    <w:rsid w:val="005F5699"/>
    <w:rsid w:val="005F694A"/>
    <w:rsid w:val="005F7650"/>
    <w:rsid w:val="00605892"/>
    <w:rsid w:val="006064E2"/>
    <w:rsid w:val="006257BC"/>
    <w:rsid w:val="006301F5"/>
    <w:rsid w:val="0063772A"/>
    <w:rsid w:val="00646A14"/>
    <w:rsid w:val="0066123B"/>
    <w:rsid w:val="00670392"/>
    <w:rsid w:val="00673102"/>
    <w:rsid w:val="006765E4"/>
    <w:rsid w:val="00694C02"/>
    <w:rsid w:val="006B1B48"/>
    <w:rsid w:val="006B21B9"/>
    <w:rsid w:val="006C7FE4"/>
    <w:rsid w:val="006D2553"/>
    <w:rsid w:val="006D4C7F"/>
    <w:rsid w:val="006E3F53"/>
    <w:rsid w:val="006F125A"/>
    <w:rsid w:val="00701A81"/>
    <w:rsid w:val="00703A7C"/>
    <w:rsid w:val="00707AE1"/>
    <w:rsid w:val="00712D89"/>
    <w:rsid w:val="00722E07"/>
    <w:rsid w:val="00724EEF"/>
    <w:rsid w:val="00725B4E"/>
    <w:rsid w:val="00742600"/>
    <w:rsid w:val="007426CC"/>
    <w:rsid w:val="007450FA"/>
    <w:rsid w:val="00745B1F"/>
    <w:rsid w:val="00745DF4"/>
    <w:rsid w:val="007537FA"/>
    <w:rsid w:val="0075789A"/>
    <w:rsid w:val="007615F5"/>
    <w:rsid w:val="00764E6B"/>
    <w:rsid w:val="00771843"/>
    <w:rsid w:val="00783628"/>
    <w:rsid w:val="007B4012"/>
    <w:rsid w:val="007B4B32"/>
    <w:rsid w:val="007B56CC"/>
    <w:rsid w:val="007B5D06"/>
    <w:rsid w:val="007D0C7C"/>
    <w:rsid w:val="007D4B76"/>
    <w:rsid w:val="007E1F1E"/>
    <w:rsid w:val="007E7310"/>
    <w:rsid w:val="007F4196"/>
    <w:rsid w:val="007F54BD"/>
    <w:rsid w:val="007F5662"/>
    <w:rsid w:val="008063B2"/>
    <w:rsid w:val="00815707"/>
    <w:rsid w:val="00817DCB"/>
    <w:rsid w:val="00825EB8"/>
    <w:rsid w:val="0084052C"/>
    <w:rsid w:val="008410C7"/>
    <w:rsid w:val="008517E3"/>
    <w:rsid w:val="00856FAF"/>
    <w:rsid w:val="00861718"/>
    <w:rsid w:val="00875370"/>
    <w:rsid w:val="00875CD7"/>
    <w:rsid w:val="008765BB"/>
    <w:rsid w:val="008767E9"/>
    <w:rsid w:val="0088345F"/>
    <w:rsid w:val="0088567E"/>
    <w:rsid w:val="00892B33"/>
    <w:rsid w:val="00894C57"/>
    <w:rsid w:val="008A5D37"/>
    <w:rsid w:val="008B1A8B"/>
    <w:rsid w:val="008B7566"/>
    <w:rsid w:val="008C1E00"/>
    <w:rsid w:val="008D2D6F"/>
    <w:rsid w:val="008D34BC"/>
    <w:rsid w:val="008E0705"/>
    <w:rsid w:val="008E3E0C"/>
    <w:rsid w:val="008E6FDF"/>
    <w:rsid w:val="008F2985"/>
    <w:rsid w:val="008F370F"/>
    <w:rsid w:val="008F574A"/>
    <w:rsid w:val="008F6430"/>
    <w:rsid w:val="00900FFA"/>
    <w:rsid w:val="00902069"/>
    <w:rsid w:val="009062B6"/>
    <w:rsid w:val="0091060B"/>
    <w:rsid w:val="009106B9"/>
    <w:rsid w:val="00910D14"/>
    <w:rsid w:val="009116A0"/>
    <w:rsid w:val="0091667A"/>
    <w:rsid w:val="009219F1"/>
    <w:rsid w:val="00922EC9"/>
    <w:rsid w:val="00925DA0"/>
    <w:rsid w:val="00930053"/>
    <w:rsid w:val="0093302F"/>
    <w:rsid w:val="00943242"/>
    <w:rsid w:val="0094625B"/>
    <w:rsid w:val="00946E29"/>
    <w:rsid w:val="00954F22"/>
    <w:rsid w:val="009656A8"/>
    <w:rsid w:val="00973E19"/>
    <w:rsid w:val="00980136"/>
    <w:rsid w:val="009914E1"/>
    <w:rsid w:val="009A7CAA"/>
    <w:rsid w:val="009B5C3E"/>
    <w:rsid w:val="009C2791"/>
    <w:rsid w:val="009C27B7"/>
    <w:rsid w:val="009C3D02"/>
    <w:rsid w:val="009C4356"/>
    <w:rsid w:val="009D1D3F"/>
    <w:rsid w:val="009D21CB"/>
    <w:rsid w:val="009D3D1F"/>
    <w:rsid w:val="009D5BC6"/>
    <w:rsid w:val="009D63B7"/>
    <w:rsid w:val="009E4289"/>
    <w:rsid w:val="009E4BEF"/>
    <w:rsid w:val="009F02F9"/>
    <w:rsid w:val="009F1141"/>
    <w:rsid w:val="009F1E9D"/>
    <w:rsid w:val="009F5123"/>
    <w:rsid w:val="00A06D0E"/>
    <w:rsid w:val="00A24FCE"/>
    <w:rsid w:val="00A2516E"/>
    <w:rsid w:val="00A342A2"/>
    <w:rsid w:val="00A34E78"/>
    <w:rsid w:val="00A36F0F"/>
    <w:rsid w:val="00A50597"/>
    <w:rsid w:val="00A547FE"/>
    <w:rsid w:val="00A55723"/>
    <w:rsid w:val="00A566A8"/>
    <w:rsid w:val="00A61A71"/>
    <w:rsid w:val="00A638A3"/>
    <w:rsid w:val="00A70964"/>
    <w:rsid w:val="00A766F6"/>
    <w:rsid w:val="00A82CB1"/>
    <w:rsid w:val="00A86B86"/>
    <w:rsid w:val="00A92596"/>
    <w:rsid w:val="00A97ACD"/>
    <w:rsid w:val="00AA2CDB"/>
    <w:rsid w:val="00AA6D4E"/>
    <w:rsid w:val="00AB78DF"/>
    <w:rsid w:val="00AC0BEB"/>
    <w:rsid w:val="00AD1E3F"/>
    <w:rsid w:val="00AD2953"/>
    <w:rsid w:val="00AE0818"/>
    <w:rsid w:val="00AE26EF"/>
    <w:rsid w:val="00AE3C36"/>
    <w:rsid w:val="00AE692D"/>
    <w:rsid w:val="00B01AC5"/>
    <w:rsid w:val="00B02B13"/>
    <w:rsid w:val="00B11D57"/>
    <w:rsid w:val="00B3551B"/>
    <w:rsid w:val="00B36689"/>
    <w:rsid w:val="00B41F02"/>
    <w:rsid w:val="00B4267D"/>
    <w:rsid w:val="00B4337F"/>
    <w:rsid w:val="00B5163A"/>
    <w:rsid w:val="00B53FE2"/>
    <w:rsid w:val="00B61EE2"/>
    <w:rsid w:val="00B66DE0"/>
    <w:rsid w:val="00B81F09"/>
    <w:rsid w:val="00B84C6C"/>
    <w:rsid w:val="00B87AD1"/>
    <w:rsid w:val="00B93692"/>
    <w:rsid w:val="00B96880"/>
    <w:rsid w:val="00B97C2C"/>
    <w:rsid w:val="00BA2B23"/>
    <w:rsid w:val="00BB3DCC"/>
    <w:rsid w:val="00BB7356"/>
    <w:rsid w:val="00BD15A2"/>
    <w:rsid w:val="00BD6DE2"/>
    <w:rsid w:val="00BE2190"/>
    <w:rsid w:val="00BF7B41"/>
    <w:rsid w:val="00C14629"/>
    <w:rsid w:val="00C14829"/>
    <w:rsid w:val="00C14F92"/>
    <w:rsid w:val="00C158DB"/>
    <w:rsid w:val="00C17B0E"/>
    <w:rsid w:val="00C24D82"/>
    <w:rsid w:val="00C250F5"/>
    <w:rsid w:val="00C2777B"/>
    <w:rsid w:val="00C32B26"/>
    <w:rsid w:val="00C446D1"/>
    <w:rsid w:val="00C50856"/>
    <w:rsid w:val="00C51FE8"/>
    <w:rsid w:val="00C6266C"/>
    <w:rsid w:val="00C72DB6"/>
    <w:rsid w:val="00C732D5"/>
    <w:rsid w:val="00C73F90"/>
    <w:rsid w:val="00C75E1B"/>
    <w:rsid w:val="00C84029"/>
    <w:rsid w:val="00C86E17"/>
    <w:rsid w:val="00C94231"/>
    <w:rsid w:val="00CA3A43"/>
    <w:rsid w:val="00CA5F61"/>
    <w:rsid w:val="00CA70F0"/>
    <w:rsid w:val="00CB0325"/>
    <w:rsid w:val="00CB445E"/>
    <w:rsid w:val="00CB66F5"/>
    <w:rsid w:val="00CB777C"/>
    <w:rsid w:val="00CB7E2A"/>
    <w:rsid w:val="00CC4E3D"/>
    <w:rsid w:val="00CC582E"/>
    <w:rsid w:val="00CC676F"/>
    <w:rsid w:val="00CC6CCA"/>
    <w:rsid w:val="00CC700C"/>
    <w:rsid w:val="00CD01BF"/>
    <w:rsid w:val="00CD555E"/>
    <w:rsid w:val="00CD7616"/>
    <w:rsid w:val="00CE3073"/>
    <w:rsid w:val="00CE6685"/>
    <w:rsid w:val="00CF1FCA"/>
    <w:rsid w:val="00D01C1B"/>
    <w:rsid w:val="00D3616F"/>
    <w:rsid w:val="00D42F56"/>
    <w:rsid w:val="00D471D8"/>
    <w:rsid w:val="00D50738"/>
    <w:rsid w:val="00D51A4A"/>
    <w:rsid w:val="00D70496"/>
    <w:rsid w:val="00D83783"/>
    <w:rsid w:val="00D8473B"/>
    <w:rsid w:val="00DA18B7"/>
    <w:rsid w:val="00DA3B9F"/>
    <w:rsid w:val="00DA3C4D"/>
    <w:rsid w:val="00DA6F65"/>
    <w:rsid w:val="00DB011F"/>
    <w:rsid w:val="00DB6069"/>
    <w:rsid w:val="00DC5F1F"/>
    <w:rsid w:val="00DD0EB6"/>
    <w:rsid w:val="00DD286C"/>
    <w:rsid w:val="00DD53B0"/>
    <w:rsid w:val="00DD5C01"/>
    <w:rsid w:val="00DE5D4B"/>
    <w:rsid w:val="00DF2C6A"/>
    <w:rsid w:val="00DF73D5"/>
    <w:rsid w:val="00E02752"/>
    <w:rsid w:val="00E04011"/>
    <w:rsid w:val="00E13002"/>
    <w:rsid w:val="00E24F67"/>
    <w:rsid w:val="00E26806"/>
    <w:rsid w:val="00E33508"/>
    <w:rsid w:val="00E36331"/>
    <w:rsid w:val="00E36407"/>
    <w:rsid w:val="00E456C8"/>
    <w:rsid w:val="00E47EB7"/>
    <w:rsid w:val="00E6216A"/>
    <w:rsid w:val="00E66D3A"/>
    <w:rsid w:val="00E74BB5"/>
    <w:rsid w:val="00E851F9"/>
    <w:rsid w:val="00E952E2"/>
    <w:rsid w:val="00E95DDA"/>
    <w:rsid w:val="00EA04D9"/>
    <w:rsid w:val="00EA0825"/>
    <w:rsid w:val="00EA3735"/>
    <w:rsid w:val="00EA403C"/>
    <w:rsid w:val="00EA735F"/>
    <w:rsid w:val="00EC6D75"/>
    <w:rsid w:val="00ED0C1E"/>
    <w:rsid w:val="00ED1C73"/>
    <w:rsid w:val="00ED34AA"/>
    <w:rsid w:val="00EE2862"/>
    <w:rsid w:val="00EE7880"/>
    <w:rsid w:val="00F031EB"/>
    <w:rsid w:val="00F037ED"/>
    <w:rsid w:val="00F10840"/>
    <w:rsid w:val="00F27340"/>
    <w:rsid w:val="00F32E5E"/>
    <w:rsid w:val="00F339BE"/>
    <w:rsid w:val="00F35FCF"/>
    <w:rsid w:val="00F4007F"/>
    <w:rsid w:val="00F4553F"/>
    <w:rsid w:val="00F47515"/>
    <w:rsid w:val="00F52AF7"/>
    <w:rsid w:val="00F55ACC"/>
    <w:rsid w:val="00F640DE"/>
    <w:rsid w:val="00F65553"/>
    <w:rsid w:val="00F74232"/>
    <w:rsid w:val="00F767F0"/>
    <w:rsid w:val="00F85D7C"/>
    <w:rsid w:val="00F92539"/>
    <w:rsid w:val="00F929FA"/>
    <w:rsid w:val="00F9392D"/>
    <w:rsid w:val="00FA51A8"/>
    <w:rsid w:val="00FA5FAA"/>
    <w:rsid w:val="00FA60CD"/>
    <w:rsid w:val="00FA614F"/>
    <w:rsid w:val="00FA62E7"/>
    <w:rsid w:val="00FB0481"/>
    <w:rsid w:val="00FB51D5"/>
    <w:rsid w:val="00FD10C0"/>
    <w:rsid w:val="00FD153B"/>
    <w:rsid w:val="00FD5E18"/>
    <w:rsid w:val="00FE2E20"/>
    <w:rsid w:val="00FF17E5"/>
    <w:rsid w:val="00FF5F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59839"/>
  <w15:chartTrackingRefBased/>
  <w15:docId w15:val="{EEF070DA-5B8A-4758-8B06-54197FA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lang w:val="en-US" w:eastAsia="ru-RU"/>
    </w:rPr>
  </w:style>
  <w:style w:type="paragraph" w:styleId="3">
    <w:name w:val="heading 3"/>
    <w:basedOn w:val="a"/>
    <w:next w:val="a"/>
    <w:autoRedefine/>
    <w:qFormat/>
    <w:rsid w:val="00910D14"/>
    <w:pPr>
      <w:keepNext/>
      <w:overflowPunct w:val="0"/>
      <w:autoSpaceDE w:val="0"/>
      <w:autoSpaceDN w:val="0"/>
      <w:adjustRightInd w:val="0"/>
      <w:spacing w:before="240"/>
      <w:jc w:val="center"/>
      <w:textAlignment w:val="baseline"/>
      <w:outlineLvl w:val="2"/>
    </w:pPr>
    <w:rPr>
      <w:i/>
      <w:i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224CCD"/>
    <w:rPr>
      <w:lang w:val="uk-UA"/>
    </w:rPr>
  </w:style>
  <w:style w:type="paragraph" w:styleId="2">
    <w:name w:val="Body Text Indent 2"/>
    <w:basedOn w:val="a"/>
    <w:rsid w:val="00C86E17"/>
    <w:pPr>
      <w:ind w:firstLine="900"/>
      <w:jc w:val="both"/>
    </w:pPr>
    <w:rPr>
      <w:szCs w:val="20"/>
      <w:lang w:val="uk-UA"/>
    </w:rPr>
  </w:style>
  <w:style w:type="paragraph" w:styleId="a3">
    <w:name w:val="header"/>
    <w:basedOn w:val="a"/>
    <w:rsid w:val="00D50738"/>
    <w:pPr>
      <w:tabs>
        <w:tab w:val="center" w:pos="4677"/>
        <w:tab w:val="right" w:pos="9355"/>
      </w:tabs>
    </w:pPr>
  </w:style>
  <w:style w:type="paragraph" w:styleId="a4">
    <w:name w:val="footer"/>
    <w:basedOn w:val="a"/>
    <w:rsid w:val="00D50738"/>
    <w:pPr>
      <w:tabs>
        <w:tab w:val="center" w:pos="4677"/>
        <w:tab w:val="right" w:pos="9355"/>
      </w:tabs>
    </w:pPr>
  </w:style>
  <w:style w:type="paragraph" w:styleId="30">
    <w:name w:val="Body Text Indent 3"/>
    <w:basedOn w:val="a"/>
    <w:rsid w:val="005D1531"/>
    <w:pPr>
      <w:spacing w:after="120"/>
      <w:ind w:left="283"/>
    </w:pPr>
    <w:rPr>
      <w:sz w:val="16"/>
      <w:szCs w:val="16"/>
    </w:rPr>
  </w:style>
  <w:style w:type="paragraph" w:styleId="a5">
    <w:name w:val="Body Text"/>
    <w:basedOn w:val="a"/>
    <w:rsid w:val="00493A3D"/>
    <w:pPr>
      <w:spacing w:after="120"/>
    </w:pPr>
  </w:style>
  <w:style w:type="paragraph" w:styleId="a6">
    <w:name w:val="Plain Text"/>
    <w:basedOn w:val="a"/>
    <w:rsid w:val="00493A3D"/>
    <w:pPr>
      <w:overflowPunct w:val="0"/>
      <w:autoSpaceDE w:val="0"/>
      <w:autoSpaceDN w:val="0"/>
      <w:adjustRightInd w:val="0"/>
    </w:pPr>
    <w:rPr>
      <w:rFonts w:ascii="Courier New" w:hAnsi="Courier New" w:cs="Courier New"/>
      <w:sz w:val="20"/>
      <w:szCs w:val="20"/>
      <w:lang w:val="en-GB"/>
    </w:rPr>
  </w:style>
  <w:style w:type="paragraph" w:styleId="a7">
    <w:name w:val="Balloon Text"/>
    <w:basedOn w:val="a"/>
    <w:semiHidden/>
    <w:rsid w:val="00C50856"/>
    <w:rPr>
      <w:rFonts w:ascii="Tahoma" w:hAnsi="Tahoma" w:cs="Tahoma"/>
      <w:sz w:val="16"/>
      <w:szCs w:val="16"/>
    </w:rPr>
  </w:style>
  <w:style w:type="character" w:styleId="a8">
    <w:name w:val="Strong"/>
    <w:qFormat/>
    <w:rsid w:val="00861718"/>
    <w:rPr>
      <w:rFonts w:ascii="Times New Roman" w:hAnsi="Times New Roman" w:cs="Times New Roman" w:hint="default"/>
      <w:b/>
      <w:bCs/>
    </w:rPr>
  </w:style>
  <w:style w:type="table" w:styleId="a9">
    <w:name w:val="Table Grid"/>
    <w:basedOn w:val="a1"/>
    <w:rsid w:val="00A70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C27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4434">
      <w:bodyDiv w:val="1"/>
      <w:marLeft w:val="0"/>
      <w:marRight w:val="0"/>
      <w:marTop w:val="0"/>
      <w:marBottom w:val="0"/>
      <w:divBdr>
        <w:top w:val="none" w:sz="0" w:space="0" w:color="auto"/>
        <w:left w:val="none" w:sz="0" w:space="0" w:color="auto"/>
        <w:bottom w:val="none" w:sz="0" w:space="0" w:color="auto"/>
        <w:right w:val="none" w:sz="0" w:space="0" w:color="auto"/>
      </w:divBdr>
    </w:div>
    <w:div w:id="115107358">
      <w:bodyDiv w:val="1"/>
      <w:marLeft w:val="0"/>
      <w:marRight w:val="0"/>
      <w:marTop w:val="0"/>
      <w:marBottom w:val="0"/>
      <w:divBdr>
        <w:top w:val="none" w:sz="0" w:space="0" w:color="auto"/>
        <w:left w:val="none" w:sz="0" w:space="0" w:color="auto"/>
        <w:bottom w:val="none" w:sz="0" w:space="0" w:color="auto"/>
        <w:right w:val="none" w:sz="0" w:space="0" w:color="auto"/>
      </w:divBdr>
    </w:div>
    <w:div w:id="121776392">
      <w:bodyDiv w:val="1"/>
      <w:marLeft w:val="0"/>
      <w:marRight w:val="0"/>
      <w:marTop w:val="0"/>
      <w:marBottom w:val="0"/>
      <w:divBdr>
        <w:top w:val="none" w:sz="0" w:space="0" w:color="auto"/>
        <w:left w:val="none" w:sz="0" w:space="0" w:color="auto"/>
        <w:bottom w:val="none" w:sz="0" w:space="0" w:color="auto"/>
        <w:right w:val="none" w:sz="0" w:space="0" w:color="auto"/>
      </w:divBdr>
    </w:div>
    <w:div w:id="362554192">
      <w:bodyDiv w:val="1"/>
      <w:marLeft w:val="0"/>
      <w:marRight w:val="0"/>
      <w:marTop w:val="0"/>
      <w:marBottom w:val="0"/>
      <w:divBdr>
        <w:top w:val="none" w:sz="0" w:space="0" w:color="auto"/>
        <w:left w:val="none" w:sz="0" w:space="0" w:color="auto"/>
        <w:bottom w:val="none" w:sz="0" w:space="0" w:color="auto"/>
        <w:right w:val="none" w:sz="0" w:space="0" w:color="auto"/>
      </w:divBdr>
    </w:div>
    <w:div w:id="469053845">
      <w:bodyDiv w:val="1"/>
      <w:marLeft w:val="0"/>
      <w:marRight w:val="0"/>
      <w:marTop w:val="0"/>
      <w:marBottom w:val="0"/>
      <w:divBdr>
        <w:top w:val="none" w:sz="0" w:space="0" w:color="auto"/>
        <w:left w:val="none" w:sz="0" w:space="0" w:color="auto"/>
        <w:bottom w:val="none" w:sz="0" w:space="0" w:color="auto"/>
        <w:right w:val="none" w:sz="0" w:space="0" w:color="auto"/>
      </w:divBdr>
      <w:divsChild>
        <w:div w:id="1118184787">
          <w:marLeft w:val="0"/>
          <w:marRight w:val="0"/>
          <w:marTop w:val="0"/>
          <w:marBottom w:val="0"/>
          <w:divBdr>
            <w:top w:val="none" w:sz="0" w:space="0" w:color="auto"/>
            <w:left w:val="none" w:sz="0" w:space="0" w:color="auto"/>
            <w:bottom w:val="none" w:sz="0" w:space="0" w:color="auto"/>
            <w:right w:val="none" w:sz="0" w:space="0" w:color="auto"/>
          </w:divBdr>
        </w:div>
        <w:div w:id="1791557908">
          <w:marLeft w:val="0"/>
          <w:marRight w:val="0"/>
          <w:marTop w:val="0"/>
          <w:marBottom w:val="0"/>
          <w:divBdr>
            <w:top w:val="none" w:sz="0" w:space="0" w:color="auto"/>
            <w:left w:val="none" w:sz="0" w:space="0" w:color="auto"/>
            <w:bottom w:val="none" w:sz="0" w:space="0" w:color="auto"/>
            <w:right w:val="none" w:sz="0" w:space="0" w:color="auto"/>
          </w:divBdr>
        </w:div>
      </w:divsChild>
    </w:div>
    <w:div w:id="556015927">
      <w:bodyDiv w:val="1"/>
      <w:marLeft w:val="0"/>
      <w:marRight w:val="0"/>
      <w:marTop w:val="0"/>
      <w:marBottom w:val="0"/>
      <w:divBdr>
        <w:top w:val="none" w:sz="0" w:space="0" w:color="auto"/>
        <w:left w:val="none" w:sz="0" w:space="0" w:color="auto"/>
        <w:bottom w:val="none" w:sz="0" w:space="0" w:color="auto"/>
        <w:right w:val="none" w:sz="0" w:space="0" w:color="auto"/>
      </w:divBdr>
    </w:div>
    <w:div w:id="569728253">
      <w:bodyDiv w:val="1"/>
      <w:marLeft w:val="0"/>
      <w:marRight w:val="0"/>
      <w:marTop w:val="0"/>
      <w:marBottom w:val="0"/>
      <w:divBdr>
        <w:top w:val="none" w:sz="0" w:space="0" w:color="auto"/>
        <w:left w:val="none" w:sz="0" w:space="0" w:color="auto"/>
        <w:bottom w:val="none" w:sz="0" w:space="0" w:color="auto"/>
        <w:right w:val="none" w:sz="0" w:space="0" w:color="auto"/>
      </w:divBdr>
    </w:div>
    <w:div w:id="600721957">
      <w:bodyDiv w:val="1"/>
      <w:marLeft w:val="0"/>
      <w:marRight w:val="0"/>
      <w:marTop w:val="0"/>
      <w:marBottom w:val="0"/>
      <w:divBdr>
        <w:top w:val="none" w:sz="0" w:space="0" w:color="auto"/>
        <w:left w:val="none" w:sz="0" w:space="0" w:color="auto"/>
        <w:bottom w:val="none" w:sz="0" w:space="0" w:color="auto"/>
        <w:right w:val="none" w:sz="0" w:space="0" w:color="auto"/>
      </w:divBdr>
    </w:div>
    <w:div w:id="650718799">
      <w:bodyDiv w:val="1"/>
      <w:marLeft w:val="0"/>
      <w:marRight w:val="0"/>
      <w:marTop w:val="0"/>
      <w:marBottom w:val="0"/>
      <w:divBdr>
        <w:top w:val="none" w:sz="0" w:space="0" w:color="auto"/>
        <w:left w:val="none" w:sz="0" w:space="0" w:color="auto"/>
        <w:bottom w:val="none" w:sz="0" w:space="0" w:color="auto"/>
        <w:right w:val="none" w:sz="0" w:space="0" w:color="auto"/>
      </w:divBdr>
    </w:div>
    <w:div w:id="703023477">
      <w:bodyDiv w:val="1"/>
      <w:marLeft w:val="0"/>
      <w:marRight w:val="0"/>
      <w:marTop w:val="0"/>
      <w:marBottom w:val="0"/>
      <w:divBdr>
        <w:top w:val="none" w:sz="0" w:space="0" w:color="auto"/>
        <w:left w:val="none" w:sz="0" w:space="0" w:color="auto"/>
        <w:bottom w:val="none" w:sz="0" w:space="0" w:color="auto"/>
        <w:right w:val="none" w:sz="0" w:space="0" w:color="auto"/>
      </w:divBdr>
    </w:div>
    <w:div w:id="853422730">
      <w:bodyDiv w:val="1"/>
      <w:marLeft w:val="0"/>
      <w:marRight w:val="0"/>
      <w:marTop w:val="0"/>
      <w:marBottom w:val="0"/>
      <w:divBdr>
        <w:top w:val="none" w:sz="0" w:space="0" w:color="auto"/>
        <w:left w:val="none" w:sz="0" w:space="0" w:color="auto"/>
        <w:bottom w:val="none" w:sz="0" w:space="0" w:color="auto"/>
        <w:right w:val="none" w:sz="0" w:space="0" w:color="auto"/>
      </w:divBdr>
    </w:div>
    <w:div w:id="924606397">
      <w:bodyDiv w:val="1"/>
      <w:marLeft w:val="0"/>
      <w:marRight w:val="0"/>
      <w:marTop w:val="0"/>
      <w:marBottom w:val="0"/>
      <w:divBdr>
        <w:top w:val="none" w:sz="0" w:space="0" w:color="auto"/>
        <w:left w:val="none" w:sz="0" w:space="0" w:color="auto"/>
        <w:bottom w:val="none" w:sz="0" w:space="0" w:color="auto"/>
        <w:right w:val="none" w:sz="0" w:space="0" w:color="auto"/>
      </w:divBdr>
    </w:div>
    <w:div w:id="984091078">
      <w:bodyDiv w:val="1"/>
      <w:marLeft w:val="0"/>
      <w:marRight w:val="0"/>
      <w:marTop w:val="0"/>
      <w:marBottom w:val="0"/>
      <w:divBdr>
        <w:top w:val="none" w:sz="0" w:space="0" w:color="auto"/>
        <w:left w:val="none" w:sz="0" w:space="0" w:color="auto"/>
        <w:bottom w:val="none" w:sz="0" w:space="0" w:color="auto"/>
        <w:right w:val="none" w:sz="0" w:space="0" w:color="auto"/>
      </w:divBdr>
    </w:div>
    <w:div w:id="1070619580">
      <w:bodyDiv w:val="1"/>
      <w:marLeft w:val="0"/>
      <w:marRight w:val="0"/>
      <w:marTop w:val="0"/>
      <w:marBottom w:val="0"/>
      <w:divBdr>
        <w:top w:val="none" w:sz="0" w:space="0" w:color="auto"/>
        <w:left w:val="none" w:sz="0" w:space="0" w:color="auto"/>
        <w:bottom w:val="none" w:sz="0" w:space="0" w:color="auto"/>
        <w:right w:val="none" w:sz="0" w:space="0" w:color="auto"/>
      </w:divBdr>
    </w:div>
    <w:div w:id="1113137111">
      <w:bodyDiv w:val="1"/>
      <w:marLeft w:val="0"/>
      <w:marRight w:val="0"/>
      <w:marTop w:val="0"/>
      <w:marBottom w:val="0"/>
      <w:divBdr>
        <w:top w:val="none" w:sz="0" w:space="0" w:color="auto"/>
        <w:left w:val="none" w:sz="0" w:space="0" w:color="auto"/>
        <w:bottom w:val="none" w:sz="0" w:space="0" w:color="auto"/>
        <w:right w:val="none" w:sz="0" w:space="0" w:color="auto"/>
      </w:divBdr>
    </w:div>
    <w:div w:id="1247419451">
      <w:bodyDiv w:val="1"/>
      <w:marLeft w:val="0"/>
      <w:marRight w:val="0"/>
      <w:marTop w:val="0"/>
      <w:marBottom w:val="0"/>
      <w:divBdr>
        <w:top w:val="none" w:sz="0" w:space="0" w:color="auto"/>
        <w:left w:val="none" w:sz="0" w:space="0" w:color="auto"/>
        <w:bottom w:val="none" w:sz="0" w:space="0" w:color="auto"/>
        <w:right w:val="none" w:sz="0" w:space="0" w:color="auto"/>
      </w:divBdr>
    </w:div>
    <w:div w:id="1448818779">
      <w:bodyDiv w:val="1"/>
      <w:marLeft w:val="0"/>
      <w:marRight w:val="0"/>
      <w:marTop w:val="0"/>
      <w:marBottom w:val="0"/>
      <w:divBdr>
        <w:top w:val="none" w:sz="0" w:space="0" w:color="auto"/>
        <w:left w:val="none" w:sz="0" w:space="0" w:color="auto"/>
        <w:bottom w:val="none" w:sz="0" w:space="0" w:color="auto"/>
        <w:right w:val="none" w:sz="0" w:space="0" w:color="auto"/>
      </w:divBdr>
    </w:div>
    <w:div w:id="1487165672">
      <w:bodyDiv w:val="1"/>
      <w:marLeft w:val="0"/>
      <w:marRight w:val="0"/>
      <w:marTop w:val="0"/>
      <w:marBottom w:val="0"/>
      <w:divBdr>
        <w:top w:val="none" w:sz="0" w:space="0" w:color="auto"/>
        <w:left w:val="none" w:sz="0" w:space="0" w:color="auto"/>
        <w:bottom w:val="none" w:sz="0" w:space="0" w:color="auto"/>
        <w:right w:val="none" w:sz="0" w:space="0" w:color="auto"/>
      </w:divBdr>
    </w:div>
    <w:div w:id="1721900536">
      <w:bodyDiv w:val="1"/>
      <w:marLeft w:val="0"/>
      <w:marRight w:val="0"/>
      <w:marTop w:val="0"/>
      <w:marBottom w:val="0"/>
      <w:divBdr>
        <w:top w:val="none" w:sz="0" w:space="0" w:color="auto"/>
        <w:left w:val="none" w:sz="0" w:space="0" w:color="auto"/>
        <w:bottom w:val="none" w:sz="0" w:space="0" w:color="auto"/>
        <w:right w:val="none" w:sz="0" w:space="0" w:color="auto"/>
      </w:divBdr>
    </w:div>
    <w:div w:id="1928729937">
      <w:bodyDiv w:val="1"/>
      <w:marLeft w:val="0"/>
      <w:marRight w:val="0"/>
      <w:marTop w:val="0"/>
      <w:marBottom w:val="0"/>
      <w:divBdr>
        <w:top w:val="none" w:sz="0" w:space="0" w:color="auto"/>
        <w:left w:val="none" w:sz="0" w:space="0" w:color="auto"/>
        <w:bottom w:val="none" w:sz="0" w:space="0" w:color="auto"/>
        <w:right w:val="none" w:sz="0" w:space="0" w:color="auto"/>
      </w:divBdr>
    </w:div>
    <w:div w:id="1977442671">
      <w:bodyDiv w:val="1"/>
      <w:marLeft w:val="0"/>
      <w:marRight w:val="0"/>
      <w:marTop w:val="0"/>
      <w:marBottom w:val="0"/>
      <w:divBdr>
        <w:top w:val="none" w:sz="0" w:space="0" w:color="auto"/>
        <w:left w:val="none" w:sz="0" w:space="0" w:color="auto"/>
        <w:bottom w:val="none" w:sz="0" w:space="0" w:color="auto"/>
        <w:right w:val="none" w:sz="0" w:space="0" w:color="auto"/>
      </w:divBdr>
    </w:div>
    <w:div w:id="1986469639">
      <w:bodyDiv w:val="1"/>
      <w:marLeft w:val="0"/>
      <w:marRight w:val="0"/>
      <w:marTop w:val="0"/>
      <w:marBottom w:val="0"/>
      <w:divBdr>
        <w:top w:val="none" w:sz="0" w:space="0" w:color="auto"/>
        <w:left w:val="none" w:sz="0" w:space="0" w:color="auto"/>
        <w:bottom w:val="none" w:sz="0" w:space="0" w:color="auto"/>
        <w:right w:val="none" w:sz="0" w:space="0" w:color="auto"/>
      </w:divBdr>
    </w:div>
    <w:div w:id="2013332351">
      <w:bodyDiv w:val="1"/>
      <w:marLeft w:val="0"/>
      <w:marRight w:val="0"/>
      <w:marTop w:val="0"/>
      <w:marBottom w:val="0"/>
      <w:divBdr>
        <w:top w:val="none" w:sz="0" w:space="0" w:color="auto"/>
        <w:left w:val="none" w:sz="0" w:space="0" w:color="auto"/>
        <w:bottom w:val="none" w:sz="0" w:space="0" w:color="auto"/>
        <w:right w:val="none" w:sz="0" w:space="0" w:color="auto"/>
      </w:divBdr>
    </w:div>
    <w:div w:id="2015456361">
      <w:bodyDiv w:val="1"/>
      <w:marLeft w:val="0"/>
      <w:marRight w:val="0"/>
      <w:marTop w:val="0"/>
      <w:marBottom w:val="0"/>
      <w:divBdr>
        <w:top w:val="none" w:sz="0" w:space="0" w:color="auto"/>
        <w:left w:val="none" w:sz="0" w:space="0" w:color="auto"/>
        <w:bottom w:val="none" w:sz="0" w:space="0" w:color="auto"/>
        <w:right w:val="none" w:sz="0" w:space="0" w:color="auto"/>
      </w:divBdr>
    </w:div>
    <w:div w:id="2049600170">
      <w:bodyDiv w:val="1"/>
      <w:marLeft w:val="0"/>
      <w:marRight w:val="0"/>
      <w:marTop w:val="0"/>
      <w:marBottom w:val="0"/>
      <w:divBdr>
        <w:top w:val="none" w:sz="0" w:space="0" w:color="auto"/>
        <w:left w:val="none" w:sz="0" w:space="0" w:color="auto"/>
        <w:bottom w:val="none" w:sz="0" w:space="0" w:color="auto"/>
        <w:right w:val="none" w:sz="0" w:space="0" w:color="auto"/>
      </w:divBdr>
    </w:div>
    <w:div w:id="208201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4319</Words>
  <Characters>2463</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ВИСНОВОК</vt:lpstr>
    </vt:vector>
  </TitlesOfParts>
  <Company>Verkhovna Rada</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ВИСНОВОК</dc:title>
  <dc:subject/>
  <dc:creator>user</dc:creator>
  <cp:keywords/>
  <cp:lastModifiedBy>Фостик Богдан Володимирович</cp:lastModifiedBy>
  <cp:revision>3</cp:revision>
  <cp:lastPrinted>2012-05-16T14:13:00Z</cp:lastPrinted>
  <dcterms:created xsi:type="dcterms:W3CDTF">2020-04-27T10:37:00Z</dcterms:created>
  <dcterms:modified xsi:type="dcterms:W3CDTF">2020-04-30T11:48:00Z</dcterms:modified>
</cp:coreProperties>
</file>