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4" w:rsidRPr="00DF5FFE" w:rsidRDefault="008D4B84" w:rsidP="00FD3838">
      <w:pPr>
        <w:jc w:val="center"/>
        <w:rPr>
          <w:b/>
          <w:bCs/>
          <w:lang w:val="uk-UA"/>
        </w:rPr>
      </w:pPr>
      <w:r w:rsidRPr="00DF5FFE">
        <w:rPr>
          <w:b/>
          <w:bCs/>
          <w:lang w:val="uk-UA"/>
        </w:rPr>
        <w:t>ПОЯСНЮВАЛЬНА ЗАПИСКА</w:t>
      </w:r>
    </w:p>
    <w:p w:rsidR="008D4B84" w:rsidRPr="00DF5FFE" w:rsidRDefault="008D4B84" w:rsidP="00FD3838">
      <w:pPr>
        <w:spacing w:after="0"/>
        <w:jc w:val="center"/>
        <w:rPr>
          <w:b/>
          <w:lang w:val="uk-UA"/>
        </w:rPr>
      </w:pPr>
      <w:r w:rsidRPr="00DF5FFE">
        <w:rPr>
          <w:b/>
          <w:lang w:val="uk-UA"/>
        </w:rPr>
        <w:t>до проекту Закону України про внесення змін</w:t>
      </w:r>
    </w:p>
    <w:p w:rsidR="008D4B84" w:rsidRPr="00DF5FFE" w:rsidRDefault="008D4B84" w:rsidP="00FD3838">
      <w:pPr>
        <w:spacing w:after="0"/>
        <w:jc w:val="center"/>
        <w:rPr>
          <w:b/>
          <w:lang w:val="uk-UA"/>
        </w:rPr>
      </w:pPr>
      <w:r w:rsidRPr="00DF5FFE">
        <w:rPr>
          <w:b/>
          <w:lang w:val="uk-UA"/>
        </w:rPr>
        <w:t xml:space="preserve">до </w:t>
      </w:r>
      <w:r w:rsidR="00DF5FFE" w:rsidRPr="00DF5FFE">
        <w:rPr>
          <w:b/>
          <w:lang w:val="uk-UA"/>
        </w:rPr>
        <w:t>Закону</w:t>
      </w:r>
      <w:r w:rsidRPr="00DF5FFE">
        <w:rPr>
          <w:b/>
          <w:lang w:val="uk-UA"/>
        </w:rPr>
        <w:t xml:space="preserve"> України</w:t>
      </w:r>
      <w:r w:rsidR="00CC19E7">
        <w:rPr>
          <w:b/>
          <w:lang w:val="uk-UA"/>
        </w:rPr>
        <w:t xml:space="preserve"> </w:t>
      </w:r>
      <w:r w:rsidR="00DF5FFE" w:rsidRPr="00DF5FFE">
        <w:rPr>
          <w:b/>
          <w:lang w:val="uk-UA"/>
        </w:rPr>
        <w:t>"Про регулювання</w:t>
      </w:r>
      <w:r w:rsidRPr="00DF5FFE">
        <w:rPr>
          <w:b/>
          <w:lang w:val="uk-UA"/>
        </w:rPr>
        <w:t xml:space="preserve"> містобудівної діяльно</w:t>
      </w:r>
      <w:r w:rsidR="00DF5FFE" w:rsidRPr="00DF5FFE">
        <w:rPr>
          <w:b/>
          <w:lang w:val="uk-UA"/>
        </w:rPr>
        <w:t>сті"</w:t>
      </w:r>
      <w:r w:rsidR="005F5769">
        <w:rPr>
          <w:b/>
          <w:lang w:val="uk-UA"/>
        </w:rPr>
        <w:t xml:space="preserve"> щодо Генеральної схеми планування території України</w:t>
      </w:r>
    </w:p>
    <w:p w:rsidR="00D410FC" w:rsidRDefault="00D410FC" w:rsidP="00BF4F0E">
      <w:pPr>
        <w:jc w:val="both"/>
        <w:rPr>
          <w:lang w:val="uk-UA"/>
        </w:rPr>
      </w:pPr>
    </w:p>
    <w:p w:rsidR="00F71D03" w:rsidRDefault="008D4B84" w:rsidP="00F71D03">
      <w:pPr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 w:rsidRPr="00DF5FFE">
        <w:rPr>
          <w:b/>
          <w:bCs/>
          <w:lang w:val="uk-UA"/>
        </w:rPr>
        <w:t xml:space="preserve">Обґрунтування необхідності прийняття законопроекту </w:t>
      </w:r>
    </w:p>
    <w:p w:rsidR="00F71D03" w:rsidRPr="00447896" w:rsidRDefault="00F71D03" w:rsidP="00F71D03">
      <w:pPr>
        <w:spacing w:after="0"/>
        <w:ind w:left="720"/>
        <w:jc w:val="both"/>
        <w:rPr>
          <w:b/>
          <w:bCs/>
          <w:sz w:val="18"/>
          <w:szCs w:val="18"/>
          <w:lang w:val="uk-UA"/>
        </w:rPr>
      </w:pPr>
    </w:p>
    <w:p w:rsidR="00F71D03" w:rsidRDefault="00F71D03" w:rsidP="00432DC8">
      <w:pPr>
        <w:spacing w:after="0"/>
        <w:ind w:firstLine="709"/>
        <w:jc w:val="both"/>
        <w:rPr>
          <w:snapToGrid w:val="0"/>
          <w:szCs w:val="28"/>
          <w:lang w:val="uk-UA"/>
        </w:rPr>
      </w:pPr>
      <w:r>
        <w:rPr>
          <w:snapToGrid w:val="0"/>
          <w:szCs w:val="28"/>
          <w:lang w:val="uk-UA"/>
        </w:rPr>
        <w:t xml:space="preserve">Генеральна схема планування території України – це </w:t>
      </w:r>
      <w:r w:rsidRPr="00F71D03">
        <w:rPr>
          <w:snapToGrid w:val="0"/>
          <w:szCs w:val="28"/>
          <w:lang w:val="uk-UA"/>
        </w:rPr>
        <w:t>перший на пострадянському просторі документ, який визначає концептуальні вирішення планування та використання території держави на дост</w:t>
      </w:r>
      <w:r>
        <w:rPr>
          <w:snapToGrid w:val="0"/>
          <w:szCs w:val="28"/>
          <w:lang w:val="uk-UA"/>
        </w:rPr>
        <w:t>атньо тривалий період</w:t>
      </w:r>
      <w:r w:rsidRPr="00F71D03">
        <w:rPr>
          <w:snapToGrid w:val="0"/>
          <w:szCs w:val="28"/>
          <w:lang w:val="uk-UA"/>
        </w:rPr>
        <w:t>. Ген</w:t>
      </w:r>
      <w:r w:rsidR="00824DD1">
        <w:rPr>
          <w:snapToGrid w:val="0"/>
          <w:szCs w:val="28"/>
          <w:lang w:val="uk-UA"/>
        </w:rPr>
        <w:t xml:space="preserve">еральна схема </w:t>
      </w:r>
      <w:r w:rsidRPr="00F71D03">
        <w:rPr>
          <w:snapToGrid w:val="0"/>
          <w:szCs w:val="28"/>
          <w:lang w:val="uk-UA"/>
        </w:rPr>
        <w:t xml:space="preserve">є комплексним документом, який узгоджує розвиток різних галузей </w:t>
      </w:r>
      <w:r w:rsidR="00654DDC">
        <w:rPr>
          <w:snapToGrid w:val="0"/>
          <w:szCs w:val="28"/>
          <w:lang w:val="uk-UA"/>
        </w:rPr>
        <w:t>економіки держави на території, який ґрунтується на:</w:t>
      </w:r>
    </w:p>
    <w:p w:rsidR="00654DDC" w:rsidRPr="00B67454" w:rsidRDefault="00654DDC" w:rsidP="006B079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b/>
          <w:szCs w:val="28"/>
          <w:lang w:val="uk-UA"/>
        </w:rPr>
      </w:pPr>
      <w:r w:rsidRPr="00B67454">
        <w:rPr>
          <w:szCs w:val="28"/>
          <w:lang w:val="uk-UA"/>
        </w:rPr>
        <w:t>виявленн</w:t>
      </w:r>
      <w:r>
        <w:rPr>
          <w:szCs w:val="28"/>
          <w:lang w:val="uk-UA"/>
        </w:rPr>
        <w:t>і</w:t>
      </w:r>
      <w:r w:rsidRPr="00B67454">
        <w:rPr>
          <w:szCs w:val="28"/>
          <w:lang w:val="uk-UA"/>
        </w:rPr>
        <w:t xml:space="preserve"> законодавчих вимог </w:t>
      </w:r>
      <w:r>
        <w:rPr>
          <w:szCs w:val="28"/>
          <w:lang w:val="uk-UA"/>
        </w:rPr>
        <w:t xml:space="preserve">та </w:t>
      </w:r>
      <w:r w:rsidRPr="00B67454">
        <w:rPr>
          <w:szCs w:val="28"/>
          <w:lang w:val="uk-UA"/>
        </w:rPr>
        <w:t>визначення передумов використання території країни;</w:t>
      </w:r>
    </w:p>
    <w:p w:rsidR="00654DDC" w:rsidRPr="00B67454" w:rsidRDefault="00654DDC" w:rsidP="006B079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b/>
          <w:szCs w:val="28"/>
          <w:lang w:val="uk-UA"/>
        </w:rPr>
      </w:pPr>
      <w:r w:rsidRPr="00B67454">
        <w:rPr>
          <w:szCs w:val="28"/>
          <w:lang w:val="uk-UA"/>
        </w:rPr>
        <w:t>аналіз</w:t>
      </w:r>
      <w:r>
        <w:rPr>
          <w:szCs w:val="28"/>
          <w:lang w:val="uk-UA"/>
        </w:rPr>
        <w:t>у</w:t>
      </w:r>
      <w:r w:rsidRPr="00B67454">
        <w:rPr>
          <w:szCs w:val="28"/>
          <w:lang w:val="uk-UA"/>
        </w:rPr>
        <w:t xml:space="preserve"> стану використання території України та функціонування систем розселення;</w:t>
      </w:r>
    </w:p>
    <w:p w:rsidR="00654DDC" w:rsidRPr="00B67454" w:rsidRDefault="00654DDC" w:rsidP="006B079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b/>
          <w:szCs w:val="28"/>
          <w:lang w:val="uk-UA"/>
        </w:rPr>
      </w:pPr>
      <w:r w:rsidRPr="00B67454">
        <w:rPr>
          <w:szCs w:val="28"/>
          <w:lang w:val="uk-UA"/>
        </w:rPr>
        <w:t>аналіз</w:t>
      </w:r>
      <w:r>
        <w:rPr>
          <w:szCs w:val="28"/>
          <w:lang w:val="uk-UA"/>
        </w:rPr>
        <w:t>у</w:t>
      </w:r>
      <w:r w:rsidRPr="00B67454">
        <w:rPr>
          <w:szCs w:val="28"/>
          <w:lang w:val="uk-UA"/>
        </w:rPr>
        <w:t xml:space="preserve"> санітарно-епідеміологічного та екологічного стану територ</w:t>
      </w:r>
      <w:r>
        <w:rPr>
          <w:szCs w:val="28"/>
          <w:lang w:val="uk-UA"/>
        </w:rPr>
        <w:t>ії, рівня природно-</w:t>
      </w:r>
      <w:r w:rsidRPr="00B67454">
        <w:rPr>
          <w:szCs w:val="28"/>
          <w:lang w:val="uk-UA"/>
        </w:rPr>
        <w:t>техногенної безпеки;</w:t>
      </w:r>
    </w:p>
    <w:p w:rsidR="00654DDC" w:rsidRPr="00B67454" w:rsidRDefault="00654DDC" w:rsidP="006B079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b/>
          <w:szCs w:val="28"/>
          <w:lang w:val="uk-UA"/>
        </w:rPr>
      </w:pPr>
      <w:r w:rsidRPr="00B67454">
        <w:rPr>
          <w:szCs w:val="28"/>
          <w:lang w:val="uk-UA"/>
        </w:rPr>
        <w:t>аналіз</w:t>
      </w:r>
      <w:r>
        <w:rPr>
          <w:szCs w:val="28"/>
          <w:lang w:val="uk-UA"/>
        </w:rPr>
        <w:t>у</w:t>
      </w:r>
      <w:r w:rsidRPr="00B67454">
        <w:rPr>
          <w:szCs w:val="28"/>
          <w:lang w:val="uk-UA"/>
        </w:rPr>
        <w:t xml:space="preserve"> намірів та потреб використання окремих територій, визначених у загальнодержавних програмах соціального, економічного розвитку, інших державних програмах, схемах розвитку галузей економіки;</w:t>
      </w:r>
    </w:p>
    <w:p w:rsidR="00654DDC" w:rsidRPr="00B67454" w:rsidRDefault="00654DDC" w:rsidP="006B079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визначенні</w:t>
      </w:r>
      <w:r w:rsidRPr="00B67454">
        <w:rPr>
          <w:szCs w:val="28"/>
          <w:lang w:val="uk-UA"/>
        </w:rPr>
        <w:t xml:space="preserve"> територій за видами переважного використання та територій пріоритетного розвитку, які вимагають державної підтримки;</w:t>
      </w:r>
    </w:p>
    <w:p w:rsidR="00654DDC" w:rsidRPr="00B67454" w:rsidRDefault="00654DDC" w:rsidP="006B0793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b/>
          <w:szCs w:val="28"/>
          <w:lang w:val="uk-UA"/>
        </w:rPr>
      </w:pPr>
      <w:r w:rsidRPr="00B67454">
        <w:rPr>
          <w:szCs w:val="28"/>
          <w:lang w:val="uk-UA"/>
        </w:rPr>
        <w:t>визначення пріоритетних напрямків вдосконалення систем розселення, сталого розвитку населених пунктів, соціальної та інженерн</w:t>
      </w:r>
      <w:r w:rsidR="006B0793">
        <w:rPr>
          <w:szCs w:val="28"/>
          <w:lang w:val="uk-UA"/>
        </w:rPr>
        <w:t>о - транспортної інфраструктури.</w:t>
      </w:r>
    </w:p>
    <w:p w:rsidR="00157DDB" w:rsidRPr="00CC2691" w:rsidRDefault="00F71D03" w:rsidP="00157D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szCs w:val="28"/>
          <w:lang w:val="uk-UA"/>
        </w:rPr>
      </w:pPr>
      <w:r>
        <w:rPr>
          <w:snapToGrid w:val="0"/>
          <w:szCs w:val="28"/>
          <w:lang w:val="uk-UA"/>
        </w:rPr>
        <w:t xml:space="preserve">За понад </w:t>
      </w:r>
      <w:r w:rsidRPr="0017615C">
        <w:rPr>
          <w:snapToGrid w:val="0"/>
          <w:szCs w:val="28"/>
          <w:lang w:val="uk-UA"/>
        </w:rPr>
        <w:t>2</w:t>
      </w:r>
      <w:r>
        <w:rPr>
          <w:snapToGrid w:val="0"/>
          <w:szCs w:val="28"/>
          <w:lang w:val="uk-UA"/>
        </w:rPr>
        <w:t>0-річний період, що минув з моменту початку розроблення Генеральної схеми, і 1</w:t>
      </w:r>
      <w:r w:rsidRPr="00436588">
        <w:rPr>
          <w:snapToGrid w:val="0"/>
          <w:szCs w:val="28"/>
          <w:lang w:val="uk-UA"/>
        </w:rPr>
        <w:t>8</w:t>
      </w:r>
      <w:r>
        <w:rPr>
          <w:snapToGrid w:val="0"/>
          <w:szCs w:val="28"/>
          <w:lang w:val="uk-UA"/>
        </w:rPr>
        <w:t>-річний період її реалізації у розвитку нашої держави відбулися істотні зміни, що вплинули на стан господарського комплексу, системи розселення, транспортної інфраструктури, стану навколишнього природного середовища тощо.</w:t>
      </w:r>
      <w:r w:rsidR="00157DDB">
        <w:rPr>
          <w:snapToGrid w:val="0"/>
          <w:szCs w:val="28"/>
          <w:lang w:val="uk-UA"/>
        </w:rPr>
        <w:t xml:space="preserve"> </w:t>
      </w:r>
      <w:r w:rsidR="00157DDB">
        <w:rPr>
          <w:szCs w:val="28"/>
          <w:lang w:val="uk-UA"/>
        </w:rPr>
        <w:t>У</w:t>
      </w:r>
      <w:r w:rsidR="00157DDB" w:rsidRPr="00CC2691">
        <w:rPr>
          <w:szCs w:val="28"/>
          <w:lang w:val="uk-UA"/>
        </w:rPr>
        <w:t xml:space="preserve"> сучасних суспільно-політичних умовах гостро стоїть необхідність переоцінки закладених Генеральною схемою прогнозів та перспектив</w:t>
      </w:r>
      <w:r w:rsidR="00157DDB">
        <w:rPr>
          <w:szCs w:val="28"/>
          <w:lang w:val="uk-UA"/>
        </w:rPr>
        <w:t>.</w:t>
      </w:r>
      <w:r w:rsidR="00157DDB" w:rsidRPr="00157DDB">
        <w:rPr>
          <w:szCs w:val="28"/>
          <w:lang w:val="uk-UA"/>
        </w:rPr>
        <w:t xml:space="preserve"> </w:t>
      </w:r>
      <w:r w:rsidR="00157DDB" w:rsidRPr="00CC2691">
        <w:rPr>
          <w:szCs w:val="28"/>
          <w:lang w:val="uk-UA"/>
        </w:rPr>
        <w:t>Беручи до уваги ситуацію, що склалася, а також враховуючи положення Державної стратегії регіонального розвитку на період до 2020 року, затвердженої Постановою КМУ від 6 серпня 2014 року №</w:t>
      </w:r>
      <w:r w:rsidR="00447896">
        <w:rPr>
          <w:szCs w:val="28"/>
          <w:lang w:val="en-US"/>
        </w:rPr>
        <w:t> </w:t>
      </w:r>
      <w:r w:rsidR="00157DDB" w:rsidRPr="00CC2691">
        <w:rPr>
          <w:szCs w:val="28"/>
          <w:lang w:val="uk-UA"/>
        </w:rPr>
        <w:t>385, необхідно розробити принципово нові підходи до територіального розвитку України, як</w:t>
      </w:r>
      <w:r w:rsidR="00B8413A">
        <w:rPr>
          <w:szCs w:val="28"/>
          <w:lang w:val="uk-UA"/>
        </w:rPr>
        <w:t>і</w:t>
      </w:r>
      <w:r w:rsidR="00157DDB" w:rsidRPr="00CC2691">
        <w:rPr>
          <w:szCs w:val="28"/>
          <w:lang w:val="uk-UA"/>
        </w:rPr>
        <w:t xml:space="preserve"> ма</w:t>
      </w:r>
      <w:r w:rsidR="00B8413A">
        <w:rPr>
          <w:szCs w:val="28"/>
          <w:lang w:val="uk-UA"/>
        </w:rPr>
        <w:t>ють</w:t>
      </w:r>
      <w:r w:rsidR="00157DDB" w:rsidRPr="00CC2691">
        <w:rPr>
          <w:szCs w:val="28"/>
          <w:lang w:val="uk-UA"/>
        </w:rPr>
        <w:t xml:space="preserve"> враховувати:</w:t>
      </w:r>
    </w:p>
    <w:p w:rsidR="00157DDB" w:rsidRPr="00CC2691" w:rsidRDefault="00157DDB" w:rsidP="00157DDB">
      <w:pPr>
        <w:tabs>
          <w:tab w:val="left" w:pos="964"/>
        </w:tabs>
        <w:spacing w:after="120"/>
        <w:ind w:firstLine="709"/>
        <w:jc w:val="both"/>
        <w:rPr>
          <w:b/>
          <w:szCs w:val="28"/>
          <w:lang w:val="uk-UA"/>
        </w:rPr>
      </w:pPr>
      <w:r w:rsidRPr="00CC2691">
        <w:rPr>
          <w:szCs w:val="28"/>
          <w:lang w:val="uk-UA"/>
        </w:rPr>
        <w:t>-</w:t>
      </w:r>
      <w:r w:rsidRPr="00CC2691">
        <w:rPr>
          <w:szCs w:val="28"/>
          <w:lang w:val="uk-UA"/>
        </w:rPr>
        <w:tab/>
        <w:t xml:space="preserve">пріоритетність </w:t>
      </w:r>
      <w:proofErr w:type="spellStart"/>
      <w:r w:rsidRPr="00CC2691">
        <w:rPr>
          <w:szCs w:val="28"/>
          <w:lang w:val="uk-UA"/>
        </w:rPr>
        <w:t>зв’язків</w:t>
      </w:r>
      <w:proofErr w:type="spellEnd"/>
      <w:r w:rsidRPr="00CC2691">
        <w:rPr>
          <w:szCs w:val="28"/>
          <w:lang w:val="uk-UA"/>
        </w:rPr>
        <w:t xml:space="preserve"> з європейськими державами і поступову інтеграцію </w:t>
      </w:r>
      <w:r w:rsidR="000655CA">
        <w:rPr>
          <w:szCs w:val="28"/>
          <w:lang w:val="uk-UA"/>
        </w:rPr>
        <w:t xml:space="preserve">України в європейську спільноту, зокрема </w:t>
      </w:r>
      <w:r w:rsidR="000655CA">
        <w:rPr>
          <w:snapToGrid w:val="0"/>
          <w:szCs w:val="28"/>
          <w:lang w:val="uk-UA"/>
        </w:rPr>
        <w:t>пропозиції щодо розвитку вільних економічних зон, логістичних центрів та індустріальних парків;</w:t>
      </w:r>
    </w:p>
    <w:p w:rsidR="00157DDB" w:rsidRDefault="00157DDB" w:rsidP="00157DDB">
      <w:pPr>
        <w:tabs>
          <w:tab w:val="left" w:pos="964"/>
        </w:tabs>
        <w:spacing w:after="120"/>
        <w:ind w:firstLine="709"/>
        <w:jc w:val="both"/>
        <w:rPr>
          <w:szCs w:val="28"/>
          <w:lang w:val="uk-UA"/>
        </w:rPr>
      </w:pPr>
      <w:r w:rsidRPr="00CC2691">
        <w:rPr>
          <w:szCs w:val="28"/>
          <w:lang w:val="uk-UA"/>
        </w:rPr>
        <w:t>-</w:t>
      </w:r>
      <w:r w:rsidRPr="00CC2691">
        <w:rPr>
          <w:szCs w:val="28"/>
          <w:lang w:val="uk-UA"/>
        </w:rPr>
        <w:tab/>
        <w:t xml:space="preserve">зміни у розвитку системи розселення держави та господарського комплексу окремих областей і адміністративних районів внаслідок </w:t>
      </w:r>
      <w:r w:rsidRPr="00CC2691">
        <w:rPr>
          <w:szCs w:val="28"/>
          <w:lang w:val="uk-UA"/>
        </w:rPr>
        <w:lastRenderedPageBreak/>
        <w:t>переміщення із тимчасово непідконтрольних територій виробничих підприємств, науково-дослідних та навчальних закладів, а також переселення населення;</w:t>
      </w:r>
    </w:p>
    <w:p w:rsidR="007878C1" w:rsidRDefault="00E9097D" w:rsidP="007878C1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878C1">
        <w:rPr>
          <w:szCs w:val="28"/>
          <w:lang w:val="uk-UA"/>
        </w:rPr>
        <w:t>прогнозний планувальний каркас території України, який має враховувати положення Керівних принципів сталого просторового розвитку Європейського континенту, затверджених Європейською конференцією міністрів, відповідальних за регіональне планування (СЕМАТ), зокрема, щодо пріоритетів простор</w:t>
      </w:r>
      <w:r w:rsidR="000877F7">
        <w:rPr>
          <w:szCs w:val="28"/>
          <w:lang w:val="uk-UA"/>
        </w:rPr>
        <w:t>ового розвитку у Східній Європі;</w:t>
      </w:r>
    </w:p>
    <w:p w:rsidR="001759DA" w:rsidRDefault="001759DA" w:rsidP="001759DA">
      <w:pPr>
        <w:spacing w:after="120"/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D428BB">
        <w:rPr>
          <w:szCs w:val="28"/>
          <w:lang w:val="uk-UA"/>
        </w:rPr>
        <w:t>р</w:t>
      </w:r>
      <w:r>
        <w:rPr>
          <w:szCs w:val="28"/>
          <w:lang w:val="uk-UA"/>
        </w:rPr>
        <w:t>атифікаці</w:t>
      </w:r>
      <w:r w:rsidR="00D428BB">
        <w:rPr>
          <w:szCs w:val="28"/>
          <w:lang w:val="uk-UA"/>
        </w:rPr>
        <w:t>ю</w:t>
      </w:r>
      <w:r>
        <w:rPr>
          <w:szCs w:val="28"/>
          <w:lang w:val="uk-UA"/>
        </w:rPr>
        <w:t xml:space="preserve"> Україною Кіотського протоколу до Рамкової Конвенції Організації Об'єднаних Націй про зміну клімату, запровадження нових вимог щодо поводження з твердими побутовими відходами та низка інших змін у сфері нормування охорони довкілля вимагають врахування на рівні планування просторового розвитку держави;</w:t>
      </w:r>
    </w:p>
    <w:p w:rsidR="000877F7" w:rsidRDefault="000877F7" w:rsidP="007878C1">
      <w:pPr>
        <w:spacing w:after="120"/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- аналіз трансформації площі </w:t>
      </w:r>
      <w:r w:rsidR="001759DA">
        <w:rPr>
          <w:szCs w:val="28"/>
          <w:lang w:val="uk-UA"/>
        </w:rPr>
        <w:t xml:space="preserve">та структури </w:t>
      </w:r>
      <w:r>
        <w:rPr>
          <w:szCs w:val="28"/>
          <w:lang w:val="uk-UA"/>
        </w:rPr>
        <w:t>земель різного цільового призначення та функціонального використання, складених на основі матеріалів Державного земельного кадастру із використанням сучасних ГІС-технологій;</w:t>
      </w:r>
    </w:p>
    <w:p w:rsidR="007878C1" w:rsidRPr="00CC2691" w:rsidRDefault="00301C65" w:rsidP="00157DDB">
      <w:pPr>
        <w:tabs>
          <w:tab w:val="left" w:pos="964"/>
        </w:tabs>
        <w:spacing w:after="120"/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- розвиток альтернативних шляхів постачання енергоносіїв у Європу, не передбачених Генеральною схемою; використання додаткових </w:t>
      </w:r>
      <w:proofErr w:type="spellStart"/>
      <w:r>
        <w:rPr>
          <w:szCs w:val="28"/>
          <w:lang w:val="uk-UA"/>
        </w:rPr>
        <w:t>потужностей</w:t>
      </w:r>
      <w:proofErr w:type="spellEnd"/>
      <w:r>
        <w:rPr>
          <w:szCs w:val="28"/>
          <w:lang w:val="uk-UA"/>
        </w:rPr>
        <w:t xml:space="preserve"> атомних електростанцій і будівництво додаткових ЛЕП; розвитку власних родовищ нафти та природного газу на шельфі Чорного моря; потенціалу розвитку альтернативних джерел енергопостачання (біоресурси, вітрова та сонячна енергія) та енергозберігаючих технологій;</w:t>
      </w:r>
    </w:p>
    <w:p w:rsidR="00157DDB" w:rsidRDefault="00157DDB" w:rsidP="00157DDB">
      <w:pPr>
        <w:tabs>
          <w:tab w:val="left" w:pos="964"/>
        </w:tabs>
        <w:spacing w:after="120"/>
        <w:ind w:firstLine="709"/>
        <w:jc w:val="both"/>
        <w:rPr>
          <w:szCs w:val="28"/>
          <w:lang w:val="uk-UA"/>
        </w:rPr>
      </w:pPr>
      <w:r w:rsidRPr="00CC2691">
        <w:rPr>
          <w:szCs w:val="28"/>
          <w:lang w:val="uk-UA"/>
        </w:rPr>
        <w:t>-</w:t>
      </w:r>
      <w:r w:rsidRPr="00CC2691">
        <w:rPr>
          <w:szCs w:val="28"/>
          <w:lang w:val="uk-UA"/>
        </w:rPr>
        <w:tab/>
        <w:t>новітній аналіз природно-ресурсного потенціалу і його можливостей задовольнити сучасні потр</w:t>
      </w:r>
      <w:r w:rsidR="001759DA">
        <w:rPr>
          <w:szCs w:val="28"/>
          <w:lang w:val="uk-UA"/>
        </w:rPr>
        <w:t>еби держави та окремих регіонів, зокрема аналізу акваторій Чорного та Азовського морів в частині виділення функціональних типів використання цих акваторій (природоохоронне, видобуток корисних копалин, транспортні комунікації тощо) на підставі методології, розробленої в рамках виконання Схеми планування прибережних територій Чорного та Азовського морів, та наявного в Європейських країнах досвіду</w:t>
      </w:r>
      <w:r w:rsidR="00D428BB">
        <w:rPr>
          <w:szCs w:val="28"/>
          <w:lang w:val="uk-UA"/>
        </w:rPr>
        <w:t>;</w:t>
      </w:r>
    </w:p>
    <w:p w:rsidR="00D428BB" w:rsidRDefault="00D428BB" w:rsidP="00D428BB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узгодження з розвитком інших галузей перспектив розвитку природно-заповідного фонду, особливо створення значних за площею об’єктів, таких як національні природні парки та регіональні ландшафтні парки, а також проектування національної екологічної мережі у відповідності до прийнятого у 2004 році Закону України </w:t>
      </w:r>
      <w:r w:rsidRPr="00E73899">
        <w:rPr>
          <w:szCs w:val="28"/>
          <w:lang w:val="uk-UA"/>
        </w:rPr>
        <w:t>“</w:t>
      </w:r>
      <w:r>
        <w:rPr>
          <w:szCs w:val="28"/>
          <w:lang w:val="uk-UA"/>
        </w:rPr>
        <w:t>Про екологічну мережу України</w:t>
      </w:r>
      <w:r w:rsidRPr="00E73899">
        <w:rPr>
          <w:szCs w:val="28"/>
          <w:lang w:val="uk-UA"/>
        </w:rPr>
        <w:t>”</w:t>
      </w:r>
      <w:r>
        <w:rPr>
          <w:szCs w:val="28"/>
          <w:lang w:val="uk-UA"/>
        </w:rPr>
        <w:t>;</w:t>
      </w:r>
    </w:p>
    <w:p w:rsidR="00931218" w:rsidRDefault="00931218" w:rsidP="00931218">
      <w:pPr>
        <w:spacing w:after="120"/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lastRenderedPageBreak/>
        <w:t>- коригування схеми туризму та схеми оздоровчих територій у зв’язку із розвитком туристичної та санаторно-курортної інфраструктури виникла необхідність коригування схеми.</w:t>
      </w:r>
    </w:p>
    <w:p w:rsidR="006D5DD9" w:rsidRPr="00DF5FFE" w:rsidRDefault="00157DDB" w:rsidP="006D5DD9">
      <w:pPr>
        <w:spacing w:after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>В той же час,</w:t>
      </w:r>
      <w:r w:rsidR="00DF5FFE">
        <w:rPr>
          <w:bCs/>
          <w:lang w:val="uk-UA"/>
        </w:rPr>
        <w:t xml:space="preserve"> у </w:t>
      </w:r>
      <w:r w:rsidR="00937006">
        <w:rPr>
          <w:bCs/>
          <w:lang w:val="uk-UA"/>
        </w:rPr>
        <w:t>чинному законодавстві</w:t>
      </w:r>
      <w:r w:rsidR="00DF5FFE">
        <w:rPr>
          <w:bCs/>
          <w:lang w:val="uk-UA"/>
        </w:rPr>
        <w:t xml:space="preserve"> н</w:t>
      </w:r>
      <w:r w:rsidR="00DF5FFE" w:rsidRPr="00DF5FFE">
        <w:rPr>
          <w:bCs/>
          <w:lang w:val="uk-UA"/>
        </w:rPr>
        <w:t xml:space="preserve">е можливо визначити склад та зміст Генеральної схеми, оскільки </w:t>
      </w:r>
      <w:r w:rsidR="00DF5FFE">
        <w:rPr>
          <w:bCs/>
          <w:lang w:val="uk-UA"/>
        </w:rPr>
        <w:t>З</w:t>
      </w:r>
      <w:r w:rsidR="00DF5FFE" w:rsidRPr="00DF5FFE">
        <w:rPr>
          <w:bCs/>
          <w:lang w:val="uk-UA"/>
        </w:rPr>
        <w:t xml:space="preserve">акон </w:t>
      </w:r>
      <w:r w:rsidR="00DF5FFE">
        <w:rPr>
          <w:bCs/>
          <w:lang w:val="uk-UA"/>
        </w:rPr>
        <w:t xml:space="preserve">України "Про </w:t>
      </w:r>
      <w:r w:rsidR="00432DC8" w:rsidRPr="00432DC8">
        <w:rPr>
          <w:bCs/>
          <w:lang w:val="uk-UA"/>
        </w:rPr>
        <w:t>Генеральну схему планування території України</w:t>
      </w:r>
      <w:r w:rsidR="00432DC8">
        <w:rPr>
          <w:bCs/>
          <w:lang w:val="uk-UA"/>
        </w:rPr>
        <w:t>"</w:t>
      </w:r>
      <w:r w:rsidR="00432DC8" w:rsidRPr="00432DC8">
        <w:rPr>
          <w:bCs/>
          <w:lang w:val="uk-UA"/>
        </w:rPr>
        <w:t xml:space="preserve"> </w:t>
      </w:r>
      <w:r w:rsidR="00DF5FFE" w:rsidRPr="00432DC8">
        <w:rPr>
          <w:bCs/>
          <w:lang w:val="uk-UA"/>
        </w:rPr>
        <w:t>в</w:t>
      </w:r>
      <w:r w:rsidR="00DF5FFE" w:rsidRPr="00DF5FFE">
        <w:rPr>
          <w:bCs/>
          <w:lang w:val="uk-UA"/>
        </w:rPr>
        <w:t xml:space="preserve">изначає, що </w:t>
      </w:r>
      <w:r w:rsidR="00432DC8">
        <w:rPr>
          <w:bCs/>
          <w:lang w:val="uk-UA"/>
        </w:rPr>
        <w:t>порядок розроблення, склад та зміст</w:t>
      </w:r>
      <w:r w:rsidR="00DF5FFE" w:rsidRPr="00DF5FFE">
        <w:rPr>
          <w:bCs/>
          <w:lang w:val="uk-UA"/>
        </w:rPr>
        <w:t xml:space="preserve"> містяться у </w:t>
      </w:r>
      <w:r w:rsidR="00DF5FFE">
        <w:rPr>
          <w:bCs/>
          <w:lang w:val="uk-UA"/>
        </w:rPr>
        <w:t>нормативних актах, в яких зазначено,</w:t>
      </w:r>
      <w:r w:rsidR="00DF5FFE" w:rsidRPr="00DF5FFE">
        <w:rPr>
          <w:bCs/>
          <w:lang w:val="uk-UA"/>
        </w:rPr>
        <w:t xml:space="preserve"> що склад та зміст має міститись у законі</w:t>
      </w:r>
      <w:r w:rsidR="00DF5FFE">
        <w:rPr>
          <w:bCs/>
          <w:lang w:val="uk-UA"/>
        </w:rPr>
        <w:t>.</w:t>
      </w:r>
      <w:r w:rsidR="00DF5FFE" w:rsidRPr="00DF5FFE">
        <w:rPr>
          <w:bCs/>
          <w:lang w:val="uk-UA"/>
        </w:rPr>
        <w:t xml:space="preserve"> </w:t>
      </w:r>
      <w:r w:rsidR="00432DC8">
        <w:rPr>
          <w:bCs/>
          <w:lang w:val="uk-UA"/>
        </w:rPr>
        <w:t>І Закон</w:t>
      </w:r>
      <w:r w:rsidR="00432DC8" w:rsidRPr="00432DC8">
        <w:rPr>
          <w:bCs/>
          <w:lang w:val="uk-UA"/>
        </w:rPr>
        <w:t xml:space="preserve"> України "Про регулювання містобудівної діяльності"</w:t>
      </w:r>
      <w:r w:rsidR="00432DC8">
        <w:rPr>
          <w:bCs/>
          <w:lang w:val="uk-UA"/>
        </w:rPr>
        <w:t xml:space="preserve"> дає тільки відсилку на </w:t>
      </w:r>
      <w:r w:rsidR="00432DC8" w:rsidRPr="00432DC8">
        <w:rPr>
          <w:bCs/>
          <w:lang w:val="uk-UA"/>
        </w:rPr>
        <w:t>Закон України "Про Генеральну схему планування території України"</w:t>
      </w:r>
      <w:r w:rsidR="00432DC8">
        <w:rPr>
          <w:bCs/>
          <w:lang w:val="uk-UA"/>
        </w:rPr>
        <w:t>. Тобто, крім визначення законодавство не дає роз'яснень та законодавчого регулювання стосовно Генеральної схеми України.</w:t>
      </w:r>
    </w:p>
    <w:p w:rsidR="00CC19E7" w:rsidRDefault="00CC19E7" w:rsidP="00F84B12">
      <w:pPr>
        <w:spacing w:after="0"/>
        <w:ind w:firstLine="709"/>
        <w:jc w:val="both"/>
        <w:rPr>
          <w:b/>
          <w:bCs/>
          <w:lang w:val="uk-UA"/>
        </w:rPr>
      </w:pPr>
    </w:p>
    <w:p w:rsidR="008D4B84" w:rsidRPr="00181DC3" w:rsidRDefault="008D4B84" w:rsidP="00181DC3">
      <w:pPr>
        <w:pStyle w:val="a3"/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 w:rsidRPr="00181DC3">
        <w:rPr>
          <w:b/>
          <w:bCs/>
          <w:lang w:val="uk-UA"/>
        </w:rPr>
        <w:t xml:space="preserve">Мета і завдання </w:t>
      </w:r>
      <w:r w:rsidR="00181DC3">
        <w:rPr>
          <w:b/>
          <w:bCs/>
          <w:lang w:val="uk-UA"/>
        </w:rPr>
        <w:t>прийняття акту</w:t>
      </w:r>
    </w:p>
    <w:p w:rsidR="00447896" w:rsidRPr="00447896" w:rsidRDefault="00447896" w:rsidP="00F84B12">
      <w:pPr>
        <w:spacing w:after="0"/>
        <w:ind w:firstLine="709"/>
        <w:jc w:val="both"/>
        <w:rPr>
          <w:b/>
          <w:bCs/>
          <w:sz w:val="18"/>
          <w:szCs w:val="18"/>
          <w:lang w:val="uk-UA"/>
        </w:rPr>
      </w:pPr>
    </w:p>
    <w:p w:rsidR="00F71D03" w:rsidRDefault="00EE1702" w:rsidP="00F71D03">
      <w:pPr>
        <w:spacing w:after="120"/>
        <w:ind w:firstLine="709"/>
        <w:jc w:val="both"/>
        <w:rPr>
          <w:b/>
          <w:szCs w:val="28"/>
          <w:lang w:val="uk-UA"/>
        </w:rPr>
      </w:pPr>
      <w:r w:rsidRPr="00DF5FFE">
        <w:rPr>
          <w:lang w:val="uk-UA"/>
        </w:rPr>
        <w:t xml:space="preserve">Проектом акта передбачено внесення змін до </w:t>
      </w:r>
      <w:r w:rsidR="00F84B12" w:rsidRPr="00F84B12">
        <w:rPr>
          <w:lang w:val="uk-UA"/>
        </w:rPr>
        <w:t>Закону України "Про регулювання містобудівної діяльності"</w:t>
      </w:r>
      <w:r w:rsidR="00F71D03">
        <w:rPr>
          <w:lang w:val="uk-UA"/>
        </w:rPr>
        <w:t>, я</w:t>
      </w:r>
      <w:r w:rsidR="00447896">
        <w:rPr>
          <w:lang w:val="uk-UA"/>
        </w:rPr>
        <w:t>кі</w:t>
      </w:r>
      <w:r w:rsidR="00F71D03">
        <w:rPr>
          <w:lang w:val="uk-UA"/>
        </w:rPr>
        <w:t xml:space="preserve"> з урахуванням змін у просторовому розвитку держави, зовнішніх викликів, </w:t>
      </w:r>
      <w:r w:rsidR="00F71D03" w:rsidRPr="005D5132">
        <w:rPr>
          <w:szCs w:val="28"/>
          <w:lang w:val="uk-UA"/>
        </w:rPr>
        <w:t>які стоять перед Україною сьогодні</w:t>
      </w:r>
      <w:r w:rsidR="00F71D03">
        <w:rPr>
          <w:szCs w:val="28"/>
          <w:lang w:val="uk-UA"/>
        </w:rPr>
        <w:t>, та розвитку</w:t>
      </w:r>
      <w:r w:rsidR="00F71D03" w:rsidRPr="005D5132">
        <w:rPr>
          <w:szCs w:val="28"/>
          <w:lang w:val="uk-UA"/>
        </w:rPr>
        <w:t xml:space="preserve"> технологічно-методологічних підходів до управління територіальним розвитком</w:t>
      </w:r>
      <w:r w:rsidR="00F71D03">
        <w:rPr>
          <w:szCs w:val="28"/>
          <w:lang w:val="uk-UA"/>
        </w:rPr>
        <w:t xml:space="preserve"> дозволять</w:t>
      </w:r>
      <w:r w:rsidR="00F71D03" w:rsidRPr="005D5132">
        <w:rPr>
          <w:szCs w:val="28"/>
          <w:lang w:val="uk-UA"/>
        </w:rPr>
        <w:t xml:space="preserve"> </w:t>
      </w:r>
      <w:r w:rsidR="00F71D03">
        <w:rPr>
          <w:szCs w:val="28"/>
          <w:lang w:val="uk-UA"/>
        </w:rPr>
        <w:t>започаткувати роботу</w:t>
      </w:r>
      <w:r w:rsidR="00F71D03" w:rsidRPr="005D5132">
        <w:rPr>
          <w:szCs w:val="28"/>
          <w:lang w:val="uk-UA"/>
        </w:rPr>
        <w:t xml:space="preserve"> над розробленням нової Генеральної схеми та переведенням її</w:t>
      </w:r>
      <w:r w:rsidR="00395554">
        <w:rPr>
          <w:szCs w:val="28"/>
          <w:lang w:val="uk-UA"/>
        </w:rPr>
        <w:t xml:space="preserve"> на сучасну технологічну основу. Це забезпечить</w:t>
      </w:r>
      <w:r w:rsidR="00F71D03" w:rsidRPr="005D5132">
        <w:rPr>
          <w:szCs w:val="28"/>
          <w:lang w:val="uk-UA"/>
        </w:rPr>
        <w:t xml:space="preserve"> </w:t>
      </w:r>
      <w:r w:rsidR="00395554">
        <w:rPr>
          <w:szCs w:val="28"/>
          <w:lang w:val="uk-UA"/>
        </w:rPr>
        <w:t>інтерактивне</w:t>
      </w:r>
      <w:r w:rsidR="00F71D03" w:rsidRPr="005D5132">
        <w:rPr>
          <w:szCs w:val="28"/>
          <w:lang w:val="uk-UA"/>
        </w:rPr>
        <w:t xml:space="preserve"> </w:t>
      </w:r>
      <w:r w:rsidR="00395554">
        <w:rPr>
          <w:szCs w:val="28"/>
          <w:lang w:val="uk-UA"/>
        </w:rPr>
        <w:t>використання</w:t>
      </w:r>
      <w:r w:rsidR="00F71D03" w:rsidRPr="005D5132">
        <w:rPr>
          <w:szCs w:val="28"/>
          <w:lang w:val="uk-UA"/>
        </w:rPr>
        <w:t xml:space="preserve"> </w:t>
      </w:r>
      <w:r w:rsidR="00395554">
        <w:rPr>
          <w:szCs w:val="28"/>
          <w:lang w:val="uk-UA"/>
        </w:rPr>
        <w:t>матеріалів</w:t>
      </w:r>
      <w:r w:rsidR="00F71D03" w:rsidRPr="005D5132">
        <w:rPr>
          <w:szCs w:val="28"/>
          <w:lang w:val="uk-UA"/>
        </w:rPr>
        <w:t xml:space="preserve"> Генеральної схеми для управління розвитком держави.</w:t>
      </w:r>
    </w:p>
    <w:p w:rsidR="00F71D03" w:rsidRDefault="00F71D03" w:rsidP="00F84B12">
      <w:pPr>
        <w:spacing w:after="0"/>
        <w:ind w:firstLine="709"/>
        <w:jc w:val="both"/>
        <w:rPr>
          <w:lang w:val="uk-UA"/>
        </w:rPr>
      </w:pPr>
    </w:p>
    <w:p w:rsidR="008D4B84" w:rsidRDefault="008D4B84" w:rsidP="00762684">
      <w:pPr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 w:rsidRPr="00DF5FFE">
        <w:rPr>
          <w:b/>
          <w:bCs/>
          <w:lang w:val="uk-UA"/>
        </w:rPr>
        <w:t>Загальна характеристика і основні положення проекту</w:t>
      </w:r>
    </w:p>
    <w:p w:rsidR="00762684" w:rsidRPr="00447896" w:rsidRDefault="00762684" w:rsidP="00762684">
      <w:pPr>
        <w:spacing w:after="0"/>
        <w:ind w:left="720"/>
        <w:jc w:val="both"/>
        <w:rPr>
          <w:b/>
          <w:bCs/>
          <w:sz w:val="18"/>
          <w:szCs w:val="18"/>
          <w:lang w:val="uk-UA"/>
        </w:rPr>
      </w:pPr>
    </w:p>
    <w:p w:rsidR="00EE1702" w:rsidRPr="00DF5FFE" w:rsidRDefault="00EE1702" w:rsidP="004D619B">
      <w:pPr>
        <w:spacing w:after="0"/>
        <w:ind w:firstLine="567"/>
        <w:jc w:val="both"/>
        <w:rPr>
          <w:lang w:val="uk-UA"/>
        </w:rPr>
      </w:pPr>
      <w:r w:rsidRPr="00DF5FFE">
        <w:rPr>
          <w:lang w:val="uk-UA"/>
        </w:rPr>
        <w:t>Положення законопроекту спрям</w:t>
      </w:r>
      <w:r w:rsidR="00AA661A">
        <w:rPr>
          <w:lang w:val="uk-UA"/>
        </w:rPr>
        <w:t>овані на визначення:</w:t>
      </w:r>
    </w:p>
    <w:p w:rsidR="00EA23BE" w:rsidRDefault="00AA661A" w:rsidP="00AA661A">
      <w:pPr>
        <w:numPr>
          <w:ilvl w:val="0"/>
          <w:numId w:val="5"/>
        </w:numPr>
        <w:spacing w:after="0"/>
        <w:jc w:val="both"/>
        <w:rPr>
          <w:lang w:val="uk-UA"/>
        </w:rPr>
      </w:pPr>
      <w:r>
        <w:rPr>
          <w:lang w:val="uk-UA"/>
        </w:rPr>
        <w:t>термінів;</w:t>
      </w:r>
    </w:p>
    <w:p w:rsidR="00AA661A" w:rsidRDefault="00AA661A" w:rsidP="00AA661A">
      <w:pPr>
        <w:numPr>
          <w:ilvl w:val="0"/>
          <w:numId w:val="5"/>
        </w:numPr>
        <w:spacing w:after="0"/>
        <w:jc w:val="both"/>
        <w:rPr>
          <w:lang w:val="uk-UA"/>
        </w:rPr>
      </w:pPr>
      <w:r>
        <w:rPr>
          <w:lang w:val="uk-UA"/>
        </w:rPr>
        <w:t>основних засад планування території на державному рівні;</w:t>
      </w:r>
    </w:p>
    <w:p w:rsidR="00755D12" w:rsidRDefault="00755D12" w:rsidP="00AA661A">
      <w:pPr>
        <w:numPr>
          <w:ilvl w:val="0"/>
          <w:numId w:val="5"/>
        </w:numPr>
        <w:spacing w:after="0"/>
        <w:jc w:val="both"/>
        <w:rPr>
          <w:lang w:val="uk-UA"/>
        </w:rPr>
      </w:pPr>
      <w:r>
        <w:rPr>
          <w:lang w:val="uk-UA"/>
        </w:rPr>
        <w:t>порядку прийняття рішення про розроблення Генеральної схеми, визначення розробника, замовника, переліку вихідних даних та порядку забезпечення ними;</w:t>
      </w:r>
    </w:p>
    <w:p w:rsidR="00755D12" w:rsidRDefault="00755D12" w:rsidP="00AA661A">
      <w:pPr>
        <w:numPr>
          <w:ilvl w:val="0"/>
          <w:numId w:val="5"/>
        </w:numPr>
        <w:spacing w:after="0"/>
        <w:jc w:val="both"/>
        <w:rPr>
          <w:lang w:val="uk-UA"/>
        </w:rPr>
      </w:pPr>
      <w:r>
        <w:rPr>
          <w:lang w:val="uk-UA"/>
        </w:rPr>
        <w:t>вміст матеріалів Генеральної схеми та їх вигляд;</w:t>
      </w:r>
    </w:p>
    <w:p w:rsidR="00AA661A" w:rsidRDefault="00AA661A" w:rsidP="00AA661A">
      <w:pPr>
        <w:numPr>
          <w:ilvl w:val="0"/>
          <w:numId w:val="5"/>
        </w:numPr>
        <w:spacing w:after="0"/>
        <w:jc w:val="both"/>
        <w:rPr>
          <w:lang w:val="uk-UA"/>
        </w:rPr>
      </w:pPr>
      <w:r>
        <w:rPr>
          <w:lang w:val="uk-UA"/>
        </w:rPr>
        <w:t>порядку реалізації документації з плануванн</w:t>
      </w:r>
      <w:r w:rsidR="002C1007">
        <w:rPr>
          <w:lang w:val="uk-UA"/>
        </w:rPr>
        <w:t>я територій на державному рівні, зокрема, визначення інструментів реалізації</w:t>
      </w:r>
      <w:r w:rsidR="00111CD6">
        <w:rPr>
          <w:lang w:val="uk-UA"/>
        </w:rPr>
        <w:t xml:space="preserve">, </w:t>
      </w:r>
      <w:r w:rsidR="002C1007">
        <w:rPr>
          <w:lang w:val="uk-UA"/>
        </w:rPr>
        <w:t>моніторингу</w:t>
      </w:r>
      <w:r w:rsidR="00111CD6">
        <w:rPr>
          <w:lang w:val="uk-UA"/>
        </w:rPr>
        <w:t xml:space="preserve"> та контролю</w:t>
      </w:r>
      <w:r w:rsidR="0067145B">
        <w:rPr>
          <w:lang w:val="uk-UA"/>
        </w:rPr>
        <w:t>.</w:t>
      </w:r>
    </w:p>
    <w:p w:rsidR="007A25F6" w:rsidRDefault="007A25F6" w:rsidP="00D428BB">
      <w:pPr>
        <w:spacing w:after="120"/>
        <w:jc w:val="both"/>
        <w:rPr>
          <w:b/>
          <w:szCs w:val="28"/>
          <w:lang w:val="uk-UA"/>
        </w:rPr>
      </w:pPr>
    </w:p>
    <w:p w:rsidR="008D4B84" w:rsidRDefault="008D4B84" w:rsidP="00BF4F0E">
      <w:pPr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 w:rsidRPr="00DF5FFE">
        <w:rPr>
          <w:b/>
          <w:bCs/>
          <w:lang w:val="uk-UA"/>
        </w:rPr>
        <w:t>Стан нормативно-правової бази в даній сфері державного регулювання</w:t>
      </w:r>
    </w:p>
    <w:p w:rsidR="004D619B" w:rsidRPr="00447896" w:rsidRDefault="004D619B" w:rsidP="004D619B">
      <w:pPr>
        <w:spacing w:after="0"/>
        <w:ind w:left="720"/>
        <w:jc w:val="both"/>
        <w:rPr>
          <w:b/>
          <w:bCs/>
          <w:sz w:val="18"/>
          <w:szCs w:val="18"/>
          <w:lang w:val="uk-UA"/>
        </w:rPr>
      </w:pPr>
    </w:p>
    <w:p w:rsidR="008D4B84" w:rsidRPr="00DF5FFE" w:rsidRDefault="008D4B84" w:rsidP="00B47C33">
      <w:pPr>
        <w:spacing w:after="0" w:line="240" w:lineRule="auto"/>
        <w:ind w:firstLine="720"/>
        <w:jc w:val="both"/>
        <w:rPr>
          <w:rFonts w:eastAsia="Times New Roman"/>
          <w:szCs w:val="28"/>
          <w:lang w:val="uk-UA" w:eastAsia="ru-RU"/>
        </w:rPr>
      </w:pPr>
      <w:r w:rsidRPr="00DF5FFE">
        <w:rPr>
          <w:rFonts w:eastAsia="Times New Roman"/>
          <w:szCs w:val="28"/>
          <w:lang w:val="uk-UA" w:eastAsia="ru-RU"/>
        </w:rPr>
        <w:lastRenderedPageBreak/>
        <w:t xml:space="preserve">Нормативно-правовими актами в даній сфері правового регулюються є </w:t>
      </w:r>
      <w:r w:rsidR="00EA7D73" w:rsidRPr="00EA7D73">
        <w:rPr>
          <w:rFonts w:eastAsia="Times New Roman"/>
          <w:szCs w:val="28"/>
          <w:lang w:val="uk-UA" w:eastAsia="ru-RU"/>
        </w:rPr>
        <w:t>Конституці</w:t>
      </w:r>
      <w:r w:rsidR="00EA7D73">
        <w:rPr>
          <w:rFonts w:eastAsia="Times New Roman"/>
          <w:szCs w:val="28"/>
          <w:lang w:val="uk-UA" w:eastAsia="ru-RU"/>
        </w:rPr>
        <w:t>я України, кодекс</w:t>
      </w:r>
      <w:r w:rsidR="00EA7D73" w:rsidRPr="00EA7D73">
        <w:rPr>
          <w:rFonts w:eastAsia="Times New Roman"/>
          <w:szCs w:val="28"/>
          <w:lang w:val="uk-UA" w:eastAsia="ru-RU"/>
        </w:rPr>
        <w:t xml:space="preserve">и України, </w:t>
      </w:r>
      <w:r w:rsidR="00EA7D73">
        <w:rPr>
          <w:rFonts w:eastAsia="Times New Roman"/>
          <w:szCs w:val="28"/>
          <w:lang w:val="uk-UA" w:eastAsia="ru-RU"/>
        </w:rPr>
        <w:t>закон</w:t>
      </w:r>
      <w:r w:rsidR="00EA7D73" w:rsidRPr="00EA7D73">
        <w:rPr>
          <w:rFonts w:eastAsia="Times New Roman"/>
          <w:szCs w:val="28"/>
          <w:lang w:val="uk-UA" w:eastAsia="ru-RU"/>
        </w:rPr>
        <w:t xml:space="preserve">и України "Про Генеральну схему планування території України", </w:t>
      </w:r>
      <w:r w:rsidR="00EA7D73">
        <w:rPr>
          <w:rFonts w:eastAsia="Times New Roman"/>
          <w:szCs w:val="28"/>
          <w:lang w:val="uk-UA" w:eastAsia="ru-RU"/>
        </w:rPr>
        <w:t xml:space="preserve">"Про регулювання містобудівної діяльності", </w:t>
      </w:r>
      <w:r w:rsidR="00EA7D73" w:rsidRPr="00EA7D73">
        <w:rPr>
          <w:rFonts w:eastAsia="Times New Roman"/>
          <w:szCs w:val="28"/>
          <w:lang w:val="uk-UA" w:eastAsia="ru-RU"/>
        </w:rPr>
        <w:t>інш</w:t>
      </w:r>
      <w:r w:rsidR="00EA7D73">
        <w:rPr>
          <w:rFonts w:eastAsia="Times New Roman"/>
          <w:szCs w:val="28"/>
          <w:lang w:val="uk-UA" w:eastAsia="ru-RU"/>
        </w:rPr>
        <w:t>і</w:t>
      </w:r>
      <w:r w:rsidR="00EA7D73" w:rsidRPr="00EA7D73">
        <w:rPr>
          <w:rFonts w:eastAsia="Times New Roman"/>
          <w:szCs w:val="28"/>
          <w:lang w:val="uk-UA" w:eastAsia="ru-RU"/>
        </w:rPr>
        <w:t xml:space="preserve"> нормативно-правов</w:t>
      </w:r>
      <w:r w:rsidR="00EA7D73">
        <w:rPr>
          <w:rFonts w:eastAsia="Times New Roman"/>
          <w:szCs w:val="28"/>
          <w:lang w:val="uk-UA" w:eastAsia="ru-RU"/>
        </w:rPr>
        <w:t>і</w:t>
      </w:r>
      <w:r w:rsidR="00EA7D73" w:rsidRPr="00EA7D73">
        <w:rPr>
          <w:rFonts w:eastAsia="Times New Roman"/>
          <w:szCs w:val="28"/>
          <w:lang w:val="uk-UA" w:eastAsia="ru-RU"/>
        </w:rPr>
        <w:t xml:space="preserve"> акт</w:t>
      </w:r>
      <w:r w:rsidR="00EA7D73">
        <w:rPr>
          <w:rFonts w:eastAsia="Times New Roman"/>
          <w:szCs w:val="28"/>
          <w:lang w:val="uk-UA" w:eastAsia="ru-RU"/>
        </w:rPr>
        <w:t>и</w:t>
      </w:r>
      <w:r w:rsidR="00EA7D73" w:rsidRPr="00EA7D73">
        <w:rPr>
          <w:rFonts w:eastAsia="Times New Roman"/>
          <w:szCs w:val="28"/>
          <w:lang w:val="uk-UA" w:eastAsia="ru-RU"/>
        </w:rPr>
        <w:t>.</w:t>
      </w:r>
    </w:p>
    <w:p w:rsidR="008D4B84" w:rsidRDefault="008D4B84" w:rsidP="00BF4F0E">
      <w:pPr>
        <w:spacing w:after="0" w:line="240" w:lineRule="auto"/>
        <w:jc w:val="both"/>
        <w:rPr>
          <w:rFonts w:eastAsia="Times New Roman"/>
          <w:bCs/>
          <w:iCs/>
          <w:szCs w:val="28"/>
          <w:lang w:val="uk-UA" w:eastAsia="ru-RU"/>
        </w:rPr>
      </w:pPr>
    </w:p>
    <w:p w:rsidR="00447896" w:rsidRDefault="00447896" w:rsidP="00BF4F0E">
      <w:pPr>
        <w:spacing w:after="0" w:line="240" w:lineRule="auto"/>
        <w:jc w:val="both"/>
        <w:rPr>
          <w:rFonts w:eastAsia="Times New Roman"/>
          <w:bCs/>
          <w:iCs/>
          <w:szCs w:val="28"/>
          <w:lang w:val="uk-UA" w:eastAsia="ru-RU"/>
        </w:rPr>
      </w:pPr>
    </w:p>
    <w:p w:rsidR="008D4B84" w:rsidRDefault="008D4B84" w:rsidP="00BF4F0E">
      <w:pPr>
        <w:numPr>
          <w:ilvl w:val="0"/>
          <w:numId w:val="1"/>
        </w:numPr>
        <w:spacing w:after="0"/>
        <w:jc w:val="both"/>
        <w:rPr>
          <w:b/>
          <w:bCs/>
          <w:iCs/>
          <w:lang w:val="uk-UA"/>
        </w:rPr>
      </w:pPr>
      <w:r w:rsidRPr="00DF5FFE">
        <w:rPr>
          <w:b/>
          <w:bCs/>
          <w:iCs/>
          <w:lang w:val="uk-UA"/>
        </w:rPr>
        <w:t>Фінансово-економічне обґрунтування</w:t>
      </w:r>
    </w:p>
    <w:p w:rsidR="004D619B" w:rsidRPr="00447896" w:rsidRDefault="004D619B" w:rsidP="004D619B">
      <w:pPr>
        <w:spacing w:after="0"/>
        <w:ind w:left="720"/>
        <w:jc w:val="both"/>
        <w:rPr>
          <w:b/>
          <w:bCs/>
          <w:iCs/>
          <w:sz w:val="18"/>
          <w:szCs w:val="18"/>
          <w:lang w:val="uk-UA"/>
        </w:rPr>
      </w:pPr>
    </w:p>
    <w:p w:rsidR="00DD5558" w:rsidRPr="00DD5558" w:rsidRDefault="00DD5558" w:rsidP="00DD5558">
      <w:pPr>
        <w:spacing w:after="0"/>
        <w:ind w:firstLine="567"/>
        <w:jc w:val="both"/>
        <w:rPr>
          <w:szCs w:val="28"/>
          <w:lang w:val="uk-UA"/>
        </w:rPr>
      </w:pPr>
      <w:r w:rsidRPr="00DD5558">
        <w:rPr>
          <w:szCs w:val="28"/>
          <w:lang w:val="uk-UA"/>
        </w:rPr>
        <w:t xml:space="preserve">Реалізація проекту Закону України </w:t>
      </w:r>
      <w:r w:rsidR="00447896">
        <w:rPr>
          <w:szCs w:val="28"/>
          <w:lang w:val="uk-UA"/>
        </w:rPr>
        <w:t>"</w:t>
      </w:r>
      <w:r w:rsidR="00903A9E">
        <w:rPr>
          <w:szCs w:val="28"/>
          <w:lang w:val="uk-UA"/>
        </w:rPr>
        <w:t>П</w:t>
      </w:r>
      <w:r w:rsidRPr="00DD5558">
        <w:rPr>
          <w:lang w:val="uk-UA"/>
        </w:rPr>
        <w:t>ро внесення змін</w:t>
      </w:r>
      <w:r>
        <w:rPr>
          <w:lang w:val="uk-UA"/>
        </w:rPr>
        <w:t xml:space="preserve"> </w:t>
      </w:r>
      <w:r w:rsidRPr="00DD5558">
        <w:rPr>
          <w:lang w:val="uk-UA"/>
        </w:rPr>
        <w:t>до Закону України "Про регулювання містобудівної діяльності" щодо Генеральної схеми планування території України</w:t>
      </w:r>
      <w:r w:rsidR="00447896">
        <w:rPr>
          <w:szCs w:val="28"/>
          <w:lang w:val="uk-UA"/>
        </w:rPr>
        <w:t>"</w:t>
      </w:r>
      <w:r w:rsidRPr="00DD5558">
        <w:rPr>
          <w:szCs w:val="28"/>
          <w:lang w:val="uk-UA"/>
        </w:rPr>
        <w:t xml:space="preserve"> здійснюватиметься за рахунок коштів, передбачених у державному бюджеті на відповідний рік. </w:t>
      </w:r>
    </w:p>
    <w:p w:rsidR="008B7DAC" w:rsidRPr="00DF5FFE" w:rsidRDefault="008B7DAC" w:rsidP="008B7DAC">
      <w:pPr>
        <w:spacing w:after="0"/>
        <w:ind w:left="720"/>
        <w:jc w:val="both"/>
        <w:rPr>
          <w:b/>
          <w:bCs/>
          <w:iCs/>
          <w:lang w:val="uk-UA"/>
        </w:rPr>
      </w:pPr>
    </w:p>
    <w:p w:rsidR="008D4B84" w:rsidRPr="00DF5FFE" w:rsidRDefault="008D4B84" w:rsidP="00BF4F0E">
      <w:pPr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 w:rsidRPr="00DF5FFE">
        <w:rPr>
          <w:b/>
          <w:bCs/>
          <w:lang w:val="uk-UA"/>
        </w:rPr>
        <w:t xml:space="preserve">Прогноз соціально-економічних та інших наслідків </w:t>
      </w:r>
    </w:p>
    <w:p w:rsidR="00654DDC" w:rsidRPr="00447896" w:rsidRDefault="00654DDC" w:rsidP="008B7DAC">
      <w:pPr>
        <w:spacing w:after="0"/>
        <w:ind w:firstLine="709"/>
        <w:jc w:val="both"/>
        <w:rPr>
          <w:sz w:val="18"/>
          <w:szCs w:val="18"/>
          <w:lang w:val="uk-UA"/>
        </w:rPr>
      </w:pPr>
    </w:p>
    <w:p w:rsidR="008B7DAC" w:rsidRPr="00DF5FFE" w:rsidRDefault="008B7DAC" w:rsidP="008B7DAC">
      <w:pPr>
        <w:spacing w:after="0"/>
        <w:ind w:firstLine="709"/>
        <w:jc w:val="both"/>
        <w:rPr>
          <w:szCs w:val="28"/>
          <w:lang w:val="uk-UA"/>
        </w:rPr>
      </w:pPr>
      <w:r w:rsidRPr="00DF5FFE">
        <w:rPr>
          <w:szCs w:val="28"/>
          <w:lang w:val="uk-UA"/>
        </w:rPr>
        <w:t>Прогноз соціально-економічних та інших наслідків прийняття законопроекту – позитивний.</w:t>
      </w:r>
    </w:p>
    <w:p w:rsidR="006D5DD9" w:rsidRDefault="0047052A" w:rsidP="006D5DD9">
      <w:pPr>
        <w:spacing w:after="120"/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Прийняття проекту закону</w:t>
      </w:r>
      <w:r w:rsidR="00B47C33" w:rsidRPr="00DF5F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створить</w:t>
      </w:r>
      <w:r w:rsidR="006D5DD9">
        <w:rPr>
          <w:szCs w:val="28"/>
          <w:lang w:val="uk-UA"/>
        </w:rPr>
        <w:t xml:space="preserve"> підґрунтя для функціонування Генеральної схеми на основі</w:t>
      </w:r>
      <w:r w:rsidR="003F0557">
        <w:rPr>
          <w:szCs w:val="28"/>
          <w:lang w:val="uk-UA"/>
        </w:rPr>
        <w:t xml:space="preserve"> провідних г</w:t>
      </w:r>
      <w:r w:rsidR="006D5DD9" w:rsidRPr="00C92AD2">
        <w:rPr>
          <w:szCs w:val="28"/>
          <w:lang w:val="uk-UA"/>
        </w:rPr>
        <w:t>еоінформаційних технологій, фо</w:t>
      </w:r>
      <w:r w:rsidR="003F0557">
        <w:rPr>
          <w:szCs w:val="28"/>
          <w:lang w:val="uk-UA"/>
        </w:rPr>
        <w:t>рмуючи каркас для національної г</w:t>
      </w:r>
      <w:r w:rsidR="006D5DD9" w:rsidRPr="00C92AD2">
        <w:rPr>
          <w:szCs w:val="28"/>
          <w:lang w:val="uk-UA"/>
        </w:rPr>
        <w:t xml:space="preserve">еоінформаційної системи узгодженого та прозорого управління державою. </w:t>
      </w:r>
      <w:r w:rsidR="003F0557">
        <w:rPr>
          <w:szCs w:val="28"/>
          <w:lang w:val="uk-UA"/>
        </w:rPr>
        <w:t>Генеральна схема територій України</w:t>
      </w:r>
      <w:r w:rsidR="006D5DD9" w:rsidRPr="00C92AD2">
        <w:rPr>
          <w:szCs w:val="28"/>
          <w:lang w:val="uk-UA"/>
        </w:rPr>
        <w:t xml:space="preserve"> має стати інтерактивним, динамічним інструментом управління територіальним розвитком держави, задля оптимального узгодження всіх галузевих стратегій та загальнодержавних цілей у просторовому вимірі.</w:t>
      </w:r>
    </w:p>
    <w:p w:rsidR="00B47C33" w:rsidRPr="00DF5FFE" w:rsidRDefault="00B47C33" w:rsidP="006D5DD9">
      <w:pPr>
        <w:spacing w:after="0"/>
        <w:ind w:firstLine="709"/>
        <w:jc w:val="both"/>
        <w:rPr>
          <w:szCs w:val="28"/>
          <w:lang w:val="uk-UA"/>
        </w:rPr>
      </w:pPr>
    </w:p>
    <w:p w:rsidR="00EE3AA1" w:rsidRDefault="00EE3AA1" w:rsidP="00963137">
      <w:pPr>
        <w:spacing w:before="40" w:after="40"/>
        <w:jc w:val="both"/>
        <w:rPr>
          <w:lang w:val="uk-UA"/>
        </w:rPr>
      </w:pPr>
    </w:p>
    <w:p w:rsidR="00AA339C" w:rsidRPr="00AA339C" w:rsidRDefault="00AA339C" w:rsidP="00AA339C">
      <w:pPr>
        <w:spacing w:after="0" w:line="240" w:lineRule="auto"/>
        <w:rPr>
          <w:rFonts w:eastAsia="Times New Roman"/>
          <w:bCs/>
          <w:szCs w:val="28"/>
          <w:lang w:val="uk-UA" w:eastAsia="uk-UA"/>
        </w:rPr>
      </w:pPr>
      <w:proofErr w:type="spellStart"/>
      <w:r>
        <w:rPr>
          <w:rFonts w:eastAsia="Times New Roman"/>
          <w:b/>
          <w:bCs/>
          <w:szCs w:val="28"/>
          <w:lang w:eastAsia="uk-UA"/>
        </w:rPr>
        <w:t>Народний</w:t>
      </w:r>
      <w:proofErr w:type="spellEnd"/>
      <w:r>
        <w:rPr>
          <w:rFonts w:eastAsia="Times New Roman"/>
          <w:b/>
          <w:bCs/>
          <w:szCs w:val="28"/>
          <w:lang w:eastAsia="uk-UA"/>
        </w:rPr>
        <w:t xml:space="preserve"> депутат </w:t>
      </w:r>
      <w:proofErr w:type="spellStart"/>
      <w:r>
        <w:rPr>
          <w:rFonts w:eastAsia="Times New Roman"/>
          <w:b/>
          <w:bCs/>
          <w:szCs w:val="28"/>
          <w:lang w:eastAsia="uk-UA"/>
        </w:rPr>
        <w:t>України</w:t>
      </w:r>
      <w:proofErr w:type="spellEnd"/>
      <w:r>
        <w:rPr>
          <w:rFonts w:eastAsia="Times New Roman"/>
          <w:b/>
          <w:bCs/>
          <w:szCs w:val="28"/>
          <w:lang w:eastAsia="uk-UA"/>
        </w:rPr>
        <w:tab/>
      </w:r>
      <w:r>
        <w:rPr>
          <w:rFonts w:eastAsia="Times New Roman"/>
          <w:b/>
          <w:bCs/>
          <w:szCs w:val="28"/>
          <w:lang w:eastAsia="uk-UA"/>
        </w:rPr>
        <w:tab/>
      </w:r>
      <w:r>
        <w:rPr>
          <w:rFonts w:eastAsia="Times New Roman"/>
          <w:b/>
          <w:bCs/>
          <w:szCs w:val="28"/>
          <w:lang w:eastAsia="uk-UA"/>
        </w:rPr>
        <w:tab/>
      </w:r>
      <w:r>
        <w:rPr>
          <w:rFonts w:eastAsia="Times New Roman"/>
          <w:b/>
          <w:bCs/>
          <w:szCs w:val="28"/>
          <w:lang w:eastAsia="uk-UA"/>
        </w:rPr>
        <w:tab/>
      </w:r>
      <w:r>
        <w:rPr>
          <w:rFonts w:eastAsia="Times New Roman"/>
          <w:b/>
          <w:bCs/>
          <w:szCs w:val="28"/>
          <w:lang w:val="uk-UA" w:eastAsia="uk-UA"/>
        </w:rPr>
        <w:t xml:space="preserve">      </w:t>
      </w:r>
      <w:bookmarkStart w:id="0" w:name="_GoBack"/>
      <w:bookmarkEnd w:id="0"/>
      <w:r w:rsidRPr="00AA339C">
        <w:rPr>
          <w:rFonts w:eastAsia="Times New Roman"/>
          <w:b/>
          <w:bCs/>
          <w:szCs w:val="28"/>
          <w:lang w:val="uk-UA" w:eastAsia="uk-UA"/>
        </w:rPr>
        <w:t xml:space="preserve">О.А. ДУНДА </w:t>
      </w:r>
      <w:r w:rsidRPr="00AA339C">
        <w:rPr>
          <w:rFonts w:eastAsia="Times New Roman"/>
          <w:bCs/>
          <w:szCs w:val="28"/>
          <w:lang w:val="uk-UA" w:eastAsia="uk-UA"/>
        </w:rPr>
        <w:t>(посв.№297)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О.А. ДУБІНСЬКИЙ </w:t>
      </w:r>
      <w:r w:rsidRPr="00AA339C">
        <w:rPr>
          <w:rFonts w:eastAsia="Times New Roman"/>
          <w:bCs/>
          <w:szCs w:val="28"/>
          <w:lang w:val="uk-UA" w:eastAsia="uk-UA"/>
        </w:rPr>
        <w:t>(посв.№300)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В.Н. М’ЯЛИК </w:t>
      </w:r>
      <w:r w:rsidRPr="00AA339C">
        <w:rPr>
          <w:rFonts w:eastAsia="Times New Roman"/>
          <w:bCs/>
          <w:szCs w:val="28"/>
          <w:lang w:val="uk-UA" w:eastAsia="uk-UA"/>
        </w:rPr>
        <w:t>(посв.№356)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Г.В. БОНДАР </w:t>
      </w:r>
      <w:r w:rsidRPr="00AA339C">
        <w:rPr>
          <w:rFonts w:eastAsia="Times New Roman"/>
          <w:bCs/>
          <w:szCs w:val="28"/>
          <w:lang w:val="uk-UA" w:eastAsia="uk-UA"/>
        </w:rPr>
        <w:t>(посв.№421)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Д.О. ГУРІН </w:t>
      </w:r>
      <w:r w:rsidRPr="00AA339C">
        <w:rPr>
          <w:rFonts w:eastAsia="Times New Roman"/>
          <w:bCs/>
          <w:szCs w:val="28"/>
          <w:lang w:val="uk-UA" w:eastAsia="uk-UA"/>
        </w:rPr>
        <w:t>(посв.№419)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Д.С. ЧОРНИЙ </w:t>
      </w:r>
      <w:r w:rsidRPr="00AA339C">
        <w:rPr>
          <w:rFonts w:eastAsia="Times New Roman"/>
          <w:bCs/>
          <w:szCs w:val="28"/>
          <w:lang w:val="uk-UA" w:eastAsia="uk-UA"/>
        </w:rPr>
        <w:t>(посв.№249)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В.В. РУБЛЬОВ </w:t>
      </w:r>
      <w:r w:rsidRPr="00AA339C">
        <w:rPr>
          <w:rFonts w:eastAsia="Times New Roman"/>
          <w:bCs/>
          <w:szCs w:val="28"/>
          <w:lang w:val="uk-UA" w:eastAsia="uk-UA"/>
        </w:rPr>
        <w:t>(посв.№235)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>В.І. ІВАНОВ</w:t>
      </w:r>
      <w:r w:rsidRPr="00AA339C">
        <w:rPr>
          <w:rFonts w:eastAsia="Times New Roman"/>
          <w:bCs/>
          <w:szCs w:val="28"/>
          <w:lang w:val="uk-UA" w:eastAsia="uk-UA"/>
        </w:rPr>
        <w:t xml:space="preserve"> (посв.№386)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В.В. БОНДАР </w:t>
      </w:r>
      <w:r w:rsidRPr="00AA339C">
        <w:rPr>
          <w:rFonts w:eastAsia="Times New Roman"/>
          <w:bCs/>
          <w:szCs w:val="28"/>
          <w:lang w:val="uk-UA" w:eastAsia="uk-UA"/>
        </w:rPr>
        <w:t>(посв.№392)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Т.І. БАТЕНКО </w:t>
      </w:r>
      <w:r w:rsidRPr="00AA339C">
        <w:rPr>
          <w:rFonts w:eastAsia="Times New Roman"/>
          <w:bCs/>
          <w:szCs w:val="28"/>
          <w:lang w:val="uk-UA" w:eastAsia="uk-UA"/>
        </w:rPr>
        <w:t>(посв.№320)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Р.Ш. МУЛИК </w:t>
      </w:r>
      <w:r w:rsidRPr="00AA339C">
        <w:rPr>
          <w:rFonts w:eastAsia="Times New Roman"/>
          <w:bCs/>
          <w:szCs w:val="28"/>
          <w:lang w:val="uk-UA" w:eastAsia="uk-UA"/>
        </w:rPr>
        <w:t>(посв.№71)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Є.В. БРАГАР </w:t>
      </w:r>
      <w:r w:rsidRPr="00AA339C">
        <w:rPr>
          <w:rFonts w:eastAsia="Times New Roman"/>
          <w:bCs/>
          <w:szCs w:val="28"/>
          <w:lang w:val="uk-UA" w:eastAsia="uk-UA"/>
        </w:rPr>
        <w:t>(посв.№74)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С.О. ДЕМЧЕНКО </w:t>
      </w:r>
      <w:r w:rsidRPr="00AA339C">
        <w:rPr>
          <w:rFonts w:eastAsia="Times New Roman"/>
          <w:bCs/>
          <w:szCs w:val="28"/>
          <w:lang w:val="uk-UA" w:eastAsia="uk-UA"/>
        </w:rPr>
        <w:t>(посв.№244)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І.П. ФРІС </w:t>
      </w:r>
      <w:r w:rsidRPr="00AA339C">
        <w:rPr>
          <w:rFonts w:eastAsia="Times New Roman"/>
          <w:bCs/>
          <w:szCs w:val="28"/>
          <w:lang w:val="uk-UA" w:eastAsia="uk-UA"/>
        </w:rPr>
        <w:t>(посв.№290)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Л.В. ЗАБУРАННА </w:t>
      </w:r>
      <w:r w:rsidRPr="00AA339C">
        <w:rPr>
          <w:rFonts w:eastAsia="Times New Roman"/>
          <w:bCs/>
          <w:szCs w:val="28"/>
          <w:lang w:val="uk-UA" w:eastAsia="uk-UA"/>
        </w:rPr>
        <w:t>(посв.№417)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lastRenderedPageBreak/>
        <w:t xml:space="preserve">А.В. КОВАЛЬОВ </w:t>
      </w:r>
      <w:r w:rsidRPr="00AA339C">
        <w:rPr>
          <w:rFonts w:eastAsia="Times New Roman"/>
          <w:bCs/>
          <w:szCs w:val="28"/>
          <w:lang w:val="uk-UA" w:eastAsia="uk-UA"/>
        </w:rPr>
        <w:t>(посв.№44)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 xml:space="preserve">О.В. ВІНТОНЯК </w:t>
      </w:r>
      <w:r w:rsidRPr="00AA339C">
        <w:rPr>
          <w:rFonts w:eastAsia="Times New Roman"/>
          <w:bCs/>
          <w:szCs w:val="28"/>
          <w:lang w:val="uk-UA" w:eastAsia="uk-UA"/>
        </w:rPr>
        <w:t>(посв.№113)</w:t>
      </w:r>
    </w:p>
    <w:p w:rsidR="00AA339C" w:rsidRPr="00AA339C" w:rsidRDefault="00AA339C" w:rsidP="00AA339C">
      <w:pPr>
        <w:spacing w:after="0" w:line="240" w:lineRule="auto"/>
        <w:jc w:val="right"/>
        <w:rPr>
          <w:rFonts w:eastAsia="Times New Roman"/>
          <w:bCs/>
          <w:szCs w:val="28"/>
          <w:lang w:val="uk-UA" w:eastAsia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>М.С. МЕЗЕНЦЕВА</w:t>
      </w:r>
      <w:r w:rsidRPr="00AA339C">
        <w:rPr>
          <w:rFonts w:eastAsia="Times New Roman"/>
          <w:bCs/>
          <w:szCs w:val="28"/>
          <w:lang w:val="uk-UA" w:eastAsia="uk-UA"/>
        </w:rPr>
        <w:t xml:space="preserve"> (посв.№369)</w:t>
      </w:r>
    </w:p>
    <w:p w:rsidR="00AA339C" w:rsidRPr="00AA339C" w:rsidRDefault="00AA339C" w:rsidP="00AA339C">
      <w:pPr>
        <w:spacing w:after="0" w:line="240" w:lineRule="auto"/>
        <w:jc w:val="right"/>
        <w:rPr>
          <w:rFonts w:asciiTheme="minorHAnsi" w:eastAsiaTheme="minorHAnsi" w:hAnsiTheme="minorHAnsi" w:cstheme="minorBidi"/>
          <w:sz w:val="22"/>
          <w:lang w:val="uk-UA"/>
        </w:rPr>
      </w:pPr>
      <w:r w:rsidRPr="00AA339C">
        <w:rPr>
          <w:rFonts w:eastAsia="Times New Roman"/>
          <w:b/>
          <w:bCs/>
          <w:szCs w:val="28"/>
          <w:lang w:val="uk-UA" w:eastAsia="uk-UA"/>
        </w:rPr>
        <w:t>О.М. ЮРЧЕНКО</w:t>
      </w:r>
      <w:r w:rsidRPr="00AA339C">
        <w:rPr>
          <w:rFonts w:eastAsia="Times New Roman"/>
          <w:bCs/>
          <w:szCs w:val="28"/>
          <w:lang w:val="uk-UA" w:eastAsia="uk-UA"/>
        </w:rPr>
        <w:t xml:space="preserve"> (посв.№412)</w:t>
      </w:r>
    </w:p>
    <w:p w:rsidR="008D4B84" w:rsidRPr="00DF5FFE" w:rsidRDefault="008D4B84" w:rsidP="00BF4F0E">
      <w:pPr>
        <w:spacing w:after="0"/>
        <w:jc w:val="both"/>
        <w:rPr>
          <w:lang w:val="uk-UA"/>
        </w:rPr>
      </w:pPr>
    </w:p>
    <w:sectPr w:rsidR="008D4B84" w:rsidRPr="00DF5FFE" w:rsidSect="00B600FD">
      <w:headerReference w:type="default" r:id="rId8"/>
      <w:footerReference w:type="default" r:id="rId9"/>
      <w:pgSz w:w="11906" w:h="16838"/>
      <w:pgMar w:top="595" w:right="851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DB" w:rsidRDefault="004253DB" w:rsidP="00387B55">
      <w:pPr>
        <w:spacing w:after="0" w:line="240" w:lineRule="auto"/>
      </w:pPr>
      <w:r>
        <w:separator/>
      </w:r>
    </w:p>
  </w:endnote>
  <w:endnote w:type="continuationSeparator" w:id="0">
    <w:p w:rsidR="004253DB" w:rsidRDefault="004253DB" w:rsidP="0038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55" w:rsidRDefault="00387B55" w:rsidP="00B1776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DB" w:rsidRDefault="004253DB" w:rsidP="00387B55">
      <w:pPr>
        <w:spacing w:after="0" w:line="240" w:lineRule="auto"/>
      </w:pPr>
      <w:r>
        <w:separator/>
      </w:r>
    </w:p>
  </w:footnote>
  <w:footnote w:type="continuationSeparator" w:id="0">
    <w:p w:rsidR="004253DB" w:rsidRDefault="004253DB" w:rsidP="0038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485945"/>
      <w:docPartObj>
        <w:docPartGallery w:val="Page Numbers (Top of Page)"/>
        <w:docPartUnique/>
      </w:docPartObj>
    </w:sdtPr>
    <w:sdtEndPr/>
    <w:sdtContent>
      <w:p w:rsidR="007263F8" w:rsidRDefault="007263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9C" w:rsidRPr="00AA339C">
          <w:rPr>
            <w:noProof/>
            <w:lang w:val="uk-UA"/>
          </w:rPr>
          <w:t>2</w:t>
        </w:r>
        <w:r>
          <w:fldChar w:fldCharType="end"/>
        </w:r>
      </w:p>
    </w:sdtContent>
  </w:sdt>
  <w:p w:rsidR="0075359D" w:rsidRDefault="00753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975"/>
    <w:multiLevelType w:val="hybridMultilevel"/>
    <w:tmpl w:val="16F2C828"/>
    <w:lvl w:ilvl="0" w:tplc="3E489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821117"/>
    <w:multiLevelType w:val="hybridMultilevel"/>
    <w:tmpl w:val="8A8A40CC"/>
    <w:lvl w:ilvl="0" w:tplc="3E489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BA757B"/>
    <w:multiLevelType w:val="hybridMultilevel"/>
    <w:tmpl w:val="DA4C4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4DCD"/>
    <w:multiLevelType w:val="hybridMultilevel"/>
    <w:tmpl w:val="1B282D90"/>
    <w:lvl w:ilvl="0" w:tplc="CC103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07A4"/>
    <w:multiLevelType w:val="hybridMultilevel"/>
    <w:tmpl w:val="80942320"/>
    <w:lvl w:ilvl="0" w:tplc="3E489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6F1A02"/>
    <w:multiLevelType w:val="hybridMultilevel"/>
    <w:tmpl w:val="0E60BD54"/>
    <w:lvl w:ilvl="0" w:tplc="D8B4ED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84"/>
    <w:rsid w:val="000122B6"/>
    <w:rsid w:val="00022976"/>
    <w:rsid w:val="000366E9"/>
    <w:rsid w:val="0003793F"/>
    <w:rsid w:val="000655CA"/>
    <w:rsid w:val="00072D0E"/>
    <w:rsid w:val="00077210"/>
    <w:rsid w:val="00081610"/>
    <w:rsid w:val="000877F7"/>
    <w:rsid w:val="000C7C17"/>
    <w:rsid w:val="000E5FB3"/>
    <w:rsid w:val="00111CD6"/>
    <w:rsid w:val="00122B33"/>
    <w:rsid w:val="00131044"/>
    <w:rsid w:val="00157DDB"/>
    <w:rsid w:val="00174F27"/>
    <w:rsid w:val="001759DA"/>
    <w:rsid w:val="00177594"/>
    <w:rsid w:val="00181DC3"/>
    <w:rsid w:val="001868AD"/>
    <w:rsid w:val="00186D2D"/>
    <w:rsid w:val="00192751"/>
    <w:rsid w:val="001C1F0A"/>
    <w:rsid w:val="002A11C8"/>
    <w:rsid w:val="002B0793"/>
    <w:rsid w:val="002C1007"/>
    <w:rsid w:val="002F0FCF"/>
    <w:rsid w:val="00301C65"/>
    <w:rsid w:val="0031364C"/>
    <w:rsid w:val="003337A6"/>
    <w:rsid w:val="00344DB2"/>
    <w:rsid w:val="00387B55"/>
    <w:rsid w:val="00395554"/>
    <w:rsid w:val="003A2310"/>
    <w:rsid w:val="003F0557"/>
    <w:rsid w:val="004253DB"/>
    <w:rsid w:val="00432DC8"/>
    <w:rsid w:val="00447896"/>
    <w:rsid w:val="00457D00"/>
    <w:rsid w:val="0047052A"/>
    <w:rsid w:val="004706FC"/>
    <w:rsid w:val="00475BE2"/>
    <w:rsid w:val="004B371C"/>
    <w:rsid w:val="004C43BE"/>
    <w:rsid w:val="004D619B"/>
    <w:rsid w:val="004E3C76"/>
    <w:rsid w:val="00507868"/>
    <w:rsid w:val="005204CF"/>
    <w:rsid w:val="0053294C"/>
    <w:rsid w:val="00557B80"/>
    <w:rsid w:val="00580A34"/>
    <w:rsid w:val="00582008"/>
    <w:rsid w:val="00583100"/>
    <w:rsid w:val="00587DFD"/>
    <w:rsid w:val="005F5769"/>
    <w:rsid w:val="006161E7"/>
    <w:rsid w:val="00654DDC"/>
    <w:rsid w:val="0067145B"/>
    <w:rsid w:val="006B0793"/>
    <w:rsid w:val="006D5DD9"/>
    <w:rsid w:val="006D637D"/>
    <w:rsid w:val="007263F8"/>
    <w:rsid w:val="007416CD"/>
    <w:rsid w:val="007502D8"/>
    <w:rsid w:val="0075359D"/>
    <w:rsid w:val="00755D12"/>
    <w:rsid w:val="00762684"/>
    <w:rsid w:val="007777AC"/>
    <w:rsid w:val="007804D7"/>
    <w:rsid w:val="007878C1"/>
    <w:rsid w:val="007A25F6"/>
    <w:rsid w:val="007B19A7"/>
    <w:rsid w:val="007C46D3"/>
    <w:rsid w:val="007D69EE"/>
    <w:rsid w:val="00805774"/>
    <w:rsid w:val="00816CB9"/>
    <w:rsid w:val="00824DD1"/>
    <w:rsid w:val="00835519"/>
    <w:rsid w:val="00835DF9"/>
    <w:rsid w:val="00857693"/>
    <w:rsid w:val="00866B75"/>
    <w:rsid w:val="0087610D"/>
    <w:rsid w:val="00877D86"/>
    <w:rsid w:val="0088768E"/>
    <w:rsid w:val="008A3BCB"/>
    <w:rsid w:val="008B7DAC"/>
    <w:rsid w:val="008C2FB8"/>
    <w:rsid w:val="008D4B84"/>
    <w:rsid w:val="00902793"/>
    <w:rsid w:val="00903A9E"/>
    <w:rsid w:val="00910BC4"/>
    <w:rsid w:val="00931218"/>
    <w:rsid w:val="00937006"/>
    <w:rsid w:val="00953992"/>
    <w:rsid w:val="00961AD9"/>
    <w:rsid w:val="00963137"/>
    <w:rsid w:val="00987D62"/>
    <w:rsid w:val="00A26868"/>
    <w:rsid w:val="00A315E1"/>
    <w:rsid w:val="00A5075B"/>
    <w:rsid w:val="00A73D68"/>
    <w:rsid w:val="00AA339C"/>
    <w:rsid w:val="00AA661A"/>
    <w:rsid w:val="00AC0C30"/>
    <w:rsid w:val="00AF70C3"/>
    <w:rsid w:val="00B1776A"/>
    <w:rsid w:val="00B426F6"/>
    <w:rsid w:val="00B47C33"/>
    <w:rsid w:val="00B536EA"/>
    <w:rsid w:val="00B600FD"/>
    <w:rsid w:val="00B6117F"/>
    <w:rsid w:val="00B8413A"/>
    <w:rsid w:val="00BA311E"/>
    <w:rsid w:val="00BF4F0E"/>
    <w:rsid w:val="00C35607"/>
    <w:rsid w:val="00C71EBC"/>
    <w:rsid w:val="00CC19E7"/>
    <w:rsid w:val="00CC58FF"/>
    <w:rsid w:val="00D12948"/>
    <w:rsid w:val="00D410FC"/>
    <w:rsid w:val="00D41BBF"/>
    <w:rsid w:val="00D428BB"/>
    <w:rsid w:val="00DD5558"/>
    <w:rsid w:val="00DE343C"/>
    <w:rsid w:val="00DF5FFE"/>
    <w:rsid w:val="00E53B6B"/>
    <w:rsid w:val="00E9097D"/>
    <w:rsid w:val="00E9292C"/>
    <w:rsid w:val="00EA23BE"/>
    <w:rsid w:val="00EA5A4B"/>
    <w:rsid w:val="00EA7D73"/>
    <w:rsid w:val="00EE1702"/>
    <w:rsid w:val="00EE3AA1"/>
    <w:rsid w:val="00F71D03"/>
    <w:rsid w:val="00F84B12"/>
    <w:rsid w:val="00FD3838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3D4BD2-D889-4736-B284-370F6D9B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E1"/>
    <w:pPr>
      <w:spacing w:after="160" w:line="259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3BE"/>
    <w:pPr>
      <w:ind w:left="708"/>
    </w:pPr>
  </w:style>
  <w:style w:type="paragraph" w:styleId="a4">
    <w:name w:val="header"/>
    <w:basedOn w:val="a"/>
    <w:link w:val="a5"/>
    <w:uiPriority w:val="99"/>
    <w:unhideWhenUsed/>
    <w:rsid w:val="00387B5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387B55"/>
    <w:rPr>
      <w:sz w:val="28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87B5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387B55"/>
    <w:rPr>
      <w:sz w:val="28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12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122B33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6D71-487B-4881-8A62-29B8171B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5222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Дунда Олег Андрійович</dc:creator>
  <cp:keywords/>
  <cp:lastModifiedBy>Дунда Олег Андрійович</cp:lastModifiedBy>
  <cp:revision>7</cp:revision>
  <cp:lastPrinted>2020-04-10T14:13:00Z</cp:lastPrinted>
  <dcterms:created xsi:type="dcterms:W3CDTF">2020-04-10T14:03:00Z</dcterms:created>
  <dcterms:modified xsi:type="dcterms:W3CDTF">2020-04-13T14:17:00Z</dcterms:modified>
</cp:coreProperties>
</file>