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007F" w14:textId="77777777" w:rsidR="00174818" w:rsidRDefault="00174818"/>
    <w:tbl>
      <w:tblPr>
        <w:tblStyle w:val="a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4"/>
      </w:tblGrid>
      <w:tr w:rsidR="00174818" w14:paraId="6298BB0E" w14:textId="77777777" w:rsidTr="00B31D57">
        <w:trPr>
          <w:trHeight w:val="23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BD03D7" w14:textId="77777777" w:rsidR="00174818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94B0A" w14:textId="77777777" w:rsidR="00174818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5434F" w14:textId="77777777" w:rsidR="00174818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</w:p>
          <w:p w14:paraId="5D3401FE" w14:textId="77777777" w:rsidR="00174818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</w:p>
          <w:p w14:paraId="7849D279" w14:textId="506020C9" w:rsidR="00174818" w:rsidRPr="009C54C1" w:rsidRDefault="00263425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законопроекту № </w:t>
            </w:r>
            <w:r w:rsidR="004D53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3350</w:t>
            </w:r>
          </w:p>
          <w:p w14:paraId="5EDABE51" w14:textId="5BA2314A" w:rsidR="00996F5C" w:rsidRDefault="00996F5C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8C4024B" w14:textId="3CBC127A" w:rsidR="00174818" w:rsidRDefault="0008084C">
            <w:pPr>
              <w:spacing w:after="4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Комітет з питань </w:t>
            </w:r>
            <w:proofErr w:type="spellStart"/>
            <w:r w:rsidRPr="0008084C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080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84C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</w:p>
        </w:tc>
      </w:tr>
    </w:tbl>
    <w:p w14:paraId="184CF0B0" w14:textId="641BFD88" w:rsidR="00174818" w:rsidRDefault="0026342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93 Регламенту Верховної Ради України,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Верховної Ради України, Комітет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Закону </w:t>
      </w:r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до Закону України "Про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реструктуризацію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заборгованості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"Антонов"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уточнення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питань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реструктуризації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заборгованості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передумов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Вищого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антикорупційного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приміщенням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>реєстр</w:t>
      </w:r>
      <w:proofErr w:type="spellEnd"/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4D5397">
        <w:rPr>
          <w:rFonts w:ascii="Times New Roman" w:eastAsia="Times New Roman" w:hAnsi="Times New Roman" w:cs="Times New Roman"/>
          <w:sz w:val="28"/>
          <w:szCs w:val="28"/>
          <w:lang w:val="uk-UA"/>
        </w:rPr>
        <w:t>3350</w:t>
      </w:r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>поданий</w:t>
      </w:r>
      <w:proofErr w:type="spellEnd"/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>народним</w:t>
      </w:r>
      <w:proofErr w:type="spellEnd"/>
      <w:r w:rsidR="004D539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proofErr w:type="spellStart"/>
      <w:r w:rsidR="004D5397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Радін</w:t>
      </w:r>
      <w:r w:rsidR="004D5397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3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А.О., </w:t>
      </w:r>
      <w:proofErr w:type="spellStart"/>
      <w:r w:rsidR="004D5397">
        <w:rPr>
          <w:rFonts w:ascii="Times New Roman" w:eastAsia="Times New Roman" w:hAnsi="Times New Roman" w:cs="Times New Roman"/>
          <w:sz w:val="28"/>
          <w:szCs w:val="28"/>
        </w:rPr>
        <w:t>Наталухою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397">
        <w:rPr>
          <w:rFonts w:ascii="Times New Roman" w:eastAsia="Times New Roman" w:hAnsi="Times New Roman" w:cs="Times New Roman"/>
          <w:sz w:val="28"/>
          <w:szCs w:val="28"/>
          <w:lang w:val="uk-UA"/>
        </w:rPr>
        <w:t>Д.А. та іншими</w:t>
      </w:r>
      <w:r w:rsidR="0008084C" w:rsidRPr="00080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31CF4" w14:textId="332C3C76" w:rsidR="0008084C" w:rsidRPr="0008084C" w:rsidRDefault="0008084C" w:rsidP="0008084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0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законопроекту є </w:t>
      </w:r>
      <w:r w:rsidR="004D5397" w:rsidRPr="004D5397">
        <w:rPr>
          <w:rFonts w:ascii="Times New Roman" w:eastAsia="Times New Roman" w:hAnsi="Times New Roman" w:cs="Times New Roman"/>
          <w:sz w:val="28"/>
          <w:szCs w:val="28"/>
          <w:lang w:val="uk-UA"/>
        </w:rPr>
        <w:t>урегулювання правовідносин, пов’язаних із функціонуванням Вищого антикорупційного суду, зокрема, забезпечення його належним приміщенням, яке вже укомплектовано усім належним устаткуванням за рахунок бюджетних коштів, виділених саме Вищому антикорупційному суду</w:t>
      </w:r>
      <w:r w:rsidRPr="0008084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00656B" w14:textId="77777777" w:rsidR="00174818" w:rsidRDefault="0026342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корупціогенних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E4D7E0" w14:textId="7C832040" w:rsidR="00174818" w:rsidRDefault="0026342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пункту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Закону України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Верховної Ради України</w:t>
      </w:r>
      <w:r w:rsidR="00F25731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55 Закону України “Про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запобігання корупції”,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93 Регламенту Верховної Ради України, Комітет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39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44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5397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</w:t>
      </w:r>
      <w:r w:rsidR="00344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(протокол № </w:t>
      </w:r>
      <w:r w:rsidR="00344C9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D539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Закону </w:t>
      </w:r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до Закону України "Про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реструктуризацію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заборгованості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"Антонов"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уточнення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питань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реструктуризації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заборгованості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передумов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Вищого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антикорупційного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приміщенням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" (</w:t>
      </w:r>
      <w:proofErr w:type="spellStart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реєстр</w:t>
      </w:r>
      <w:proofErr w:type="spellEnd"/>
      <w:r w:rsidR="004D5397" w:rsidRPr="004D5397">
        <w:rPr>
          <w:rFonts w:ascii="Times New Roman" w:eastAsia="Times New Roman" w:hAnsi="Times New Roman" w:cs="Times New Roman"/>
          <w:sz w:val="28"/>
          <w:szCs w:val="28"/>
        </w:rPr>
        <w:t>. №3350)</w:t>
      </w:r>
      <w:r w:rsidR="00344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3AA5FC" w14:textId="77777777" w:rsidR="00174818" w:rsidRDefault="00174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FE86E4" w14:textId="76124FDB" w:rsidR="00174818" w:rsidRDefault="002634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F721A0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Радіна</w:t>
      </w:r>
      <w:proofErr w:type="spellEnd"/>
    </w:p>
    <w:sectPr w:rsidR="00174818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6D0A" w14:textId="77777777" w:rsidR="00C33019" w:rsidRDefault="00C33019">
      <w:pPr>
        <w:spacing w:after="0" w:line="240" w:lineRule="auto"/>
      </w:pPr>
      <w:r>
        <w:separator/>
      </w:r>
    </w:p>
  </w:endnote>
  <w:endnote w:type="continuationSeparator" w:id="0">
    <w:p w14:paraId="15DA8EB8" w14:textId="77777777" w:rsidR="00C33019" w:rsidRDefault="00C3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AE86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3F502040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788F" w14:textId="77777777" w:rsidR="00C33019" w:rsidRDefault="00C33019">
      <w:pPr>
        <w:spacing w:after="0" w:line="240" w:lineRule="auto"/>
      </w:pPr>
      <w:r>
        <w:separator/>
      </w:r>
    </w:p>
  </w:footnote>
  <w:footnote w:type="continuationSeparator" w:id="0">
    <w:p w14:paraId="51B5D9DA" w14:textId="77777777" w:rsidR="00C33019" w:rsidRDefault="00C3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24FA" w14:textId="77777777"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807F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e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174818" w14:paraId="697F8314" w14:textId="7777777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2B54668C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FEEDD9A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69B8477E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D9B91DA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 wp14:anchorId="0757FB27" wp14:editId="554ABC5E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437334F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14:paraId="44B832BE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вул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. М.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Грушевського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, 5, тел.: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14:paraId="5BD49139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f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174818" w14:paraId="1C728AD7" w14:textId="77777777">
      <w:tc>
        <w:tcPr>
          <w:tcW w:w="1087" w:type="dxa"/>
          <w:tcBorders>
            <w:top w:val="nil"/>
          </w:tcBorders>
        </w:tcPr>
        <w:p w14:paraId="04D41453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14:paraId="571C54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14:paraId="74EBFD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14:paraId="714516B8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8"/>
    <w:rsid w:val="0008084C"/>
    <w:rsid w:val="00174818"/>
    <w:rsid w:val="00263425"/>
    <w:rsid w:val="002D2111"/>
    <w:rsid w:val="00344C9D"/>
    <w:rsid w:val="004179B4"/>
    <w:rsid w:val="004D5397"/>
    <w:rsid w:val="005E117C"/>
    <w:rsid w:val="00600479"/>
    <w:rsid w:val="0087752B"/>
    <w:rsid w:val="00996F5C"/>
    <w:rsid w:val="009C54C1"/>
    <w:rsid w:val="00A4065E"/>
    <w:rsid w:val="00B31D57"/>
    <w:rsid w:val="00BD27C3"/>
    <w:rsid w:val="00C33019"/>
    <w:rsid w:val="00C63D5D"/>
    <w:rsid w:val="00CD7C4D"/>
    <w:rsid w:val="00F25731"/>
    <w:rsid w:val="00F721A0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6CE9"/>
  <w15:docId w15:val="{729AABCB-DB42-46BE-B250-8C2FDDD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Мігай Михайло Михайлович</cp:lastModifiedBy>
  <cp:revision>5</cp:revision>
  <dcterms:created xsi:type="dcterms:W3CDTF">2020-04-28T11:05:00Z</dcterms:created>
  <dcterms:modified xsi:type="dcterms:W3CDTF">2020-05-04T10:46:00Z</dcterms:modified>
</cp:coreProperties>
</file>