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630E" w:rsidRDefault="00AE5F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77777777" w:rsidR="00E4630E" w:rsidRDefault="00AE5F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 України</w:t>
      </w:r>
    </w:p>
    <w:p w14:paraId="00000003" w14:textId="77777777" w:rsidR="00E4630E" w:rsidRDefault="00AE5F06">
      <w:pPr>
        <w:tabs>
          <w:tab w:val="left" w:pos="142"/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“Про внесення змін до Митного кодексу України та деяких законодавчих актів України щодо тимчасових заходів захисту національних інтересів у сфері зовнішньоекономічної діяльності”</w:t>
      </w:r>
    </w:p>
    <w:p w14:paraId="00000004" w14:textId="77777777" w:rsidR="00E4630E" w:rsidRDefault="00E4630E">
      <w:pPr>
        <w:widowControl w:val="0"/>
        <w:tabs>
          <w:tab w:val="left" w:pos="8236"/>
          <w:tab w:val="left" w:pos="8378"/>
          <w:tab w:val="left" w:pos="8520"/>
        </w:tabs>
        <w:spacing w:after="0" w:line="240" w:lineRule="auto"/>
        <w:ind w:right="204"/>
        <w:jc w:val="center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</w:t>
      </w:r>
    </w:p>
    <w:p w14:paraId="00000006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Необхідність прийняття змін до Митного кодексу України та деяких законодавчих актів України зумовлено тим, що Україна, яка є членом СОТ з 2008 року, донині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імплементувала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своє законодавство низку</w:t>
      </w:r>
      <w:r>
        <w:rPr>
          <w:rFonts w:ascii="Times New Roman" w:hAnsi="Times New Roman" w:cs="Times New Roman"/>
          <w:sz w:val="28"/>
          <w:szCs w:val="28"/>
        </w:rPr>
        <w:t xml:space="preserve"> норм угод СОТ, що можуть дати країні можливість захистити національні інтереси у виключних випадках на тимчасовій основі.</w:t>
      </w:r>
    </w:p>
    <w:p w14:paraId="00000007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Враховуючи виключну ситуацію у міжнародних відносинах, пов’язану із заходами України та інших держав щодо протидії розповсюдженню CO</w:t>
      </w:r>
      <w:r>
        <w:rPr>
          <w:rFonts w:ascii="Times New Roman" w:hAnsi="Times New Roman" w:cs="Times New Roman"/>
          <w:sz w:val="28"/>
          <w:szCs w:val="28"/>
        </w:rPr>
        <w:t xml:space="preserve">VID-19 Україна потребує законної можливості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реагувати на виклики з метою захисту життя чи здоров’я людей, тварин та рослин, а також міркувань безпеки. </w:t>
      </w:r>
    </w:p>
    <w:p w14:paraId="00000008" w14:textId="77777777" w:rsidR="00E4630E" w:rsidRDefault="00AE5F06">
      <w:pPr>
        <w:widowControl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цього, стрімкий негативний вплив пандемії на стан української економіки, питання належн</w:t>
      </w:r>
      <w:r>
        <w:rPr>
          <w:rFonts w:ascii="Times New Roman" w:hAnsi="Times New Roman" w:cs="Times New Roman"/>
          <w:sz w:val="28"/>
          <w:szCs w:val="28"/>
        </w:rPr>
        <w:t>ого регулювання умов торгівлі в умовах надзвичайної ситуації потребує негайного створення інструментів оперативного захисту національних інтересів та економіки в цілому.</w:t>
      </w:r>
    </w:p>
    <w:p w14:paraId="00000009" w14:textId="77777777" w:rsidR="00E4630E" w:rsidRDefault="00AE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інформації, що розміщена на офіційній веб-сторінці СОТ з 02.02.2020 до </w:t>
      </w:r>
      <w:r>
        <w:rPr>
          <w:rFonts w:ascii="Times New Roman" w:hAnsi="Times New Roman" w:cs="Times New Roman"/>
          <w:sz w:val="28"/>
          <w:szCs w:val="28"/>
        </w:rPr>
        <w:t>міжнародної організації надійшло 87 нотифікацій від понад 50 держав-членів СОТ, що у зв’язку із пандемією COVID-19 застосували тимчасові виключні заходи, у вигляді тимчасового обмеження імпорту, експорту, транзиту, введення ліцензування, звільнення від опо</w:t>
      </w:r>
      <w:r>
        <w:rPr>
          <w:rFonts w:ascii="Times New Roman" w:hAnsi="Times New Roman" w:cs="Times New Roman"/>
          <w:sz w:val="28"/>
          <w:szCs w:val="28"/>
        </w:rPr>
        <w:t xml:space="preserve">даткування та надання державної допомоги, тощо.  </w:t>
      </w:r>
    </w:p>
    <w:p w14:paraId="0000000A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Умови, за яких держава-член СОТ може вживати виключні тимчасові заходи, зокрема у міжнародній торгівлі, пов’язані з настанням обставин, що відповідають наступним положенням:</w:t>
      </w:r>
    </w:p>
    <w:p w14:paraId="0000000B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статті ХІ ГАТТ «Загальні скасу</w:t>
      </w:r>
      <w:r>
        <w:rPr>
          <w:rFonts w:ascii="Times New Roman" w:hAnsi="Times New Roman" w:cs="Times New Roman"/>
          <w:sz w:val="28"/>
          <w:szCs w:val="28"/>
        </w:rPr>
        <w:t>вання кількісних обмежень»;</w:t>
      </w:r>
    </w:p>
    <w:p w14:paraId="0000000C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статті ХХ ГАТТ «Загальні винятки»;</w:t>
      </w:r>
    </w:p>
    <w:p w14:paraId="0000000D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статті ХХІ ГАТТ «Винятки з міркувань безпеки»;</w:t>
      </w:r>
    </w:p>
    <w:p w14:paraId="0000000E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статті ХІV ГАТС «Загальні винятки»;</w:t>
      </w:r>
    </w:p>
    <w:p w14:paraId="0000000F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статті ХІV-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ГАТC «Винятки з міркувань безпеки».</w:t>
      </w:r>
    </w:p>
    <w:p w14:paraId="00000010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Зазначені положення Генеральної угоди з тарифів і торг</w:t>
      </w:r>
      <w:r>
        <w:rPr>
          <w:rFonts w:ascii="Times New Roman" w:hAnsi="Times New Roman" w:cs="Times New Roman"/>
          <w:sz w:val="28"/>
          <w:szCs w:val="28"/>
        </w:rPr>
        <w:t>івлі (надалі – ГАТТ) та Генеральної угоди з торгівлі послугами (надалі – ГАТС) фактично не застосовуються в Україні через відсутність механізму такого застосування, що, у свою чергу, не дозволяє забезпечити оперативне реагування держави на обставини у міжн</w:t>
      </w:r>
      <w:r>
        <w:rPr>
          <w:rFonts w:ascii="Times New Roman" w:hAnsi="Times New Roman" w:cs="Times New Roman"/>
          <w:sz w:val="28"/>
          <w:szCs w:val="28"/>
        </w:rPr>
        <w:t xml:space="preserve">ародній торгівлі, що підпадають під виключення. </w:t>
      </w:r>
    </w:p>
    <w:p w14:paraId="00000011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 наслідок, вжиття будь-яких обмежувальних або контролюючих заходів у торгівлі поза межами виключних обставин, допустимих у рамках СОТ, можуть розцінюватись економічними союзами чи окремими державами як по</w:t>
      </w:r>
      <w:r>
        <w:rPr>
          <w:rFonts w:ascii="Times New Roman" w:hAnsi="Times New Roman" w:cs="Times New Roman"/>
          <w:sz w:val="28"/>
          <w:szCs w:val="28"/>
        </w:rPr>
        <w:t>рушення принципів вільної торгівлі та відповідних міжнародних зобов’язань, і мати негативні наслідки для економіки України.</w:t>
      </w:r>
    </w:p>
    <w:p w14:paraId="00000012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чином, зміни, які пропонуються до Митного кодексу України та деяких законодавчих актів України встановлять чітку процедуру за</w:t>
      </w:r>
      <w:r>
        <w:rPr>
          <w:rFonts w:ascii="Times New Roman" w:hAnsi="Times New Roman" w:cs="Times New Roman"/>
          <w:sz w:val="28"/>
          <w:szCs w:val="28"/>
        </w:rPr>
        <w:t>стосування тимчасових виключних заходів захисту національних інтересів, зокрема у випадку забезпечення безпеки, у тому числі національної економічної безпеки.</w:t>
      </w:r>
    </w:p>
    <w:p w14:paraId="00000013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Мета та завдання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</w:t>
      </w:r>
    </w:p>
    <w:p w14:paraId="00000014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Метою пропонованих змін до Митного кодексу України та деяких</w:t>
      </w:r>
      <w:r>
        <w:rPr>
          <w:rFonts w:ascii="Times New Roman" w:hAnsi="Times New Roman" w:cs="Times New Roman"/>
          <w:sz w:val="28"/>
          <w:szCs w:val="28"/>
        </w:rPr>
        <w:t xml:space="preserve"> законодавчих актів України є створення механізму дотримання міжнародних зобов'язань України у процесі здійснення заходів захисту національних інтересів України, які передбачають регулювання умов зовнішньоекономічної діяльності у випадку обставин, які підп</w:t>
      </w:r>
      <w:r>
        <w:rPr>
          <w:rFonts w:ascii="Times New Roman" w:hAnsi="Times New Roman" w:cs="Times New Roman"/>
          <w:sz w:val="28"/>
          <w:szCs w:val="28"/>
        </w:rPr>
        <w:t>адають під положення статті ХІ ГАТТ «Загальні скасування кількісних обмежень», статті ХХ ГАТТ «Загальні винятки», статті ХХІ ГАТТ «Винятки з міркувань безпеки», статті ХІV ГАТС «Загальні винятки», статті ХІV-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ГАТС «Винятки з міркувань безпеки».</w:t>
      </w:r>
    </w:p>
    <w:p w14:paraId="00000015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Загальна характеристика і 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</w:t>
      </w:r>
    </w:p>
    <w:p w14:paraId="00000016" w14:textId="77777777" w:rsidR="00E4630E" w:rsidRDefault="00AE5F06">
      <w:pPr>
        <w:widowControl w:val="0"/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технічні зміни до Митного кодексу України де передбачається, що спеціальне мито встановлюється відповідно до Закону України «Про застосування спеціальних заходів щодо імпорту</w:t>
      </w:r>
      <w:r>
        <w:rPr>
          <w:rFonts w:ascii="Times New Roman" w:hAnsi="Times New Roman" w:cs="Times New Roman"/>
          <w:sz w:val="28"/>
          <w:szCs w:val="28"/>
        </w:rPr>
        <w:t xml:space="preserve"> в Україну» та Закону України «Про зовнішньоекономічну діяльність». </w:t>
      </w:r>
    </w:p>
    <w:p w14:paraId="00000017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Прикінцевих положеннях пропонується доповнити Закон України «Про зовнішньоекономічну діяльність» новою статтею 29-1 «Виключні тимчасові заходи захисту національних інтересів у сфері зо</w:t>
      </w:r>
      <w:r>
        <w:rPr>
          <w:rFonts w:ascii="Times New Roman" w:hAnsi="Times New Roman" w:cs="Times New Roman"/>
          <w:sz w:val="28"/>
          <w:szCs w:val="28"/>
        </w:rPr>
        <w:t>внішньоекономічної діяльності».</w:t>
      </w:r>
    </w:p>
    <w:p w14:paraId="00000018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Зазначена стаття встановлює механізм впровадження заходів захисту національних інтересів щодо сталого розвитку національної економіки та забезпечення зростання рівня та якості життя відповідно до Закону України «Про націона</w:t>
      </w:r>
      <w:r>
        <w:rPr>
          <w:rFonts w:ascii="Times New Roman" w:hAnsi="Times New Roman" w:cs="Times New Roman"/>
          <w:sz w:val="28"/>
          <w:szCs w:val="28"/>
        </w:rPr>
        <w:t>льну безпеку України», цього Закону та міжнародних договорів України, обсяг яких підпадає під дію Закону «Про зовнішньоекономічну діяльність».</w:t>
      </w:r>
    </w:p>
    <w:p w14:paraId="00000019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Зміни до Закону реалізовують принципи вживання заходів, що дозволяють державі-члену СОТ відійти від своїх міжнар</w:t>
      </w:r>
      <w:r>
        <w:rPr>
          <w:rFonts w:ascii="Times New Roman" w:hAnsi="Times New Roman" w:cs="Times New Roman"/>
          <w:sz w:val="28"/>
          <w:szCs w:val="28"/>
        </w:rPr>
        <w:t>одних зобов’язань, у випадках, що передбачені:</w:t>
      </w:r>
    </w:p>
    <w:p w14:paraId="0000001A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статті ХІ ГАТТ «Загальні скасування кількісних обмежень»;</w:t>
      </w:r>
    </w:p>
    <w:p w14:paraId="0000001B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статті ХХ ГАТТ «Загальні винятки»;</w:t>
      </w:r>
    </w:p>
    <w:p w14:paraId="0000001C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статті ХХІ ГАТТ «Винятки з міркувань безпеки»;</w:t>
      </w:r>
    </w:p>
    <w:p w14:paraId="0000001D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статті ХІV ГАТС «Загальні винятки»;</w:t>
      </w:r>
    </w:p>
    <w:p w14:paraId="0000001E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статті ХІV-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</w:t>
      </w:r>
      <w:r>
        <w:rPr>
          <w:rFonts w:ascii="Times New Roman" w:hAnsi="Times New Roman" w:cs="Times New Roman"/>
          <w:sz w:val="28"/>
          <w:szCs w:val="28"/>
        </w:rPr>
        <w:t>С «Винятки з міркувань безпеки».</w:t>
      </w:r>
    </w:p>
    <w:p w14:paraId="0000001F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Пропонується визначити, що застосування тимчасових виключних заходів у випадку наявності обставин, визначеними статтями ХІ, ХХ, ХХІ ГАТТ та статтями ХІV, ХІV-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ГАТС здійснюється шляхом: </w:t>
      </w:r>
    </w:p>
    <w:p w14:paraId="00000020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дослідження фактів в</w:t>
      </w:r>
      <w:r>
        <w:rPr>
          <w:rFonts w:ascii="Times New Roman" w:hAnsi="Times New Roman" w:cs="Times New Roman"/>
          <w:sz w:val="28"/>
          <w:szCs w:val="28"/>
        </w:rPr>
        <w:t xml:space="preserve">ідповідним центральним органом виконавчої влади, що забезпечує формування та реалізує державну політику у сфері економічного розвитку та торгівлі; </w:t>
      </w:r>
    </w:p>
    <w:p w14:paraId="00000021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підготовки звіту за результатами дослідження та пропозицій щодо застосування заходів у сфері зовнішньоекон</w:t>
      </w:r>
      <w:r>
        <w:rPr>
          <w:rFonts w:ascii="Times New Roman" w:hAnsi="Times New Roman" w:cs="Times New Roman"/>
          <w:sz w:val="28"/>
          <w:szCs w:val="28"/>
        </w:rPr>
        <w:t>омічних відносин;</w:t>
      </w:r>
    </w:p>
    <w:p w14:paraId="00000022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прийняття Кабінетом Міністрів України рішень про застосування на тимчасовій основі заходів виключного характеру, необхідних для захисту національних інтересів України щодо сталого розвитку національної економіки та забезпечення зростанн</w:t>
      </w:r>
      <w:r>
        <w:rPr>
          <w:rFonts w:ascii="Times New Roman" w:hAnsi="Times New Roman" w:cs="Times New Roman"/>
          <w:sz w:val="28"/>
          <w:szCs w:val="28"/>
        </w:rPr>
        <w:t>я рівня та якості життя.</w:t>
      </w:r>
    </w:p>
    <w:p w14:paraId="00000023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у Прикінцевих положеннях 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технічні зміни до статті 9 Закону України «Про зовнішньоекономічну діяльність» погодивши повноваження Кабінету Міністрів України з пропонованими законом змінами, та 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вимог щодо необхідності оперативного реагування на стан міжнародної торгівлі з метою забезпечення національної економічної безпеки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країни, а також у випадку інших виключних обставин.</w:t>
      </w:r>
    </w:p>
    <w:p w14:paraId="00000024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Стан нормативно-правової бази у сфері правового регулювання</w:t>
      </w:r>
    </w:p>
    <w:p w14:paraId="00000025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Основним</w:t>
      </w:r>
      <w:r>
        <w:rPr>
          <w:rFonts w:ascii="Times New Roman" w:hAnsi="Times New Roman" w:cs="Times New Roman"/>
          <w:sz w:val="28"/>
          <w:szCs w:val="28"/>
        </w:rPr>
        <w:t>и нормативно-правовими актами, що регулюють дану сферу правовідносин є Конституція України, Закон України «Про національну безпеку України», Закон України «Про засади зовнішньої та внутрішньої політики України», Закон України «Про ратифікацію Протоколу про</w:t>
      </w:r>
      <w:r>
        <w:rPr>
          <w:rFonts w:ascii="Times New Roman" w:hAnsi="Times New Roman" w:cs="Times New Roman"/>
          <w:sz w:val="28"/>
          <w:szCs w:val="28"/>
        </w:rPr>
        <w:t xml:space="preserve"> вступ України Світової організації торгівлі», інші міжнародні договори, згода на обов’язковість яких надана Верховною Радою України.</w:t>
      </w:r>
    </w:p>
    <w:p w14:paraId="00000026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Реалізація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не потребує внесення змін до інших законів.</w:t>
      </w:r>
    </w:p>
    <w:p w14:paraId="00000027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Фінансово-економічне обґрунтування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</w:t>
      </w:r>
    </w:p>
    <w:p w14:paraId="00000028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не потребує додаткових витрат з Державного бюджету України.</w:t>
      </w:r>
    </w:p>
    <w:p w14:paraId="00000029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Очікувані правові та соціально-економічні наслідки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Закону</w:t>
      </w:r>
    </w:p>
    <w:p w14:paraId="0000002A" w14:textId="77777777" w:rsidR="00E4630E" w:rsidRDefault="00AE5F06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сприятиме створенню ефективного механізму дотримання міжнародних зобов’язань України у процесі здійснення нею заходів задля забезпечення національної безпеки, враховуючи економічну безпеку, а також дозволить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застосовуват</w:t>
      </w:r>
      <w:r>
        <w:rPr>
          <w:rFonts w:ascii="Times New Roman" w:hAnsi="Times New Roman" w:cs="Times New Roman"/>
          <w:sz w:val="28"/>
          <w:szCs w:val="28"/>
        </w:rPr>
        <w:t xml:space="preserve">и тимчасові виключні заходи у рамках захисту життя чи здоров’я людей, тварин та рослин та подолання негативних економічних наслідків пандемії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інфекції COVID-19.</w:t>
      </w:r>
    </w:p>
    <w:p w14:paraId="0000002B" w14:textId="77777777" w:rsidR="00E4630E" w:rsidRDefault="00E4630E">
      <w:bookmarkStart w:id="1" w:name="_heading=h.gjdgxs" w:colFirst="0" w:colLast="0"/>
      <w:bookmarkEnd w:id="1"/>
    </w:p>
    <w:sectPr w:rsidR="00E4630E">
      <w:pgSz w:w="12240" w:h="15840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E"/>
    <w:rsid w:val="00AE5F06"/>
    <w:rsid w:val="00E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D51F-3863-440D-B678-FA80D1D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43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hhArZvKPmjFCMnwAq56pl19+Q==">AMUW2mXi9y/5Uvf8kL7w9qyOvBpLiIPITHaZ6Y4uWlO5kvA2aysN7NmQuEkb2u0bmu3fJrxcDe74cf+jXmsLOXHYwb7y6ophBwNwZqyiIVQOkv4WHs0mFjC5Ps1Ohx2Y1du62mwT+g0X</go:docsCustomData>
</go:gDocsCustomXmlDataStorage>
</file>

<file path=customXml/itemProps1.xml><?xml version="1.0" encoding="utf-8"?>
<ds:datastoreItem xmlns:ds="http://schemas.openxmlformats.org/officeDocument/2006/customXml" ds:itemID="{98E422A6-38E4-42A2-A2E1-A8449C3C6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10ABD-93DB-4113-A46F-6D9C24A9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B445F-ECFF-4344-93E6-FBE55F8C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2020-05-07T11:31:00Z</dcterms:created>
  <dcterms:modified xsi:type="dcterms:W3CDTF">2020-05-07T11:31:00Z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