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063" w:rsidRDefault="00027964" w:rsidP="00B42063">
      <w:pPr>
        <w:spacing w:line="276" w:lineRule="auto"/>
        <w:jc w:val="center"/>
        <w:rPr>
          <w:b/>
          <w:bCs/>
          <w:sz w:val="28"/>
          <w:szCs w:val="28"/>
          <w:lang w:val="uk-UA"/>
        </w:rPr>
      </w:pPr>
      <w:bookmarkStart w:id="0" w:name="_GoBack"/>
      <w:bookmarkEnd w:id="0"/>
      <w:r>
        <w:rPr>
          <w:b/>
          <w:spacing w:val="20"/>
          <w:sz w:val="28"/>
          <w:szCs w:val="28"/>
          <w:lang w:val="uk-UA"/>
        </w:rPr>
        <w:t>ПОРІВНЯЛЬНА ТАБЛИЦЯ</w:t>
      </w:r>
      <w:r>
        <w:rPr>
          <w:b/>
          <w:spacing w:val="20"/>
          <w:sz w:val="28"/>
          <w:szCs w:val="28"/>
          <w:lang w:val="uk-UA"/>
        </w:rPr>
        <w:br/>
      </w:r>
      <w:r>
        <w:rPr>
          <w:b/>
          <w:sz w:val="28"/>
          <w:szCs w:val="28"/>
          <w:lang w:val="uk-UA"/>
        </w:rPr>
        <w:t xml:space="preserve">до проекту Закону </w:t>
      </w:r>
      <w:r w:rsidRPr="00027964">
        <w:rPr>
          <w:b/>
          <w:sz w:val="28"/>
          <w:szCs w:val="28"/>
          <w:lang w:val="uk-UA"/>
        </w:rPr>
        <w:t xml:space="preserve">України </w:t>
      </w:r>
      <w:r w:rsidR="00B42063">
        <w:rPr>
          <w:b/>
          <w:sz w:val="28"/>
          <w:szCs w:val="28"/>
          <w:lang w:val="uk-UA"/>
        </w:rPr>
        <w:t>«</w:t>
      </w:r>
      <w:r w:rsidR="00B42063" w:rsidRPr="008931A5">
        <w:rPr>
          <w:b/>
          <w:sz w:val="28"/>
          <w:szCs w:val="28"/>
          <w:lang w:val="uk-UA"/>
        </w:rPr>
        <w:t xml:space="preserve">Про внесення змін до Закону України «Про Державний бюджет України </w:t>
      </w:r>
      <w:r w:rsidR="00B42063">
        <w:rPr>
          <w:b/>
          <w:sz w:val="28"/>
          <w:szCs w:val="28"/>
          <w:lang w:val="uk-UA"/>
        </w:rPr>
        <w:br/>
      </w:r>
      <w:r w:rsidR="00B42063" w:rsidRPr="008931A5">
        <w:rPr>
          <w:b/>
          <w:sz w:val="28"/>
          <w:szCs w:val="28"/>
          <w:lang w:val="uk-UA"/>
        </w:rPr>
        <w:t>на 20</w:t>
      </w:r>
      <w:r w:rsidR="00136050">
        <w:rPr>
          <w:b/>
          <w:sz w:val="28"/>
          <w:szCs w:val="28"/>
          <w:lang w:val="uk-UA"/>
        </w:rPr>
        <w:t>20</w:t>
      </w:r>
      <w:r w:rsidR="00B42063" w:rsidRPr="008931A5">
        <w:rPr>
          <w:b/>
          <w:sz w:val="28"/>
          <w:szCs w:val="28"/>
          <w:lang w:val="uk-UA"/>
        </w:rPr>
        <w:t xml:space="preserve"> рік</w:t>
      </w:r>
      <w:r w:rsidR="00B42063">
        <w:rPr>
          <w:b/>
          <w:sz w:val="28"/>
          <w:szCs w:val="28"/>
          <w:lang w:val="uk-UA"/>
        </w:rPr>
        <w:t xml:space="preserve"> (</w:t>
      </w:r>
      <w:r w:rsidR="00B42063" w:rsidRPr="00E6163C">
        <w:rPr>
          <w:b/>
          <w:sz w:val="28"/>
          <w:szCs w:val="28"/>
          <w:lang w:val="uk-UA"/>
        </w:rPr>
        <w:t>щодо заходів, спрямован</w:t>
      </w:r>
      <w:r w:rsidR="00B42063" w:rsidRPr="005C7658">
        <w:rPr>
          <w:b/>
          <w:sz w:val="28"/>
          <w:szCs w:val="28"/>
          <w:lang w:val="uk-UA"/>
        </w:rPr>
        <w:t>их</w:t>
      </w:r>
      <w:r w:rsidR="00B42063" w:rsidRPr="00E6163C">
        <w:rPr>
          <w:b/>
          <w:sz w:val="28"/>
          <w:szCs w:val="28"/>
          <w:lang w:val="uk-UA"/>
        </w:rPr>
        <w:t xml:space="preserve"> на погашення заборгованості, що утворилася на оптовому ринку електричної енергії</w:t>
      </w:r>
      <w:r w:rsidR="00B42063">
        <w:rPr>
          <w:b/>
          <w:sz w:val="28"/>
          <w:szCs w:val="28"/>
          <w:lang w:val="uk-UA"/>
        </w:rPr>
        <w:t>)»</w:t>
      </w:r>
    </w:p>
    <w:p w:rsidR="00027964" w:rsidRPr="00213483" w:rsidRDefault="00027964" w:rsidP="00027964">
      <w:pPr>
        <w:jc w:val="center"/>
        <w:rPr>
          <w:b/>
          <w:sz w:val="2"/>
          <w:szCs w:val="28"/>
          <w:lang w:val="uk-UA"/>
        </w:rPr>
      </w:pPr>
    </w:p>
    <w:p w:rsidR="00027964" w:rsidRDefault="00027964" w:rsidP="00027964">
      <w:pPr>
        <w:jc w:val="center"/>
        <w:rPr>
          <w:sz w:val="28"/>
          <w:szCs w:val="28"/>
          <w:lang w:val="uk-UA"/>
        </w:rPr>
      </w:pPr>
    </w:p>
    <w:tbl>
      <w:tblPr>
        <w:tblW w:w="159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7938"/>
      </w:tblGrid>
      <w:tr w:rsidR="00027964" w:rsidTr="00462843">
        <w:trPr>
          <w:tblHeader/>
        </w:trPr>
        <w:tc>
          <w:tcPr>
            <w:tcW w:w="7967" w:type="dxa"/>
            <w:tcBorders>
              <w:top w:val="single" w:sz="4" w:space="0" w:color="auto"/>
              <w:left w:val="single" w:sz="4" w:space="0" w:color="auto"/>
              <w:bottom w:val="single" w:sz="4" w:space="0" w:color="auto"/>
              <w:right w:val="single" w:sz="4" w:space="0" w:color="auto"/>
            </w:tcBorders>
            <w:hideMark/>
          </w:tcPr>
          <w:p w:rsidR="00027964" w:rsidRDefault="00027964">
            <w:pPr>
              <w:ind w:firstLine="567"/>
              <w:jc w:val="center"/>
              <w:rPr>
                <w:color w:val="000000"/>
                <w:sz w:val="28"/>
                <w:szCs w:val="28"/>
                <w:lang w:val="uk-UA"/>
              </w:rPr>
            </w:pPr>
            <w:r>
              <w:rPr>
                <w:b/>
                <w:sz w:val="28"/>
                <w:szCs w:val="28"/>
                <w:lang w:val="uk-UA"/>
              </w:rPr>
              <w:t>Зміст положення (норми) чинного законодавства</w:t>
            </w:r>
          </w:p>
        </w:tc>
        <w:tc>
          <w:tcPr>
            <w:tcW w:w="7938" w:type="dxa"/>
            <w:tcBorders>
              <w:top w:val="single" w:sz="4" w:space="0" w:color="auto"/>
              <w:left w:val="single" w:sz="4" w:space="0" w:color="auto"/>
              <w:bottom w:val="single" w:sz="4" w:space="0" w:color="auto"/>
              <w:right w:val="single" w:sz="4" w:space="0" w:color="auto"/>
            </w:tcBorders>
            <w:hideMark/>
          </w:tcPr>
          <w:p w:rsidR="00027964" w:rsidRDefault="00027964">
            <w:pPr>
              <w:ind w:firstLine="567"/>
              <w:jc w:val="center"/>
              <w:rPr>
                <w:color w:val="000000"/>
                <w:sz w:val="28"/>
                <w:szCs w:val="28"/>
                <w:lang w:val="uk-UA"/>
              </w:rPr>
            </w:pPr>
            <w:r>
              <w:rPr>
                <w:b/>
                <w:sz w:val="28"/>
                <w:szCs w:val="28"/>
                <w:lang w:val="uk-UA"/>
              </w:rPr>
              <w:t>Зміст відповідного положення (норми) проекту акту</w:t>
            </w:r>
          </w:p>
        </w:tc>
      </w:tr>
      <w:tr w:rsidR="00027964" w:rsidTr="00462843">
        <w:tc>
          <w:tcPr>
            <w:tcW w:w="7967" w:type="dxa"/>
            <w:tcBorders>
              <w:top w:val="single" w:sz="4" w:space="0" w:color="auto"/>
              <w:left w:val="single" w:sz="4" w:space="0" w:color="auto"/>
              <w:bottom w:val="single" w:sz="4" w:space="0" w:color="auto"/>
              <w:right w:val="single" w:sz="4" w:space="0" w:color="auto"/>
            </w:tcBorders>
          </w:tcPr>
          <w:p w:rsidR="00027964" w:rsidRDefault="00027964">
            <w:pPr>
              <w:ind w:firstLine="459"/>
              <w:jc w:val="both"/>
              <w:rPr>
                <w:color w:val="000000"/>
                <w:sz w:val="28"/>
                <w:szCs w:val="28"/>
                <w:lang w:val="uk-UA"/>
              </w:rPr>
            </w:pPr>
          </w:p>
        </w:tc>
        <w:tc>
          <w:tcPr>
            <w:tcW w:w="7938" w:type="dxa"/>
            <w:tcBorders>
              <w:top w:val="single" w:sz="4" w:space="0" w:color="auto"/>
              <w:left w:val="single" w:sz="4" w:space="0" w:color="auto"/>
              <w:bottom w:val="single" w:sz="4" w:space="0" w:color="auto"/>
              <w:right w:val="single" w:sz="4" w:space="0" w:color="auto"/>
            </w:tcBorders>
          </w:tcPr>
          <w:p w:rsidR="00027964" w:rsidRDefault="00027964">
            <w:pPr>
              <w:ind w:firstLine="567"/>
              <w:jc w:val="both"/>
              <w:rPr>
                <w:color w:val="000000"/>
                <w:sz w:val="28"/>
                <w:szCs w:val="28"/>
                <w:lang w:val="uk-UA"/>
              </w:rPr>
            </w:pPr>
          </w:p>
        </w:tc>
      </w:tr>
      <w:tr w:rsidR="00027964" w:rsidRPr="00A16101" w:rsidTr="00462843">
        <w:trPr>
          <w:trHeight w:val="857"/>
        </w:trPr>
        <w:tc>
          <w:tcPr>
            <w:tcW w:w="7967" w:type="dxa"/>
            <w:tcBorders>
              <w:top w:val="single" w:sz="4" w:space="0" w:color="auto"/>
              <w:left w:val="single" w:sz="4" w:space="0" w:color="auto"/>
              <w:bottom w:val="single" w:sz="4" w:space="0" w:color="auto"/>
              <w:right w:val="single" w:sz="4" w:space="0" w:color="auto"/>
            </w:tcBorders>
          </w:tcPr>
          <w:p w:rsidR="00027964" w:rsidRPr="00067198" w:rsidRDefault="00027964" w:rsidP="00027964">
            <w:pPr>
              <w:pStyle w:val="rvps2"/>
              <w:spacing w:before="0" w:beforeAutospacing="0" w:after="150" w:afterAutospacing="0"/>
              <w:ind w:firstLine="450"/>
              <w:jc w:val="both"/>
              <w:rPr>
                <w:color w:val="000000"/>
                <w:sz w:val="28"/>
                <w:szCs w:val="28"/>
                <w:lang w:val="uk-UA"/>
              </w:rPr>
            </w:pPr>
            <w:bookmarkStart w:id="1" w:name="n4552"/>
            <w:bookmarkEnd w:id="1"/>
            <w:r w:rsidRPr="00067198">
              <w:rPr>
                <w:rStyle w:val="rvts9"/>
                <w:b/>
                <w:bCs/>
                <w:color w:val="000000"/>
                <w:sz w:val="28"/>
                <w:szCs w:val="28"/>
                <w:lang w:val="uk-UA"/>
              </w:rPr>
              <w:t>Стаття 1.</w:t>
            </w:r>
            <w:r w:rsidRPr="00067198">
              <w:rPr>
                <w:color w:val="000000"/>
                <w:sz w:val="28"/>
                <w:szCs w:val="28"/>
                <w:lang w:val="uk-UA"/>
              </w:rPr>
              <w:t xml:space="preserve"> Визначити на 20</w:t>
            </w:r>
            <w:r w:rsidR="00136050" w:rsidRPr="00067198">
              <w:rPr>
                <w:color w:val="000000"/>
                <w:sz w:val="28"/>
                <w:szCs w:val="28"/>
                <w:lang w:val="uk-UA"/>
              </w:rPr>
              <w:t>20</w:t>
            </w:r>
            <w:r w:rsidRPr="00067198">
              <w:rPr>
                <w:color w:val="000000"/>
                <w:sz w:val="28"/>
                <w:szCs w:val="28"/>
                <w:lang w:val="uk-UA"/>
              </w:rPr>
              <w:t xml:space="preserve"> рік:</w:t>
            </w:r>
          </w:p>
          <w:p w:rsidR="00A46FB6" w:rsidRPr="00067198" w:rsidRDefault="00A46FB6" w:rsidP="00A46FB6">
            <w:pPr>
              <w:ind w:firstLine="459"/>
              <w:jc w:val="both"/>
              <w:rPr>
                <w:color w:val="000000"/>
                <w:sz w:val="28"/>
                <w:szCs w:val="28"/>
                <w:lang w:val="uk-UA"/>
              </w:rPr>
            </w:pPr>
            <w:bookmarkStart w:id="2" w:name="n5"/>
            <w:bookmarkEnd w:id="2"/>
            <w:r w:rsidRPr="00067198">
              <w:rPr>
                <w:color w:val="000000"/>
                <w:sz w:val="28"/>
                <w:szCs w:val="28"/>
                <w:lang w:val="uk-UA"/>
              </w:rPr>
              <w:t>…</w:t>
            </w:r>
          </w:p>
          <w:p w:rsidR="00027964" w:rsidRPr="00067198" w:rsidRDefault="008A0FF4" w:rsidP="00067198">
            <w:pPr>
              <w:spacing w:before="120"/>
              <w:ind w:firstLine="459"/>
              <w:jc w:val="both"/>
              <w:rPr>
                <w:color w:val="000000"/>
                <w:sz w:val="28"/>
                <w:szCs w:val="28"/>
                <w:lang w:val="uk-UA"/>
              </w:rPr>
            </w:pPr>
            <w:r w:rsidRPr="008A0FF4">
              <w:rPr>
                <w:color w:val="000000"/>
                <w:sz w:val="28"/>
                <w:szCs w:val="28"/>
                <w:lang w:val="uk-UA"/>
              </w:rPr>
              <w:t>видатки Державного бюджету України у сумі 1.266.423.698,6 тис. гривень, у тому числі видатки загального фонду Державного бюджету України - у сумі 1.135.078.984,4 тис. гривень та видатки спеціального фонду Державного бюджету України - у сумі 131.344.714,2 тис. гривень;</w:t>
            </w:r>
          </w:p>
          <w:p w:rsidR="007116B8" w:rsidRPr="00067198" w:rsidRDefault="007116B8" w:rsidP="00067198">
            <w:pPr>
              <w:ind w:firstLine="459"/>
              <w:jc w:val="both"/>
              <w:rPr>
                <w:color w:val="000000"/>
                <w:sz w:val="28"/>
                <w:szCs w:val="28"/>
                <w:lang w:val="uk-UA"/>
              </w:rPr>
            </w:pPr>
            <w:r w:rsidRPr="00067198">
              <w:rPr>
                <w:color w:val="000000"/>
                <w:sz w:val="28"/>
                <w:szCs w:val="28"/>
                <w:lang w:val="uk-UA"/>
              </w:rPr>
              <w:t>…</w:t>
            </w:r>
          </w:p>
          <w:p w:rsidR="007116B8" w:rsidRPr="00067198" w:rsidRDefault="008A0FF4" w:rsidP="00067198">
            <w:pPr>
              <w:ind w:firstLine="459"/>
              <w:jc w:val="both"/>
              <w:rPr>
                <w:color w:val="000000"/>
                <w:sz w:val="28"/>
                <w:szCs w:val="28"/>
                <w:lang w:val="uk-UA"/>
              </w:rPr>
            </w:pPr>
            <w:r w:rsidRPr="008A0FF4">
              <w:rPr>
                <w:color w:val="000000"/>
                <w:sz w:val="28"/>
                <w:szCs w:val="28"/>
                <w:lang w:val="uk-UA"/>
              </w:rPr>
              <w:t>граничний обсяг дефіциту Державного бюджету України у сумі 298.404.307,9 тис. гривень, у тому числі граничний обсяг дефіциту загального фонду Державного бюджету України - у сумі 274.494.098,6 тис. гривень та граничний обсяг дефіциту спеціального фонду Державного бюджету України - у сумі 23.910.209,3 тис. гривень, згідно з додатком № 2 до цього Закону;</w:t>
            </w:r>
          </w:p>
          <w:p w:rsidR="00027964" w:rsidRPr="00067198" w:rsidRDefault="00027964">
            <w:pPr>
              <w:ind w:firstLine="459"/>
              <w:jc w:val="both"/>
              <w:rPr>
                <w:color w:val="000000"/>
                <w:sz w:val="28"/>
                <w:szCs w:val="28"/>
                <w:lang w:val="uk-UA"/>
              </w:rPr>
            </w:pPr>
            <w:r w:rsidRPr="00067198">
              <w:rPr>
                <w:color w:val="000000"/>
                <w:sz w:val="28"/>
                <w:szCs w:val="28"/>
                <w:lang w:val="uk-UA"/>
              </w:rPr>
              <w:t>…</w:t>
            </w:r>
          </w:p>
        </w:tc>
        <w:tc>
          <w:tcPr>
            <w:tcW w:w="7938" w:type="dxa"/>
            <w:tcBorders>
              <w:top w:val="single" w:sz="4" w:space="0" w:color="auto"/>
              <w:left w:val="single" w:sz="4" w:space="0" w:color="auto"/>
              <w:bottom w:val="single" w:sz="4" w:space="0" w:color="auto"/>
              <w:right w:val="single" w:sz="4" w:space="0" w:color="auto"/>
            </w:tcBorders>
            <w:hideMark/>
          </w:tcPr>
          <w:p w:rsidR="00027964" w:rsidRPr="00067198" w:rsidRDefault="00027964" w:rsidP="00027964">
            <w:pPr>
              <w:pStyle w:val="rvps2"/>
              <w:spacing w:before="0" w:beforeAutospacing="0" w:after="150" w:afterAutospacing="0"/>
              <w:ind w:firstLine="450"/>
              <w:jc w:val="both"/>
              <w:rPr>
                <w:color w:val="000000"/>
                <w:sz w:val="28"/>
                <w:szCs w:val="28"/>
                <w:lang w:val="uk-UA"/>
              </w:rPr>
            </w:pPr>
            <w:r w:rsidRPr="00067198">
              <w:rPr>
                <w:rStyle w:val="rvts9"/>
                <w:b/>
                <w:bCs/>
                <w:color w:val="000000"/>
                <w:sz w:val="28"/>
                <w:szCs w:val="28"/>
                <w:lang w:val="uk-UA"/>
              </w:rPr>
              <w:t>Стаття 1.</w:t>
            </w:r>
            <w:r w:rsidRPr="00067198">
              <w:rPr>
                <w:color w:val="000000"/>
                <w:sz w:val="28"/>
                <w:szCs w:val="28"/>
                <w:lang w:val="uk-UA"/>
              </w:rPr>
              <w:t xml:space="preserve"> Визначити на 20</w:t>
            </w:r>
            <w:r w:rsidR="00136050" w:rsidRPr="00067198">
              <w:rPr>
                <w:color w:val="000000"/>
                <w:sz w:val="28"/>
                <w:szCs w:val="28"/>
                <w:lang w:val="uk-UA"/>
              </w:rPr>
              <w:t>20</w:t>
            </w:r>
            <w:r w:rsidRPr="00067198">
              <w:rPr>
                <w:color w:val="000000"/>
                <w:sz w:val="28"/>
                <w:szCs w:val="28"/>
                <w:lang w:val="uk-UA"/>
              </w:rPr>
              <w:t xml:space="preserve"> рік:</w:t>
            </w:r>
          </w:p>
          <w:p w:rsidR="00A46FB6" w:rsidRPr="00067198" w:rsidRDefault="00A46FB6" w:rsidP="00A46FB6">
            <w:pPr>
              <w:ind w:firstLine="459"/>
              <w:jc w:val="both"/>
              <w:rPr>
                <w:color w:val="000000"/>
                <w:sz w:val="28"/>
                <w:szCs w:val="28"/>
                <w:lang w:val="uk-UA"/>
              </w:rPr>
            </w:pPr>
            <w:r w:rsidRPr="00067198">
              <w:rPr>
                <w:color w:val="000000"/>
                <w:sz w:val="28"/>
                <w:szCs w:val="28"/>
                <w:lang w:val="uk-UA"/>
              </w:rPr>
              <w:t>…</w:t>
            </w:r>
          </w:p>
          <w:p w:rsidR="00067198" w:rsidRPr="00067198" w:rsidRDefault="00067198" w:rsidP="00067198">
            <w:pPr>
              <w:spacing w:before="120"/>
              <w:ind w:firstLine="459"/>
              <w:jc w:val="both"/>
              <w:rPr>
                <w:color w:val="000000"/>
                <w:sz w:val="28"/>
                <w:szCs w:val="28"/>
                <w:lang w:val="uk-UA"/>
              </w:rPr>
            </w:pPr>
            <w:r w:rsidRPr="00067198">
              <w:rPr>
                <w:color w:val="000000"/>
                <w:sz w:val="28"/>
                <w:szCs w:val="28"/>
                <w:lang w:val="uk-UA"/>
              </w:rPr>
              <w:t xml:space="preserve">видатки Державного бюджету України у сумі </w:t>
            </w:r>
            <w:r w:rsidRPr="00067198">
              <w:rPr>
                <w:b/>
                <w:color w:val="000000"/>
                <w:sz w:val="28"/>
                <w:szCs w:val="28"/>
                <w:lang w:val="uk-UA"/>
              </w:rPr>
              <w:t>1.</w:t>
            </w:r>
            <w:r w:rsidR="00A46FB6">
              <w:rPr>
                <w:b/>
                <w:color w:val="000000"/>
                <w:sz w:val="28"/>
                <w:szCs w:val="28"/>
                <w:lang w:val="uk-UA"/>
              </w:rPr>
              <w:t>274</w:t>
            </w:r>
            <w:r w:rsidRPr="00067198">
              <w:rPr>
                <w:b/>
                <w:color w:val="000000"/>
                <w:sz w:val="28"/>
                <w:szCs w:val="28"/>
                <w:lang w:val="uk-UA"/>
              </w:rPr>
              <w:t>.3</w:t>
            </w:r>
            <w:r w:rsidR="00A46FB6">
              <w:rPr>
                <w:b/>
                <w:color w:val="000000"/>
                <w:sz w:val="28"/>
                <w:szCs w:val="28"/>
                <w:lang w:val="uk-UA"/>
              </w:rPr>
              <w:t>23</w:t>
            </w:r>
            <w:r w:rsidRPr="00067198">
              <w:rPr>
                <w:b/>
                <w:color w:val="000000"/>
                <w:sz w:val="28"/>
                <w:szCs w:val="28"/>
                <w:lang w:val="uk-UA"/>
              </w:rPr>
              <w:t>.</w:t>
            </w:r>
            <w:r w:rsidR="00A46FB6">
              <w:rPr>
                <w:b/>
                <w:color w:val="000000"/>
                <w:sz w:val="28"/>
                <w:szCs w:val="28"/>
                <w:lang w:val="uk-UA"/>
              </w:rPr>
              <w:t>698</w:t>
            </w:r>
            <w:r w:rsidRPr="00067198">
              <w:rPr>
                <w:b/>
                <w:color w:val="000000"/>
                <w:sz w:val="28"/>
                <w:szCs w:val="28"/>
                <w:lang w:val="uk-UA"/>
              </w:rPr>
              <w:t>,6</w:t>
            </w:r>
            <w:r>
              <w:rPr>
                <w:color w:val="000000"/>
                <w:sz w:val="28"/>
                <w:szCs w:val="28"/>
                <w:lang w:val="uk-UA"/>
              </w:rPr>
              <w:t xml:space="preserve"> </w:t>
            </w:r>
            <w:r w:rsidRPr="00067198">
              <w:rPr>
                <w:color w:val="000000"/>
                <w:sz w:val="28"/>
                <w:szCs w:val="28"/>
                <w:lang w:val="uk-UA"/>
              </w:rPr>
              <w:t xml:space="preserve">тис. гривень, у тому числі видатки загального фонду Державного бюджету України - у сумі </w:t>
            </w:r>
            <w:r w:rsidRPr="00067198">
              <w:rPr>
                <w:b/>
                <w:color w:val="000000"/>
                <w:sz w:val="28"/>
                <w:szCs w:val="28"/>
                <w:lang w:val="uk-UA"/>
              </w:rPr>
              <w:t>1.</w:t>
            </w:r>
            <w:r w:rsidR="00A46FB6">
              <w:rPr>
                <w:b/>
                <w:color w:val="000000"/>
                <w:sz w:val="28"/>
                <w:szCs w:val="28"/>
                <w:lang w:val="uk-UA"/>
              </w:rPr>
              <w:t>142</w:t>
            </w:r>
            <w:r w:rsidRPr="00067198">
              <w:rPr>
                <w:b/>
                <w:color w:val="000000"/>
                <w:sz w:val="28"/>
                <w:szCs w:val="28"/>
                <w:lang w:val="uk-UA"/>
              </w:rPr>
              <w:t>.978.</w:t>
            </w:r>
            <w:r w:rsidR="00A46FB6">
              <w:rPr>
                <w:b/>
                <w:color w:val="000000"/>
                <w:sz w:val="28"/>
                <w:szCs w:val="28"/>
                <w:lang w:val="uk-UA"/>
              </w:rPr>
              <w:t>984</w:t>
            </w:r>
            <w:r w:rsidRPr="00067198">
              <w:rPr>
                <w:b/>
                <w:color w:val="000000"/>
                <w:sz w:val="28"/>
                <w:szCs w:val="28"/>
                <w:lang w:val="uk-UA"/>
              </w:rPr>
              <w:t>,4</w:t>
            </w:r>
            <w:r w:rsidRPr="00067198">
              <w:rPr>
                <w:color w:val="000000"/>
                <w:sz w:val="28"/>
                <w:szCs w:val="28"/>
                <w:lang w:val="uk-UA"/>
              </w:rPr>
              <w:t xml:space="preserve"> тис. гривень та видатки спеціального фонду Державного бюджету України - у сумі </w:t>
            </w:r>
            <w:r w:rsidRPr="00A46FB6">
              <w:rPr>
                <w:color w:val="000000"/>
                <w:sz w:val="28"/>
                <w:szCs w:val="28"/>
                <w:lang w:val="uk-UA"/>
              </w:rPr>
              <w:t>13</w:t>
            </w:r>
            <w:r w:rsidR="00A46FB6" w:rsidRPr="00A46FB6">
              <w:rPr>
                <w:color w:val="000000"/>
                <w:sz w:val="28"/>
                <w:szCs w:val="28"/>
                <w:lang w:val="uk-UA"/>
              </w:rPr>
              <w:t>1</w:t>
            </w:r>
            <w:r w:rsidRPr="00A46FB6">
              <w:rPr>
                <w:color w:val="000000"/>
                <w:sz w:val="28"/>
                <w:szCs w:val="28"/>
                <w:lang w:val="uk-UA"/>
              </w:rPr>
              <w:t>.3</w:t>
            </w:r>
            <w:r w:rsidR="00A46FB6" w:rsidRPr="00A46FB6">
              <w:rPr>
                <w:color w:val="000000"/>
                <w:sz w:val="28"/>
                <w:szCs w:val="28"/>
                <w:lang w:val="uk-UA"/>
              </w:rPr>
              <w:t>44</w:t>
            </w:r>
            <w:r w:rsidRPr="00A46FB6">
              <w:rPr>
                <w:color w:val="000000"/>
                <w:sz w:val="28"/>
                <w:szCs w:val="28"/>
                <w:lang w:val="uk-UA"/>
              </w:rPr>
              <w:t>.</w:t>
            </w:r>
            <w:r w:rsidR="00A46FB6" w:rsidRPr="00A46FB6">
              <w:rPr>
                <w:color w:val="000000"/>
                <w:sz w:val="28"/>
                <w:szCs w:val="28"/>
                <w:lang w:val="uk-UA"/>
              </w:rPr>
              <w:t>714</w:t>
            </w:r>
            <w:r w:rsidRPr="00A46FB6">
              <w:rPr>
                <w:color w:val="000000"/>
                <w:sz w:val="28"/>
                <w:szCs w:val="28"/>
                <w:lang w:val="uk-UA"/>
              </w:rPr>
              <w:t xml:space="preserve">,2 </w:t>
            </w:r>
            <w:r w:rsidRPr="00067198">
              <w:rPr>
                <w:color w:val="000000"/>
                <w:sz w:val="28"/>
                <w:szCs w:val="28"/>
                <w:lang w:val="uk-UA"/>
              </w:rPr>
              <w:t>тис. гривень;</w:t>
            </w:r>
          </w:p>
          <w:p w:rsidR="00067198" w:rsidRPr="00067198" w:rsidRDefault="00067198" w:rsidP="00067198">
            <w:pPr>
              <w:ind w:firstLine="459"/>
              <w:jc w:val="both"/>
              <w:rPr>
                <w:color w:val="000000"/>
                <w:sz w:val="28"/>
                <w:szCs w:val="28"/>
                <w:lang w:val="uk-UA"/>
              </w:rPr>
            </w:pPr>
            <w:r w:rsidRPr="00067198">
              <w:rPr>
                <w:color w:val="000000"/>
                <w:sz w:val="28"/>
                <w:szCs w:val="28"/>
                <w:lang w:val="uk-UA"/>
              </w:rPr>
              <w:t>…</w:t>
            </w:r>
          </w:p>
          <w:p w:rsidR="00067198" w:rsidRPr="00067198" w:rsidRDefault="00067198" w:rsidP="00067198">
            <w:pPr>
              <w:ind w:firstLine="459"/>
              <w:jc w:val="both"/>
              <w:rPr>
                <w:color w:val="000000"/>
                <w:sz w:val="28"/>
                <w:szCs w:val="28"/>
                <w:lang w:val="uk-UA"/>
              </w:rPr>
            </w:pPr>
            <w:r w:rsidRPr="00067198">
              <w:rPr>
                <w:color w:val="000000"/>
                <w:sz w:val="28"/>
                <w:szCs w:val="28"/>
                <w:lang w:val="uk-UA"/>
              </w:rPr>
              <w:t xml:space="preserve">граничний обсяг дефіциту Державного бюджету України у сумі </w:t>
            </w:r>
            <w:r w:rsidR="000A69B5">
              <w:rPr>
                <w:b/>
                <w:color w:val="000000"/>
                <w:sz w:val="28"/>
                <w:szCs w:val="28"/>
                <w:lang w:val="uk-UA"/>
              </w:rPr>
              <w:t>306</w:t>
            </w:r>
            <w:r w:rsidRPr="00067198">
              <w:rPr>
                <w:b/>
                <w:color w:val="000000"/>
                <w:sz w:val="28"/>
                <w:szCs w:val="28"/>
                <w:lang w:val="uk-UA"/>
              </w:rPr>
              <w:t>.</w:t>
            </w:r>
            <w:r w:rsidR="000A69B5">
              <w:rPr>
                <w:b/>
                <w:color w:val="000000"/>
                <w:sz w:val="28"/>
                <w:szCs w:val="28"/>
                <w:lang w:val="uk-UA"/>
              </w:rPr>
              <w:t>304</w:t>
            </w:r>
            <w:r w:rsidRPr="00067198">
              <w:rPr>
                <w:b/>
                <w:color w:val="000000"/>
                <w:sz w:val="28"/>
                <w:szCs w:val="28"/>
                <w:lang w:val="uk-UA"/>
              </w:rPr>
              <w:t>.</w:t>
            </w:r>
            <w:r w:rsidR="000A69B5">
              <w:rPr>
                <w:b/>
                <w:color w:val="000000"/>
                <w:sz w:val="28"/>
                <w:szCs w:val="28"/>
                <w:lang w:val="uk-UA"/>
              </w:rPr>
              <w:t>307</w:t>
            </w:r>
            <w:r w:rsidRPr="00067198">
              <w:rPr>
                <w:b/>
                <w:color w:val="000000"/>
                <w:sz w:val="28"/>
                <w:szCs w:val="28"/>
                <w:lang w:val="uk-UA"/>
              </w:rPr>
              <w:t>,</w:t>
            </w:r>
            <w:r w:rsidR="000A69B5">
              <w:rPr>
                <w:b/>
                <w:color w:val="000000"/>
                <w:sz w:val="28"/>
                <w:szCs w:val="28"/>
                <w:lang w:val="uk-UA"/>
              </w:rPr>
              <w:t>9</w:t>
            </w:r>
            <w:r>
              <w:rPr>
                <w:color w:val="000000"/>
                <w:sz w:val="28"/>
                <w:szCs w:val="28"/>
                <w:lang w:val="uk-UA"/>
              </w:rPr>
              <w:t xml:space="preserve"> </w:t>
            </w:r>
            <w:r w:rsidRPr="00067198">
              <w:rPr>
                <w:color w:val="000000"/>
                <w:sz w:val="28"/>
                <w:szCs w:val="28"/>
                <w:lang w:val="uk-UA"/>
              </w:rPr>
              <w:t xml:space="preserve">тис. гривень, у тому числі граничний обсяг дефіциту загального фонду Державного бюджету України - у сумі </w:t>
            </w:r>
            <w:r w:rsidR="000A69B5">
              <w:rPr>
                <w:b/>
                <w:color w:val="000000"/>
                <w:sz w:val="28"/>
                <w:szCs w:val="28"/>
                <w:lang w:val="uk-UA"/>
              </w:rPr>
              <w:t>282</w:t>
            </w:r>
            <w:r w:rsidRPr="00067198">
              <w:rPr>
                <w:b/>
                <w:color w:val="000000"/>
                <w:sz w:val="28"/>
                <w:szCs w:val="28"/>
                <w:lang w:val="uk-UA"/>
              </w:rPr>
              <w:t>.</w:t>
            </w:r>
            <w:r w:rsidR="00FA17FB">
              <w:rPr>
                <w:b/>
                <w:color w:val="000000"/>
                <w:sz w:val="28"/>
                <w:szCs w:val="28"/>
                <w:lang w:val="uk-UA"/>
              </w:rPr>
              <w:t>394</w:t>
            </w:r>
            <w:r w:rsidRPr="00067198">
              <w:rPr>
                <w:b/>
                <w:color w:val="000000"/>
                <w:sz w:val="28"/>
                <w:szCs w:val="28"/>
                <w:lang w:val="uk-UA"/>
              </w:rPr>
              <w:t>.</w:t>
            </w:r>
            <w:r w:rsidR="00FA17FB">
              <w:rPr>
                <w:b/>
                <w:color w:val="000000"/>
                <w:sz w:val="28"/>
                <w:szCs w:val="28"/>
                <w:lang w:val="uk-UA"/>
              </w:rPr>
              <w:t>098</w:t>
            </w:r>
            <w:r w:rsidRPr="00067198">
              <w:rPr>
                <w:b/>
                <w:color w:val="000000"/>
                <w:sz w:val="28"/>
                <w:szCs w:val="28"/>
                <w:lang w:val="uk-UA"/>
              </w:rPr>
              <w:t>,</w:t>
            </w:r>
            <w:r w:rsidR="00FA17FB">
              <w:rPr>
                <w:b/>
                <w:color w:val="000000"/>
                <w:sz w:val="28"/>
                <w:szCs w:val="28"/>
                <w:lang w:val="uk-UA"/>
              </w:rPr>
              <w:t>6</w:t>
            </w:r>
            <w:r w:rsidRPr="00067198">
              <w:rPr>
                <w:color w:val="000000"/>
                <w:sz w:val="28"/>
                <w:szCs w:val="28"/>
                <w:lang w:val="uk-UA"/>
              </w:rPr>
              <w:t xml:space="preserve"> тис. гривень та граничний обсяг дефіциту спеціального фонду Державного бюджету України - у сумі </w:t>
            </w:r>
            <w:r w:rsidRPr="00FA17FB">
              <w:rPr>
                <w:color w:val="000000"/>
                <w:sz w:val="28"/>
                <w:szCs w:val="28"/>
                <w:lang w:val="uk-UA"/>
              </w:rPr>
              <w:t>2</w:t>
            </w:r>
            <w:r w:rsidR="00FA17FB">
              <w:rPr>
                <w:color w:val="000000"/>
                <w:sz w:val="28"/>
                <w:szCs w:val="28"/>
                <w:lang w:val="uk-UA"/>
              </w:rPr>
              <w:t>3</w:t>
            </w:r>
            <w:r w:rsidRPr="00FA17FB">
              <w:rPr>
                <w:color w:val="000000"/>
                <w:sz w:val="28"/>
                <w:szCs w:val="28"/>
                <w:lang w:val="uk-UA"/>
              </w:rPr>
              <w:t>.</w:t>
            </w:r>
            <w:r w:rsidR="00FA17FB">
              <w:rPr>
                <w:color w:val="000000"/>
                <w:sz w:val="28"/>
                <w:szCs w:val="28"/>
                <w:lang w:val="uk-UA"/>
              </w:rPr>
              <w:t>9</w:t>
            </w:r>
            <w:r w:rsidRPr="00FA17FB">
              <w:rPr>
                <w:color w:val="000000"/>
                <w:sz w:val="28"/>
                <w:szCs w:val="28"/>
                <w:lang w:val="uk-UA"/>
              </w:rPr>
              <w:t xml:space="preserve">10.209,3 </w:t>
            </w:r>
            <w:r w:rsidRPr="00067198">
              <w:rPr>
                <w:color w:val="000000"/>
                <w:sz w:val="28"/>
                <w:szCs w:val="28"/>
                <w:lang w:val="uk-UA"/>
              </w:rPr>
              <w:t>тис. гривень, згідно з додатком № 2 до цього Закону;</w:t>
            </w:r>
          </w:p>
          <w:p w:rsidR="007116B8" w:rsidRDefault="00067198" w:rsidP="00067198">
            <w:pPr>
              <w:ind w:firstLine="459"/>
              <w:jc w:val="both"/>
              <w:rPr>
                <w:color w:val="000000"/>
                <w:sz w:val="28"/>
                <w:szCs w:val="28"/>
                <w:lang w:val="uk-UA"/>
              </w:rPr>
            </w:pPr>
            <w:r w:rsidRPr="00067198">
              <w:rPr>
                <w:color w:val="000000"/>
                <w:sz w:val="28"/>
                <w:szCs w:val="28"/>
                <w:lang w:val="uk-UA"/>
              </w:rPr>
              <w:t>…</w:t>
            </w:r>
          </w:p>
          <w:p w:rsidR="00067198" w:rsidRPr="00067198" w:rsidRDefault="00067198" w:rsidP="00067198">
            <w:pPr>
              <w:ind w:firstLine="459"/>
              <w:jc w:val="both"/>
              <w:rPr>
                <w:color w:val="000000"/>
                <w:sz w:val="28"/>
                <w:szCs w:val="28"/>
                <w:lang w:val="uk-UA"/>
              </w:rPr>
            </w:pPr>
          </w:p>
        </w:tc>
      </w:tr>
      <w:tr w:rsidR="00027964" w:rsidRPr="004B380B" w:rsidTr="00462843">
        <w:trPr>
          <w:trHeight w:val="857"/>
        </w:trPr>
        <w:tc>
          <w:tcPr>
            <w:tcW w:w="7967" w:type="dxa"/>
            <w:tcBorders>
              <w:top w:val="single" w:sz="4" w:space="0" w:color="auto"/>
              <w:left w:val="single" w:sz="4" w:space="0" w:color="auto"/>
              <w:bottom w:val="single" w:sz="4" w:space="0" w:color="auto"/>
              <w:right w:val="single" w:sz="4" w:space="0" w:color="auto"/>
            </w:tcBorders>
            <w:hideMark/>
          </w:tcPr>
          <w:p w:rsidR="00462843" w:rsidRPr="00462843" w:rsidRDefault="00215F29" w:rsidP="004E7C74">
            <w:pPr>
              <w:pStyle w:val="rvps2"/>
              <w:spacing w:before="0" w:beforeAutospacing="0" w:after="150" w:afterAutospacing="0"/>
              <w:ind w:firstLine="450"/>
              <w:jc w:val="both"/>
              <w:rPr>
                <w:color w:val="000000"/>
                <w:sz w:val="28"/>
                <w:szCs w:val="28"/>
                <w:lang w:val="uk-UA"/>
              </w:rPr>
            </w:pPr>
            <w:r>
              <w:rPr>
                <w:b/>
                <w:color w:val="000000"/>
                <w:sz w:val="28"/>
                <w:szCs w:val="28"/>
                <w:lang w:val="uk-UA"/>
              </w:rPr>
              <w:t>Положення відсутні</w:t>
            </w:r>
          </w:p>
        </w:tc>
        <w:tc>
          <w:tcPr>
            <w:tcW w:w="7938" w:type="dxa"/>
            <w:tcBorders>
              <w:top w:val="single" w:sz="4" w:space="0" w:color="auto"/>
              <w:left w:val="single" w:sz="4" w:space="0" w:color="auto"/>
              <w:bottom w:val="single" w:sz="4" w:space="0" w:color="auto"/>
              <w:right w:val="single" w:sz="4" w:space="0" w:color="auto"/>
            </w:tcBorders>
            <w:hideMark/>
          </w:tcPr>
          <w:p w:rsidR="00027964" w:rsidRPr="004B380B" w:rsidRDefault="00462843" w:rsidP="00052E57">
            <w:pPr>
              <w:ind w:firstLine="708"/>
              <w:jc w:val="both"/>
              <w:rPr>
                <w:b/>
                <w:i/>
                <w:color w:val="000000"/>
                <w:sz w:val="28"/>
                <w:szCs w:val="28"/>
                <w:lang w:val="uk-UA"/>
              </w:rPr>
            </w:pPr>
            <w:r w:rsidRPr="004B380B">
              <w:rPr>
                <w:b/>
                <w:sz w:val="28"/>
                <w:szCs w:val="28"/>
                <w:lang w:val="uk-UA"/>
              </w:rPr>
              <w:t xml:space="preserve">Стаття </w:t>
            </w:r>
            <w:r w:rsidR="00B666B6" w:rsidRPr="004B380B">
              <w:rPr>
                <w:b/>
                <w:sz w:val="28"/>
                <w:szCs w:val="28"/>
                <w:lang w:val="uk-UA"/>
              </w:rPr>
              <w:t>18</w:t>
            </w:r>
            <w:r w:rsidR="00A37F81" w:rsidRPr="004B380B">
              <w:rPr>
                <w:b/>
                <w:sz w:val="28"/>
                <w:szCs w:val="28"/>
                <w:lang w:val="uk-UA"/>
              </w:rPr>
              <w:t xml:space="preserve">. </w:t>
            </w:r>
            <w:r w:rsidR="004B380B" w:rsidRPr="004B380B">
              <w:rPr>
                <w:b/>
                <w:sz w:val="28"/>
                <w:szCs w:val="28"/>
                <w:lang w:val="uk-UA"/>
              </w:rPr>
              <w:t xml:space="preserve">Надати право Міністерству фінансів України у разі потреби здійснювати за рішенням Кабінету Міністрів України випуски облігацій внутрішньої державної позики понад обсяги, встановлені додатком № 2 до цього Закону, з відповідним коригуванням граничного обсягу державного боргу, визначеного цим Законом, а також інформуванням Комітету Верховної Ради України з питань </w:t>
            </w:r>
            <w:r w:rsidR="004B380B" w:rsidRPr="004B380B">
              <w:rPr>
                <w:b/>
                <w:sz w:val="28"/>
                <w:szCs w:val="28"/>
                <w:lang w:val="uk-UA"/>
              </w:rPr>
              <w:lastRenderedPageBreak/>
              <w:t>бюджету у тижневий строк, за умови  подальшого придбання у державну власність в обмін на такі облігації акцій товариств (виробників електричної енергії державної форми власності, а також, акціонерного товариства, сто відсотків акцій якого належить державі, яке здійснює функції оператора системи передачі), а також збільшення статутного капіталу державних підприємств, які здійснюють виробництво електроенергії</w:t>
            </w:r>
            <w:r w:rsidR="00052E57" w:rsidRPr="004B380B">
              <w:rPr>
                <w:b/>
                <w:sz w:val="28"/>
                <w:szCs w:val="28"/>
                <w:lang w:val="uk-UA"/>
              </w:rPr>
              <w:t>.».</w:t>
            </w:r>
          </w:p>
        </w:tc>
      </w:tr>
      <w:tr w:rsidR="00215F29" w:rsidRPr="00215F29" w:rsidTr="00414400">
        <w:trPr>
          <w:trHeight w:val="265"/>
        </w:trPr>
        <w:tc>
          <w:tcPr>
            <w:tcW w:w="7967" w:type="dxa"/>
            <w:tcBorders>
              <w:top w:val="single" w:sz="4" w:space="0" w:color="auto"/>
              <w:left w:val="single" w:sz="4" w:space="0" w:color="auto"/>
              <w:bottom w:val="single" w:sz="4" w:space="0" w:color="auto"/>
              <w:right w:val="single" w:sz="4" w:space="0" w:color="auto"/>
            </w:tcBorders>
          </w:tcPr>
          <w:p w:rsidR="00215F29" w:rsidRDefault="00215F29" w:rsidP="00B666B6">
            <w:pPr>
              <w:pStyle w:val="rvps2"/>
              <w:spacing w:before="0" w:beforeAutospacing="0" w:after="150" w:afterAutospacing="0"/>
              <w:ind w:firstLine="450"/>
              <w:jc w:val="both"/>
              <w:rPr>
                <w:b/>
                <w:color w:val="000000"/>
                <w:sz w:val="28"/>
                <w:szCs w:val="28"/>
                <w:lang w:val="uk-UA"/>
              </w:rPr>
            </w:pPr>
            <w:r w:rsidRPr="00B666B6">
              <w:rPr>
                <w:b/>
                <w:sz w:val="28"/>
                <w:szCs w:val="28"/>
                <w:lang w:val="uk-UA"/>
              </w:rPr>
              <w:lastRenderedPageBreak/>
              <w:t xml:space="preserve">Статті </w:t>
            </w:r>
            <w:r w:rsidR="00193EE3" w:rsidRPr="00B666B6">
              <w:rPr>
                <w:b/>
                <w:sz w:val="28"/>
                <w:szCs w:val="28"/>
                <w:lang w:val="uk-UA"/>
              </w:rPr>
              <w:t>1</w:t>
            </w:r>
            <w:r w:rsidR="00B666B6" w:rsidRPr="00B666B6">
              <w:rPr>
                <w:b/>
                <w:sz w:val="28"/>
                <w:szCs w:val="28"/>
                <w:lang w:val="uk-UA"/>
              </w:rPr>
              <w:t>8</w:t>
            </w:r>
            <w:r w:rsidR="00193EE3" w:rsidRPr="00B666B6">
              <w:rPr>
                <w:b/>
                <w:sz w:val="28"/>
                <w:szCs w:val="28"/>
                <w:lang w:val="uk-UA"/>
              </w:rPr>
              <w:t>-</w:t>
            </w:r>
            <w:r w:rsidR="00B666B6" w:rsidRPr="00B666B6">
              <w:rPr>
                <w:b/>
                <w:sz w:val="28"/>
                <w:szCs w:val="28"/>
                <w:lang w:val="uk-UA"/>
              </w:rPr>
              <w:t>32</w:t>
            </w:r>
            <w:r w:rsidRPr="00B666B6">
              <w:rPr>
                <w:b/>
                <w:sz w:val="28"/>
                <w:szCs w:val="28"/>
                <w:lang w:val="uk-UA"/>
              </w:rPr>
              <w:t xml:space="preserve"> вважати статтями </w:t>
            </w:r>
            <w:r w:rsidR="00B666B6" w:rsidRPr="00B666B6">
              <w:rPr>
                <w:b/>
                <w:sz w:val="28"/>
                <w:szCs w:val="28"/>
                <w:lang w:val="uk-UA"/>
              </w:rPr>
              <w:t>19</w:t>
            </w:r>
            <w:r w:rsidRPr="00B666B6">
              <w:rPr>
                <w:b/>
                <w:sz w:val="28"/>
                <w:szCs w:val="28"/>
                <w:lang w:val="uk-UA"/>
              </w:rPr>
              <w:t>-</w:t>
            </w:r>
            <w:r w:rsidR="00B666B6" w:rsidRPr="00B666B6">
              <w:rPr>
                <w:b/>
                <w:sz w:val="28"/>
                <w:szCs w:val="28"/>
                <w:lang w:val="uk-UA"/>
              </w:rPr>
              <w:t>33</w:t>
            </w:r>
            <w:r w:rsidRPr="00B666B6">
              <w:rPr>
                <w:b/>
                <w:sz w:val="28"/>
                <w:szCs w:val="28"/>
                <w:lang w:val="uk-UA"/>
              </w:rPr>
              <w:t xml:space="preserve"> відповідно</w:t>
            </w:r>
          </w:p>
        </w:tc>
        <w:tc>
          <w:tcPr>
            <w:tcW w:w="7938" w:type="dxa"/>
            <w:tcBorders>
              <w:top w:val="single" w:sz="4" w:space="0" w:color="auto"/>
              <w:left w:val="single" w:sz="4" w:space="0" w:color="auto"/>
              <w:bottom w:val="single" w:sz="4" w:space="0" w:color="auto"/>
              <w:right w:val="single" w:sz="4" w:space="0" w:color="auto"/>
            </w:tcBorders>
          </w:tcPr>
          <w:p w:rsidR="00215F29" w:rsidRPr="004C70A3" w:rsidRDefault="00215F29" w:rsidP="00A37F81">
            <w:pPr>
              <w:ind w:firstLine="708"/>
              <w:jc w:val="both"/>
              <w:rPr>
                <w:b/>
                <w:sz w:val="28"/>
                <w:szCs w:val="28"/>
                <w:lang w:val="uk-UA"/>
              </w:rPr>
            </w:pPr>
          </w:p>
        </w:tc>
      </w:tr>
      <w:tr w:rsidR="00052E57" w:rsidRPr="004B380B" w:rsidTr="00414400">
        <w:trPr>
          <w:trHeight w:val="265"/>
        </w:trPr>
        <w:tc>
          <w:tcPr>
            <w:tcW w:w="7967" w:type="dxa"/>
            <w:tcBorders>
              <w:top w:val="single" w:sz="4" w:space="0" w:color="auto"/>
              <w:left w:val="single" w:sz="4" w:space="0" w:color="auto"/>
              <w:bottom w:val="single" w:sz="4" w:space="0" w:color="auto"/>
              <w:right w:val="single" w:sz="4" w:space="0" w:color="auto"/>
            </w:tcBorders>
          </w:tcPr>
          <w:p w:rsidR="00052E57" w:rsidRPr="00B666B6" w:rsidRDefault="00052E57" w:rsidP="00B666B6">
            <w:pPr>
              <w:pStyle w:val="rvps2"/>
              <w:spacing w:before="0" w:beforeAutospacing="0" w:after="150" w:afterAutospacing="0"/>
              <w:ind w:firstLine="450"/>
              <w:jc w:val="both"/>
              <w:rPr>
                <w:b/>
                <w:sz w:val="28"/>
                <w:szCs w:val="28"/>
                <w:lang w:val="uk-UA"/>
              </w:rPr>
            </w:pPr>
            <w:r>
              <w:rPr>
                <w:b/>
                <w:color w:val="000000"/>
                <w:sz w:val="28"/>
                <w:szCs w:val="28"/>
                <w:lang w:val="uk-UA"/>
              </w:rPr>
              <w:t>Положення відсутні</w:t>
            </w:r>
          </w:p>
        </w:tc>
        <w:tc>
          <w:tcPr>
            <w:tcW w:w="7938" w:type="dxa"/>
            <w:tcBorders>
              <w:top w:val="single" w:sz="4" w:space="0" w:color="auto"/>
              <w:left w:val="single" w:sz="4" w:space="0" w:color="auto"/>
              <w:bottom w:val="single" w:sz="4" w:space="0" w:color="auto"/>
              <w:right w:val="single" w:sz="4" w:space="0" w:color="auto"/>
            </w:tcBorders>
          </w:tcPr>
          <w:p w:rsidR="00052E57" w:rsidRPr="004C70A3" w:rsidRDefault="00052E57" w:rsidP="00A37F81">
            <w:pPr>
              <w:ind w:firstLine="708"/>
              <w:jc w:val="both"/>
              <w:rPr>
                <w:b/>
                <w:sz w:val="28"/>
                <w:szCs w:val="28"/>
                <w:lang w:val="uk-UA"/>
              </w:rPr>
            </w:pPr>
            <w:r w:rsidRPr="004C70A3">
              <w:rPr>
                <w:b/>
                <w:sz w:val="28"/>
                <w:szCs w:val="28"/>
                <w:lang w:val="uk-UA"/>
              </w:rPr>
              <w:t xml:space="preserve">Стаття </w:t>
            </w:r>
            <w:r w:rsidRPr="00052E57">
              <w:rPr>
                <w:b/>
                <w:sz w:val="28"/>
                <w:szCs w:val="28"/>
                <w:lang w:val="uk-UA"/>
              </w:rPr>
              <w:t>34. Установити, що фінансування видатків за бюджетними програмами «Державна підтримка підприємств на погашення заборгованості за електричну енергію, яка утворилася на оптовому ринку електричної енергії, у зв’язку з постачанням до 30 квітня 2015 року (включно) електричної енергії споживачам на тимчасово окупованих територіях Донецької та Луганської областей», «Державна підтримка підприємств вугільної промисловості на погашення заборгованості за спожиту електричну енергію» та «Субвенція з державного бюджету обласному бюджету Донецької та Луганської областей на погашення заборгованості за електричну енергію підприємствами водопостачання, що знаходяться або постачають послуги на тимчасово окупованій території Донецької та Луганської областей» здійснюється відповідно до Закону України «Про заходи, спрямовані на погашення заборгованості, що утворилася на оптовому ринку електричної енергії» та в порядках, затверджен</w:t>
            </w:r>
            <w:r>
              <w:rPr>
                <w:b/>
                <w:sz w:val="28"/>
                <w:szCs w:val="28"/>
                <w:lang w:val="uk-UA"/>
              </w:rPr>
              <w:t>их Кабінетом Міністрів України.</w:t>
            </w:r>
          </w:p>
        </w:tc>
      </w:tr>
    </w:tbl>
    <w:p w:rsidR="00027964" w:rsidRDefault="00027964" w:rsidP="00027964">
      <w:pPr>
        <w:rPr>
          <w:sz w:val="28"/>
          <w:szCs w:val="28"/>
          <w:lang w:val="uk-UA"/>
        </w:rPr>
      </w:pPr>
    </w:p>
    <w:sectPr w:rsidR="00027964" w:rsidSect="00D27DEE">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E0224"/>
    <w:multiLevelType w:val="multilevel"/>
    <w:tmpl w:val="BC942FEA"/>
    <w:lvl w:ilvl="0">
      <w:start w:val="1"/>
      <w:numFmt w:val="decimal"/>
      <w:lvlText w:val="%1."/>
      <w:lvlJc w:val="left"/>
      <w:pPr>
        <w:ind w:left="420" w:hanging="420"/>
      </w:pPr>
      <w:rPr>
        <w:rFonts w:cs="Times New Roman"/>
      </w:rPr>
    </w:lvl>
    <w:lvl w:ilvl="1">
      <w:start w:val="1"/>
      <w:numFmt w:val="decimal"/>
      <w:lvlText w:val="%1.%2."/>
      <w:lvlJc w:val="left"/>
      <w:pPr>
        <w:ind w:left="1129"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9B"/>
    <w:rsid w:val="00002D75"/>
    <w:rsid w:val="000032E6"/>
    <w:rsid w:val="00012E75"/>
    <w:rsid w:val="00027964"/>
    <w:rsid w:val="00052E57"/>
    <w:rsid w:val="00067198"/>
    <w:rsid w:val="000A69B5"/>
    <w:rsid w:val="00136050"/>
    <w:rsid w:val="00193EE3"/>
    <w:rsid w:val="001A0D9B"/>
    <w:rsid w:val="001D6D5B"/>
    <w:rsid w:val="00213483"/>
    <w:rsid w:val="00215F29"/>
    <w:rsid w:val="00333B56"/>
    <w:rsid w:val="00382137"/>
    <w:rsid w:val="0038770F"/>
    <w:rsid w:val="00414400"/>
    <w:rsid w:val="00431D7F"/>
    <w:rsid w:val="00435E46"/>
    <w:rsid w:val="0044657A"/>
    <w:rsid w:val="00446FCA"/>
    <w:rsid w:val="00462843"/>
    <w:rsid w:val="004B380B"/>
    <w:rsid w:val="004C70A3"/>
    <w:rsid w:val="004E7C74"/>
    <w:rsid w:val="005212D1"/>
    <w:rsid w:val="0052731C"/>
    <w:rsid w:val="0057172C"/>
    <w:rsid w:val="00622FA5"/>
    <w:rsid w:val="00695222"/>
    <w:rsid w:val="0069668D"/>
    <w:rsid w:val="006B504B"/>
    <w:rsid w:val="007116B8"/>
    <w:rsid w:val="00725D6E"/>
    <w:rsid w:val="00727F86"/>
    <w:rsid w:val="00771868"/>
    <w:rsid w:val="00781F8E"/>
    <w:rsid w:val="007B3EC5"/>
    <w:rsid w:val="007D4D85"/>
    <w:rsid w:val="007E3594"/>
    <w:rsid w:val="0086571D"/>
    <w:rsid w:val="008A0FF4"/>
    <w:rsid w:val="008C66FB"/>
    <w:rsid w:val="00911847"/>
    <w:rsid w:val="009625FD"/>
    <w:rsid w:val="009731AD"/>
    <w:rsid w:val="00A16101"/>
    <w:rsid w:val="00A37F81"/>
    <w:rsid w:val="00A46FB6"/>
    <w:rsid w:val="00A91809"/>
    <w:rsid w:val="00AD4FE6"/>
    <w:rsid w:val="00AD6301"/>
    <w:rsid w:val="00B42063"/>
    <w:rsid w:val="00B666B6"/>
    <w:rsid w:val="00BB6867"/>
    <w:rsid w:val="00BC4061"/>
    <w:rsid w:val="00C3581B"/>
    <w:rsid w:val="00C85DC1"/>
    <w:rsid w:val="00CD3122"/>
    <w:rsid w:val="00CD521A"/>
    <w:rsid w:val="00CE1B49"/>
    <w:rsid w:val="00D27DEE"/>
    <w:rsid w:val="00D7761F"/>
    <w:rsid w:val="00D90337"/>
    <w:rsid w:val="00DA1B98"/>
    <w:rsid w:val="00E14A30"/>
    <w:rsid w:val="00E53C9F"/>
    <w:rsid w:val="00EE5B2B"/>
    <w:rsid w:val="00FA1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5C2A2-C8CF-417B-915A-CD05E240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9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027964"/>
    <w:pPr>
      <w:spacing w:before="120"/>
      <w:ind w:firstLine="567"/>
      <w:jc w:val="both"/>
    </w:pPr>
    <w:rPr>
      <w:rFonts w:ascii="Antiqua" w:hAnsi="Antiqua"/>
      <w:sz w:val="26"/>
      <w:szCs w:val="20"/>
      <w:lang w:val="uk-UA"/>
    </w:rPr>
  </w:style>
  <w:style w:type="paragraph" w:customStyle="1" w:styleId="rvps2">
    <w:name w:val="rvps2"/>
    <w:basedOn w:val="a"/>
    <w:rsid w:val="00027964"/>
    <w:pPr>
      <w:spacing w:before="100" w:beforeAutospacing="1" w:after="100" w:afterAutospacing="1"/>
    </w:pPr>
  </w:style>
  <w:style w:type="character" w:customStyle="1" w:styleId="rvts9">
    <w:name w:val="rvts9"/>
    <w:basedOn w:val="a0"/>
    <w:rsid w:val="00027964"/>
  </w:style>
  <w:style w:type="character" w:styleId="a4">
    <w:name w:val="Hyperlink"/>
    <w:basedOn w:val="a0"/>
    <w:uiPriority w:val="99"/>
    <w:semiHidden/>
    <w:unhideWhenUsed/>
    <w:rsid w:val="00027964"/>
    <w:rPr>
      <w:color w:val="0000FF"/>
      <w:u w:val="single"/>
    </w:rPr>
  </w:style>
  <w:style w:type="character" w:customStyle="1" w:styleId="rvts0">
    <w:name w:val="rvts0"/>
    <w:basedOn w:val="a0"/>
    <w:rsid w:val="007116B8"/>
  </w:style>
  <w:style w:type="paragraph" w:styleId="a5">
    <w:name w:val="Balloon Text"/>
    <w:basedOn w:val="a"/>
    <w:link w:val="a6"/>
    <w:uiPriority w:val="99"/>
    <w:semiHidden/>
    <w:unhideWhenUsed/>
    <w:rsid w:val="00D90337"/>
    <w:rPr>
      <w:rFonts w:ascii="Segoe UI" w:hAnsi="Segoe UI" w:cs="Segoe UI"/>
      <w:sz w:val="18"/>
      <w:szCs w:val="18"/>
    </w:rPr>
  </w:style>
  <w:style w:type="character" w:customStyle="1" w:styleId="a6">
    <w:name w:val="Текст у виносці Знак"/>
    <w:basedOn w:val="a0"/>
    <w:link w:val="a5"/>
    <w:uiPriority w:val="99"/>
    <w:semiHidden/>
    <w:rsid w:val="00D9033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84363">
      <w:bodyDiv w:val="1"/>
      <w:marLeft w:val="0"/>
      <w:marRight w:val="0"/>
      <w:marTop w:val="0"/>
      <w:marBottom w:val="0"/>
      <w:divBdr>
        <w:top w:val="none" w:sz="0" w:space="0" w:color="auto"/>
        <w:left w:val="none" w:sz="0" w:space="0" w:color="auto"/>
        <w:bottom w:val="none" w:sz="0" w:space="0" w:color="auto"/>
        <w:right w:val="none" w:sz="0" w:space="0" w:color="auto"/>
      </w:divBdr>
    </w:div>
    <w:div w:id="788865165">
      <w:bodyDiv w:val="1"/>
      <w:marLeft w:val="0"/>
      <w:marRight w:val="0"/>
      <w:marTop w:val="0"/>
      <w:marBottom w:val="0"/>
      <w:divBdr>
        <w:top w:val="none" w:sz="0" w:space="0" w:color="auto"/>
        <w:left w:val="none" w:sz="0" w:space="0" w:color="auto"/>
        <w:bottom w:val="none" w:sz="0" w:space="0" w:color="auto"/>
        <w:right w:val="none" w:sz="0" w:space="0" w:color="auto"/>
      </w:divBdr>
    </w:div>
    <w:div w:id="848060170">
      <w:bodyDiv w:val="1"/>
      <w:marLeft w:val="0"/>
      <w:marRight w:val="0"/>
      <w:marTop w:val="0"/>
      <w:marBottom w:val="0"/>
      <w:divBdr>
        <w:top w:val="none" w:sz="0" w:space="0" w:color="auto"/>
        <w:left w:val="none" w:sz="0" w:space="0" w:color="auto"/>
        <w:bottom w:val="none" w:sz="0" w:space="0" w:color="auto"/>
        <w:right w:val="none" w:sz="0" w:space="0" w:color="auto"/>
      </w:divBdr>
    </w:div>
    <w:div w:id="987972820">
      <w:bodyDiv w:val="1"/>
      <w:marLeft w:val="0"/>
      <w:marRight w:val="0"/>
      <w:marTop w:val="0"/>
      <w:marBottom w:val="0"/>
      <w:divBdr>
        <w:top w:val="none" w:sz="0" w:space="0" w:color="auto"/>
        <w:left w:val="none" w:sz="0" w:space="0" w:color="auto"/>
        <w:bottom w:val="none" w:sz="0" w:space="0" w:color="auto"/>
        <w:right w:val="none" w:sz="0" w:space="0" w:color="auto"/>
      </w:divBdr>
    </w:div>
    <w:div w:id="1310551731">
      <w:bodyDiv w:val="1"/>
      <w:marLeft w:val="0"/>
      <w:marRight w:val="0"/>
      <w:marTop w:val="0"/>
      <w:marBottom w:val="0"/>
      <w:divBdr>
        <w:top w:val="none" w:sz="0" w:space="0" w:color="auto"/>
        <w:left w:val="none" w:sz="0" w:space="0" w:color="auto"/>
        <w:bottom w:val="none" w:sz="0" w:space="0" w:color="auto"/>
        <w:right w:val="none" w:sz="0" w:space="0" w:color="auto"/>
      </w:divBdr>
    </w:div>
    <w:div w:id="1391221830">
      <w:bodyDiv w:val="1"/>
      <w:marLeft w:val="0"/>
      <w:marRight w:val="0"/>
      <w:marTop w:val="0"/>
      <w:marBottom w:val="0"/>
      <w:divBdr>
        <w:top w:val="none" w:sz="0" w:space="0" w:color="auto"/>
        <w:left w:val="none" w:sz="0" w:space="0" w:color="auto"/>
        <w:bottom w:val="none" w:sz="0" w:space="0" w:color="auto"/>
        <w:right w:val="none" w:sz="0" w:space="0" w:color="auto"/>
      </w:divBdr>
    </w:div>
    <w:div w:id="1653832730">
      <w:bodyDiv w:val="1"/>
      <w:marLeft w:val="0"/>
      <w:marRight w:val="0"/>
      <w:marTop w:val="0"/>
      <w:marBottom w:val="0"/>
      <w:divBdr>
        <w:top w:val="none" w:sz="0" w:space="0" w:color="auto"/>
        <w:left w:val="none" w:sz="0" w:space="0" w:color="auto"/>
        <w:bottom w:val="none" w:sz="0" w:space="0" w:color="auto"/>
        <w:right w:val="none" w:sz="0" w:space="0" w:color="auto"/>
      </w:divBdr>
    </w:div>
    <w:div w:id="171692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55CD-E5A8-4F36-9F98-34CA75C54A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37B247-E3AD-4198-B296-3009B8284F52}">
  <ds:schemaRefs>
    <ds:schemaRef ds:uri="http://schemas.microsoft.com/sharepoint/v3/contenttype/forms"/>
  </ds:schemaRefs>
</ds:datastoreItem>
</file>

<file path=customXml/itemProps3.xml><?xml version="1.0" encoding="utf-8"?>
<ds:datastoreItem xmlns:ds="http://schemas.openxmlformats.org/officeDocument/2006/customXml" ds:itemID="{7BA3EA4D-0342-4B89-BFC2-C60F277BF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20D5E0-10A9-4174-BE25-E6ADA348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2231</Words>
  <Characters>1272</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2020-05-12T07:38:00Z</dcterms:created>
  <dcterms:modified xsi:type="dcterms:W3CDTF">2020-05-12T07:38:00Z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