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A2" w:rsidRPr="00A266B0" w:rsidRDefault="00EF2DA2" w:rsidP="008B3167">
      <w:pPr>
        <w:pStyle w:val="a3"/>
        <w:spacing w:before="0"/>
        <w:ind w:firstLine="539"/>
        <w:rPr>
          <w:rFonts w:ascii="Times New Roman" w:hAnsi="Times New Roman"/>
          <w:sz w:val="28"/>
          <w:szCs w:val="28"/>
          <w:lang w:val="uk-UA"/>
        </w:rPr>
      </w:pPr>
    </w:p>
    <w:p w:rsidR="004D563F" w:rsidRDefault="004D563F" w:rsidP="008B3167">
      <w:pPr>
        <w:ind w:firstLine="748"/>
        <w:jc w:val="center"/>
        <w:rPr>
          <w:sz w:val="24"/>
          <w:lang w:val="uk-UA"/>
        </w:rPr>
      </w:pPr>
    </w:p>
    <w:p w:rsidR="004D563F" w:rsidRDefault="004D563F" w:rsidP="008B3167">
      <w:pPr>
        <w:ind w:firstLine="748"/>
        <w:jc w:val="center"/>
        <w:rPr>
          <w:sz w:val="24"/>
          <w:lang w:val="uk-UA"/>
        </w:rPr>
      </w:pPr>
    </w:p>
    <w:p w:rsidR="00237777" w:rsidRPr="00A266B0" w:rsidRDefault="00237777" w:rsidP="008B3167">
      <w:pPr>
        <w:ind w:firstLine="748"/>
        <w:jc w:val="center"/>
        <w:rPr>
          <w:sz w:val="24"/>
          <w:lang w:val="uk-UA"/>
        </w:rPr>
      </w:pPr>
    </w:p>
    <w:p w:rsidR="008B6F4A" w:rsidRDefault="008B6F4A" w:rsidP="008B3167">
      <w:pPr>
        <w:ind w:firstLine="748"/>
        <w:jc w:val="center"/>
        <w:rPr>
          <w:sz w:val="24"/>
          <w:lang w:val="uk-UA"/>
        </w:rPr>
      </w:pPr>
    </w:p>
    <w:p w:rsidR="008E351E" w:rsidRDefault="008E351E" w:rsidP="008B3167">
      <w:pPr>
        <w:ind w:firstLine="748"/>
        <w:jc w:val="center"/>
        <w:rPr>
          <w:sz w:val="24"/>
          <w:lang w:val="uk-UA"/>
        </w:rPr>
      </w:pPr>
    </w:p>
    <w:p w:rsidR="008E351E" w:rsidRPr="00A266B0" w:rsidRDefault="008E351E" w:rsidP="008B3167">
      <w:pPr>
        <w:ind w:firstLine="748"/>
        <w:jc w:val="center"/>
        <w:rPr>
          <w:sz w:val="24"/>
          <w:lang w:val="uk-UA"/>
        </w:rPr>
      </w:pPr>
    </w:p>
    <w:p w:rsidR="00EF2DA2" w:rsidRPr="00A266B0" w:rsidRDefault="00EF2DA2" w:rsidP="008B3167">
      <w:pPr>
        <w:ind w:firstLine="748"/>
        <w:jc w:val="center"/>
        <w:rPr>
          <w:sz w:val="24"/>
          <w:lang w:val="uk-UA"/>
        </w:rPr>
      </w:pPr>
    </w:p>
    <w:p w:rsidR="00EF2DA2" w:rsidRPr="00A266B0" w:rsidRDefault="00EF2DA2" w:rsidP="008B3167">
      <w:pPr>
        <w:jc w:val="center"/>
        <w:rPr>
          <w:b/>
          <w:lang w:val="uk-UA"/>
        </w:rPr>
      </w:pPr>
      <w:r w:rsidRPr="00A266B0">
        <w:rPr>
          <w:b/>
          <w:lang w:val="uk-UA"/>
        </w:rPr>
        <w:t>ВИСНОВОК</w:t>
      </w:r>
    </w:p>
    <w:p w:rsidR="00090687" w:rsidRPr="00A266B0" w:rsidRDefault="00EF2DA2" w:rsidP="008B3167">
      <w:pPr>
        <w:tabs>
          <w:tab w:val="left" w:pos="2700"/>
        </w:tabs>
        <w:jc w:val="center"/>
        <w:rPr>
          <w:b/>
          <w:lang w:val="uk-UA"/>
        </w:rPr>
      </w:pPr>
      <w:r w:rsidRPr="00A266B0">
        <w:rPr>
          <w:b/>
          <w:lang w:val="uk-UA"/>
        </w:rPr>
        <w:t>на проект Закону України</w:t>
      </w:r>
      <w:r w:rsidR="00090687" w:rsidRPr="00A266B0">
        <w:rPr>
          <w:b/>
          <w:lang w:val="uk-UA"/>
        </w:rPr>
        <w:t xml:space="preserve"> </w:t>
      </w:r>
    </w:p>
    <w:p w:rsidR="00EF2DA2" w:rsidRPr="00A266B0" w:rsidRDefault="00EF2DA2" w:rsidP="008B3167">
      <w:pPr>
        <w:tabs>
          <w:tab w:val="left" w:pos="2700"/>
        </w:tabs>
        <w:jc w:val="center"/>
        <w:rPr>
          <w:b/>
          <w:lang w:val="uk-UA"/>
        </w:rPr>
      </w:pPr>
      <w:r w:rsidRPr="00A266B0">
        <w:rPr>
          <w:b/>
          <w:lang w:val="uk-UA"/>
        </w:rPr>
        <w:t>«</w:t>
      </w:r>
      <w:r w:rsidR="00BF485D" w:rsidRPr="00A266B0">
        <w:rPr>
          <w:b/>
          <w:lang w:val="uk-UA"/>
        </w:rPr>
        <w:t>Про меценатство у фізичній культурі і спорті</w:t>
      </w:r>
      <w:r w:rsidRPr="00A266B0">
        <w:rPr>
          <w:b/>
          <w:lang w:val="uk-UA"/>
        </w:rPr>
        <w:t xml:space="preserve">» </w:t>
      </w:r>
    </w:p>
    <w:p w:rsidR="00EF2DA2" w:rsidRPr="00A266B0" w:rsidRDefault="00EF2DA2" w:rsidP="008B3167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3681" w:rsidRPr="00A266B0" w:rsidRDefault="006D3681" w:rsidP="008B3167">
      <w:pPr>
        <w:ind w:firstLine="720"/>
        <w:jc w:val="both"/>
        <w:rPr>
          <w:b/>
          <w:bCs/>
          <w:szCs w:val="28"/>
          <w:lang w:val="uk-UA"/>
        </w:rPr>
      </w:pPr>
      <w:r w:rsidRPr="00A266B0">
        <w:rPr>
          <w:szCs w:val="28"/>
          <w:lang w:val="uk-UA"/>
        </w:rPr>
        <w:t xml:space="preserve">У поданому законопроекті пропонується на законодавчому рівні визначити основні правові, економічні, соціальні засади меценатства у спорті та врегулювати відносини у сфері спорту, </w:t>
      </w:r>
      <w:r w:rsidR="002124C5" w:rsidRPr="00A266B0">
        <w:rPr>
          <w:szCs w:val="28"/>
          <w:lang w:val="uk-UA"/>
        </w:rPr>
        <w:t xml:space="preserve">які </w:t>
      </w:r>
      <w:r w:rsidRPr="00A266B0">
        <w:rPr>
          <w:szCs w:val="28"/>
          <w:lang w:val="uk-UA"/>
        </w:rPr>
        <w:t>спрямован</w:t>
      </w:r>
      <w:r w:rsidR="002124C5" w:rsidRPr="00A266B0">
        <w:rPr>
          <w:szCs w:val="28"/>
          <w:lang w:val="uk-UA"/>
        </w:rPr>
        <w:t>і</w:t>
      </w:r>
      <w:r w:rsidRPr="00A266B0">
        <w:rPr>
          <w:szCs w:val="28"/>
          <w:lang w:val="uk-UA"/>
        </w:rPr>
        <w:t xml:space="preserve"> на розвиток меценатської діяльності, створення сприятливих умов для розвитку спорту, збереження здоров’я нації</w:t>
      </w:r>
      <w:r w:rsidR="006F251C" w:rsidRPr="00A266B0">
        <w:rPr>
          <w:szCs w:val="28"/>
          <w:lang w:val="uk-UA"/>
        </w:rPr>
        <w:t>.</w:t>
      </w:r>
    </w:p>
    <w:p w:rsidR="006D3681" w:rsidRPr="003314D7" w:rsidRDefault="00A07A32" w:rsidP="008B3167">
      <w:pPr>
        <w:ind w:firstLine="720"/>
        <w:jc w:val="both"/>
        <w:rPr>
          <w:szCs w:val="28"/>
          <w:lang w:val="uk-UA"/>
        </w:rPr>
      </w:pPr>
      <w:r w:rsidRPr="003314D7">
        <w:rPr>
          <w:szCs w:val="28"/>
          <w:lang w:val="uk-UA"/>
        </w:rPr>
        <w:t xml:space="preserve">Відповідно до п. 6 </w:t>
      </w:r>
      <w:r w:rsidR="009917FB" w:rsidRPr="003314D7">
        <w:rPr>
          <w:szCs w:val="28"/>
          <w:lang w:val="uk-UA"/>
        </w:rPr>
        <w:t>п</w:t>
      </w:r>
      <w:r w:rsidR="006D3681" w:rsidRPr="003314D7">
        <w:rPr>
          <w:szCs w:val="28"/>
          <w:lang w:val="uk-UA"/>
        </w:rPr>
        <w:t>ояснювальн</w:t>
      </w:r>
      <w:r w:rsidRPr="003314D7">
        <w:rPr>
          <w:szCs w:val="28"/>
          <w:lang w:val="uk-UA"/>
        </w:rPr>
        <w:t xml:space="preserve">ої </w:t>
      </w:r>
      <w:r w:rsidR="006D3681" w:rsidRPr="003314D7">
        <w:rPr>
          <w:szCs w:val="28"/>
          <w:lang w:val="uk-UA"/>
        </w:rPr>
        <w:t>запис</w:t>
      </w:r>
      <w:r w:rsidRPr="003314D7">
        <w:rPr>
          <w:szCs w:val="28"/>
          <w:lang w:val="uk-UA"/>
        </w:rPr>
        <w:t>ки</w:t>
      </w:r>
      <w:r w:rsidR="006D3681" w:rsidRPr="003314D7">
        <w:rPr>
          <w:szCs w:val="28"/>
          <w:lang w:val="uk-UA"/>
        </w:rPr>
        <w:t xml:space="preserve"> до проекту </w:t>
      </w:r>
      <w:r w:rsidR="00A8329B" w:rsidRPr="003314D7">
        <w:rPr>
          <w:szCs w:val="28"/>
          <w:lang w:val="uk-UA"/>
        </w:rPr>
        <w:t>З</w:t>
      </w:r>
      <w:r w:rsidR="006D3681" w:rsidRPr="003314D7">
        <w:rPr>
          <w:szCs w:val="28"/>
          <w:lang w:val="uk-UA"/>
        </w:rPr>
        <w:t>акону він сприятиме розв</w:t>
      </w:r>
      <w:r w:rsidR="005E63E8" w:rsidRPr="003314D7">
        <w:rPr>
          <w:szCs w:val="28"/>
          <w:lang w:val="uk-UA"/>
        </w:rPr>
        <w:t>итку фізичної культури і спорту та</w:t>
      </w:r>
      <w:r w:rsidR="006D3681" w:rsidRPr="003314D7">
        <w:rPr>
          <w:szCs w:val="28"/>
          <w:lang w:val="uk-UA"/>
        </w:rPr>
        <w:t xml:space="preserve"> пошуку додаткових джерел фінансування спорту в умовах обмеженого бюджетного фінансування та врегулює на законодавчому рівні права меценатів спорту</w:t>
      </w:r>
      <w:r w:rsidR="006D3681" w:rsidRPr="003314D7">
        <w:rPr>
          <w:bCs/>
          <w:color w:val="000000"/>
          <w:szCs w:val="28"/>
          <w:lang w:val="uk-UA" w:eastAsia="uk-UA"/>
        </w:rPr>
        <w:t>.</w:t>
      </w:r>
    </w:p>
    <w:p w:rsidR="006D3681" w:rsidRPr="003314D7" w:rsidRDefault="006D3681" w:rsidP="008B3167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314D7">
        <w:rPr>
          <w:sz w:val="28"/>
          <w:szCs w:val="28"/>
          <w:lang w:val="uk-UA"/>
        </w:rPr>
        <w:t>За результатами аналізу законопроекту Головне управління вважає за доцільне висловити щодо нього такі зауваження і пропозиції.</w:t>
      </w:r>
    </w:p>
    <w:p w:rsidR="00BF485D" w:rsidRPr="003314D7" w:rsidRDefault="006D3681" w:rsidP="008B3167">
      <w:pPr>
        <w:ind w:firstLine="720"/>
        <w:jc w:val="both"/>
        <w:rPr>
          <w:szCs w:val="28"/>
          <w:lang w:val="uk-UA"/>
        </w:rPr>
      </w:pPr>
      <w:r w:rsidRPr="003314D7">
        <w:rPr>
          <w:b/>
          <w:bCs/>
          <w:kern w:val="32"/>
          <w:szCs w:val="28"/>
          <w:lang w:val="uk-UA"/>
        </w:rPr>
        <w:t xml:space="preserve">1. </w:t>
      </w:r>
      <w:r w:rsidR="00BF485D" w:rsidRPr="003314D7">
        <w:rPr>
          <w:bCs/>
          <w:kern w:val="32"/>
          <w:szCs w:val="28"/>
          <w:lang w:val="uk-UA"/>
        </w:rPr>
        <w:t>Насамперед необхідно зазначити, що п</w:t>
      </w:r>
      <w:r w:rsidR="00BF485D" w:rsidRPr="003314D7">
        <w:rPr>
          <w:szCs w:val="28"/>
          <w:lang w:val="uk-UA"/>
        </w:rPr>
        <w:t>рийняття нових первинних законодавчих актів доцільно здійснювати лише у випадках виникнення чи виділення певної самостійної сфери суспільних відносин, що не врегульована (недостатньо чи недосконало врегульована) існуючими нормами права. При цьому</w:t>
      </w:r>
      <w:r w:rsidR="008E351E" w:rsidRPr="003314D7">
        <w:rPr>
          <w:szCs w:val="28"/>
          <w:lang w:val="uk-UA"/>
        </w:rPr>
        <w:t>,</w:t>
      </w:r>
      <w:r w:rsidR="00BF485D" w:rsidRPr="003314D7">
        <w:rPr>
          <w:szCs w:val="28"/>
          <w:lang w:val="uk-UA"/>
        </w:rPr>
        <w:t xml:space="preserve"> для врегулювання такої сфери відносин має існувати потреба у прийнятті нових законодавчих норм. Запропонований законопроект, на думку </w:t>
      </w:r>
      <w:r w:rsidR="008E351E" w:rsidRPr="003314D7">
        <w:rPr>
          <w:szCs w:val="28"/>
          <w:lang w:val="uk-UA"/>
        </w:rPr>
        <w:t xml:space="preserve">Головного </w:t>
      </w:r>
      <w:r w:rsidR="00BF485D" w:rsidRPr="003314D7">
        <w:rPr>
          <w:szCs w:val="28"/>
          <w:lang w:val="uk-UA"/>
        </w:rPr>
        <w:t xml:space="preserve">управління, наведеним критеріям не відповідає. </w:t>
      </w:r>
    </w:p>
    <w:p w:rsidR="00EA3068" w:rsidRPr="00A266B0" w:rsidRDefault="00A266B0" w:rsidP="008B3167">
      <w:pPr>
        <w:ind w:firstLine="720"/>
        <w:jc w:val="both"/>
        <w:rPr>
          <w:szCs w:val="28"/>
          <w:lang w:val="uk-UA"/>
        </w:rPr>
      </w:pPr>
      <w:r w:rsidRPr="003314D7">
        <w:rPr>
          <w:szCs w:val="28"/>
          <w:lang w:val="uk-UA"/>
        </w:rPr>
        <w:t>А</w:t>
      </w:r>
      <w:r w:rsidR="00BF485D" w:rsidRPr="003314D7">
        <w:rPr>
          <w:szCs w:val="28"/>
          <w:lang w:val="uk-UA"/>
        </w:rPr>
        <w:t>наліз положень</w:t>
      </w:r>
      <w:r w:rsidR="00BF485D" w:rsidRPr="00A266B0">
        <w:rPr>
          <w:szCs w:val="28"/>
          <w:lang w:val="uk-UA"/>
        </w:rPr>
        <w:t xml:space="preserve"> законопроекту дає підстави стверджувати, що суспільні відносини, які пропонується врегулювати у ньому, вже</w:t>
      </w:r>
      <w:r w:rsidR="005E63E8" w:rsidRPr="00A266B0">
        <w:rPr>
          <w:szCs w:val="28"/>
          <w:lang w:val="uk-UA"/>
        </w:rPr>
        <w:t xml:space="preserve"> частково </w:t>
      </w:r>
      <w:r w:rsidR="00BF485D" w:rsidRPr="00A266B0">
        <w:rPr>
          <w:szCs w:val="28"/>
          <w:lang w:val="uk-UA"/>
        </w:rPr>
        <w:t>ре</w:t>
      </w:r>
      <w:r w:rsidR="00483672" w:rsidRPr="00A266B0">
        <w:rPr>
          <w:szCs w:val="28"/>
          <w:lang w:val="uk-UA"/>
        </w:rPr>
        <w:t xml:space="preserve">гулюються </w:t>
      </w:r>
      <w:r w:rsidR="003A4A44" w:rsidRPr="00A266B0">
        <w:rPr>
          <w:szCs w:val="28"/>
          <w:lang w:val="uk-UA"/>
        </w:rPr>
        <w:t xml:space="preserve">Цивільним та </w:t>
      </w:r>
      <w:r w:rsidR="005E63E8" w:rsidRPr="00A266B0">
        <w:rPr>
          <w:szCs w:val="28"/>
          <w:lang w:val="uk-UA"/>
        </w:rPr>
        <w:t>Податковим кодексами України, а також</w:t>
      </w:r>
      <w:r w:rsidR="00483672" w:rsidRPr="00A266B0">
        <w:rPr>
          <w:szCs w:val="28"/>
          <w:lang w:val="uk-UA"/>
        </w:rPr>
        <w:t xml:space="preserve"> </w:t>
      </w:r>
      <w:r w:rsidR="00BF485D" w:rsidRPr="00A266B0">
        <w:rPr>
          <w:szCs w:val="28"/>
          <w:lang w:val="uk-UA"/>
        </w:rPr>
        <w:t>законами України</w:t>
      </w:r>
      <w:r w:rsidRPr="00A266B0">
        <w:rPr>
          <w:szCs w:val="28"/>
          <w:lang w:val="uk-UA"/>
        </w:rPr>
        <w:t xml:space="preserve"> </w:t>
      </w:r>
      <w:r w:rsidR="00BF485D" w:rsidRPr="00A266B0">
        <w:rPr>
          <w:szCs w:val="28"/>
          <w:lang w:val="uk-UA"/>
        </w:rPr>
        <w:t>«</w:t>
      </w:r>
      <w:r w:rsidR="007063AB" w:rsidRPr="00A266B0">
        <w:rPr>
          <w:szCs w:val="28"/>
          <w:lang w:val="uk-UA"/>
        </w:rPr>
        <w:t>Про благодійну діяльність та благодійні організації</w:t>
      </w:r>
      <w:r w:rsidR="005E63E8" w:rsidRPr="00A266B0">
        <w:rPr>
          <w:szCs w:val="28"/>
          <w:lang w:val="uk-UA"/>
        </w:rPr>
        <w:t>»</w:t>
      </w:r>
      <w:r w:rsidR="00EA3068" w:rsidRPr="00A266B0">
        <w:rPr>
          <w:szCs w:val="28"/>
          <w:lang w:val="uk-UA"/>
        </w:rPr>
        <w:t>, «Про рекламу»</w:t>
      </w:r>
      <w:r w:rsidR="00C9317E" w:rsidRPr="00A266B0">
        <w:rPr>
          <w:szCs w:val="28"/>
          <w:lang w:val="uk-UA"/>
        </w:rPr>
        <w:t>,</w:t>
      </w:r>
      <w:r w:rsidR="005E63E8" w:rsidRPr="00A266B0">
        <w:rPr>
          <w:szCs w:val="28"/>
          <w:lang w:val="uk-UA"/>
        </w:rPr>
        <w:t xml:space="preserve"> «Про фізичну культуру і спорт»</w:t>
      </w:r>
      <w:r w:rsidR="00C9317E" w:rsidRPr="00A266B0">
        <w:rPr>
          <w:szCs w:val="28"/>
          <w:lang w:val="uk-UA"/>
        </w:rPr>
        <w:t>, «Про гуманітарну допомогу»</w:t>
      </w:r>
      <w:r w:rsidR="001E3D19" w:rsidRPr="00A266B0">
        <w:rPr>
          <w:szCs w:val="28"/>
          <w:lang w:val="uk-UA"/>
        </w:rPr>
        <w:t>,</w:t>
      </w:r>
      <w:r w:rsidR="00EA3068" w:rsidRPr="00A266B0">
        <w:rPr>
          <w:szCs w:val="28"/>
          <w:lang w:val="uk-UA"/>
        </w:rPr>
        <w:t xml:space="preserve"> </w:t>
      </w:r>
      <w:r w:rsidR="001E3D19" w:rsidRPr="00A266B0">
        <w:rPr>
          <w:rFonts w:eastAsia="Calibri"/>
          <w:color w:val="000000"/>
          <w:szCs w:val="28"/>
          <w:lang w:val="uk-UA" w:eastAsia="uk-UA"/>
        </w:rPr>
        <w:t>«Про державно-приватне партнерство».</w:t>
      </w:r>
    </w:p>
    <w:p w:rsidR="00F70E2B" w:rsidRPr="00A266B0" w:rsidRDefault="00EA3068" w:rsidP="008B3167">
      <w:pPr>
        <w:ind w:firstLine="720"/>
        <w:jc w:val="both"/>
        <w:rPr>
          <w:szCs w:val="28"/>
          <w:lang w:val="uk-UA"/>
        </w:rPr>
      </w:pPr>
      <w:r w:rsidRPr="00A266B0">
        <w:rPr>
          <w:szCs w:val="28"/>
          <w:lang w:val="uk-UA"/>
        </w:rPr>
        <w:t xml:space="preserve">Так, </w:t>
      </w:r>
      <w:r w:rsidR="0001396E" w:rsidRPr="00A266B0">
        <w:rPr>
          <w:szCs w:val="28"/>
          <w:lang w:val="uk-UA"/>
        </w:rPr>
        <w:t>відповідно до</w:t>
      </w:r>
      <w:r w:rsidR="00F70E2B" w:rsidRPr="00A266B0">
        <w:rPr>
          <w:szCs w:val="28"/>
          <w:lang w:val="uk-UA"/>
        </w:rPr>
        <w:t xml:space="preserve"> Закону України «Про благодійну діяльність та благодійні організації» </w:t>
      </w:r>
      <w:r w:rsidR="00F70E2B" w:rsidRPr="00A266B0">
        <w:rPr>
          <w:i/>
          <w:szCs w:val="28"/>
          <w:lang w:val="uk-UA"/>
        </w:rPr>
        <w:t>благодійна діяльність</w:t>
      </w:r>
      <w:r w:rsidR="00F70E2B" w:rsidRPr="00A266B0">
        <w:rPr>
          <w:szCs w:val="28"/>
          <w:lang w:val="uk-UA"/>
        </w:rPr>
        <w:t xml:space="preserve"> визначається як «добровільна особиста та/або майнова допомога </w:t>
      </w:r>
      <w:r w:rsidR="00F70E2B" w:rsidRPr="003314D7">
        <w:rPr>
          <w:szCs w:val="28"/>
          <w:lang w:val="uk-UA"/>
        </w:rPr>
        <w:t>для досягнення визначених цим Законом цілей, що не передбачає одержання благодійником прибутку, а також сплати будь-якої винагороди або компенсації благодійнику від імені або за дорученням бенефіціара</w:t>
      </w:r>
      <w:r w:rsidR="008B3167" w:rsidRPr="003314D7">
        <w:rPr>
          <w:szCs w:val="28"/>
          <w:lang w:val="uk-UA"/>
        </w:rPr>
        <w:t>»</w:t>
      </w:r>
      <w:r w:rsidR="00F70E2B" w:rsidRPr="003314D7">
        <w:rPr>
          <w:lang w:val="uk-UA"/>
        </w:rPr>
        <w:t xml:space="preserve"> (</w:t>
      </w:r>
      <w:r w:rsidR="00F70E2B" w:rsidRPr="003314D7">
        <w:rPr>
          <w:szCs w:val="28"/>
          <w:lang w:val="uk-UA"/>
        </w:rPr>
        <w:t>п. 2 ч. 1 ст. 1);</w:t>
      </w:r>
      <w:r w:rsidR="00F70E2B" w:rsidRPr="003314D7">
        <w:rPr>
          <w:i/>
          <w:szCs w:val="28"/>
          <w:lang w:val="uk-UA"/>
        </w:rPr>
        <w:t xml:space="preserve"> </w:t>
      </w:r>
      <w:r w:rsidR="00F70E2B" w:rsidRPr="003314D7">
        <w:rPr>
          <w:szCs w:val="28"/>
          <w:lang w:val="uk-UA"/>
        </w:rPr>
        <w:t xml:space="preserve">однією з сфер благодійної діяльності визначається </w:t>
      </w:r>
      <w:r w:rsidR="00F70E2B" w:rsidRPr="003314D7">
        <w:rPr>
          <w:i/>
          <w:szCs w:val="28"/>
          <w:lang w:val="uk-UA"/>
        </w:rPr>
        <w:t>спорт і фізична культура</w:t>
      </w:r>
      <w:r w:rsidR="00F70E2B" w:rsidRPr="00A266B0">
        <w:rPr>
          <w:i/>
          <w:szCs w:val="28"/>
          <w:lang w:val="uk-UA"/>
        </w:rPr>
        <w:t xml:space="preserve"> </w:t>
      </w:r>
      <w:r w:rsidR="00F70E2B" w:rsidRPr="00A266B0">
        <w:rPr>
          <w:szCs w:val="28"/>
          <w:lang w:val="uk-UA"/>
        </w:rPr>
        <w:t xml:space="preserve">(п. 9 ч. 2 ст. 3). </w:t>
      </w:r>
      <w:r w:rsidR="00F70E2B" w:rsidRPr="00A266B0">
        <w:rPr>
          <w:i/>
          <w:szCs w:val="28"/>
          <w:lang w:val="uk-UA"/>
        </w:rPr>
        <w:t>Меценатською діяльністю</w:t>
      </w:r>
      <w:r w:rsidR="00F70E2B" w:rsidRPr="00A266B0">
        <w:rPr>
          <w:szCs w:val="28"/>
          <w:lang w:val="uk-UA"/>
        </w:rPr>
        <w:t xml:space="preserve"> визнається благодійна діяльність у сферах освіти, культури та мистецтва, охорони культурної спадщини, науки і наукових досліджень, яка </w:t>
      </w:r>
      <w:r w:rsidR="00F70E2B" w:rsidRPr="00A266B0">
        <w:rPr>
          <w:szCs w:val="28"/>
          <w:lang w:val="uk-UA"/>
        </w:rPr>
        <w:lastRenderedPageBreak/>
        <w:t>здійснюється у порядку, визначеному цим Законом та іншими законами України (</w:t>
      </w:r>
      <w:r w:rsidR="0001396E" w:rsidRPr="00A266B0">
        <w:rPr>
          <w:szCs w:val="28"/>
          <w:lang w:val="uk-UA"/>
        </w:rPr>
        <w:t>п. 6 ч</w:t>
      </w:r>
      <w:r w:rsidR="00893E85" w:rsidRPr="00A266B0">
        <w:rPr>
          <w:szCs w:val="28"/>
          <w:lang w:val="uk-UA"/>
        </w:rPr>
        <w:t>. 1</w:t>
      </w:r>
      <w:r w:rsidR="0001396E" w:rsidRPr="00A266B0">
        <w:rPr>
          <w:szCs w:val="28"/>
          <w:lang w:val="uk-UA"/>
        </w:rPr>
        <w:t xml:space="preserve"> ст</w:t>
      </w:r>
      <w:r w:rsidR="00893E85" w:rsidRPr="00A266B0">
        <w:rPr>
          <w:szCs w:val="28"/>
          <w:lang w:val="uk-UA"/>
        </w:rPr>
        <w:t>.</w:t>
      </w:r>
      <w:r w:rsidR="0001396E" w:rsidRPr="00A266B0">
        <w:rPr>
          <w:szCs w:val="28"/>
          <w:lang w:val="uk-UA"/>
        </w:rPr>
        <w:t xml:space="preserve"> 1</w:t>
      </w:r>
      <w:r w:rsidR="00F70E2B" w:rsidRPr="00A266B0">
        <w:rPr>
          <w:szCs w:val="28"/>
          <w:lang w:val="uk-UA"/>
        </w:rPr>
        <w:t>).</w:t>
      </w:r>
      <w:r w:rsidRPr="00A266B0">
        <w:rPr>
          <w:szCs w:val="28"/>
          <w:lang w:val="uk-UA"/>
        </w:rPr>
        <w:t xml:space="preserve"> </w:t>
      </w:r>
    </w:p>
    <w:p w:rsidR="006F5827" w:rsidRPr="00A266B0" w:rsidRDefault="006F5827" w:rsidP="008B3167">
      <w:pPr>
        <w:ind w:firstLine="720"/>
        <w:jc w:val="both"/>
        <w:rPr>
          <w:szCs w:val="28"/>
          <w:lang w:val="uk-UA"/>
        </w:rPr>
      </w:pPr>
      <w:r w:rsidRPr="00A266B0">
        <w:rPr>
          <w:szCs w:val="28"/>
          <w:lang w:val="uk-UA"/>
        </w:rPr>
        <w:t xml:space="preserve">Відповідно до ч. 1 ст. 4 Закону України «Про фізичну культуру і спорт» державна політика у сфері фізичної культури і спорту </w:t>
      </w:r>
      <w:r w:rsidRPr="003314D7">
        <w:rPr>
          <w:szCs w:val="28"/>
          <w:lang w:val="uk-UA"/>
        </w:rPr>
        <w:t xml:space="preserve">ґрунтується, окрім іншого, на засадах заохочення благодійної діяльності у сфері фізичної культури і спорту. Відповідне положення знайшло свою деталізацію </w:t>
      </w:r>
      <w:r w:rsidR="008B3167" w:rsidRPr="003314D7">
        <w:rPr>
          <w:szCs w:val="28"/>
          <w:lang w:val="uk-UA"/>
        </w:rPr>
        <w:t>у</w:t>
      </w:r>
      <w:r w:rsidRPr="003314D7">
        <w:rPr>
          <w:szCs w:val="28"/>
          <w:lang w:val="uk-UA"/>
        </w:rPr>
        <w:t xml:space="preserve"> ст. 47 зазначеного Закону, згідно з якою «держава може надавати податкові пільги</w:t>
      </w:r>
      <w:r w:rsidRPr="00A266B0">
        <w:rPr>
          <w:szCs w:val="28"/>
          <w:lang w:val="uk-UA"/>
        </w:rPr>
        <w:t xml:space="preserve"> для юридичних та фізичних осіб (резидентів та нерезидентів), що здійснюють благодійну діяльність у сфері фізичної культури і спорту в порядку, визначеному законодавством» (ч. 5).</w:t>
      </w:r>
    </w:p>
    <w:p w:rsidR="00C9317E" w:rsidRPr="00A266B0" w:rsidRDefault="00C9317E" w:rsidP="008B3167">
      <w:pPr>
        <w:suppressAutoHyphens/>
        <w:ind w:firstLine="720"/>
        <w:jc w:val="both"/>
        <w:rPr>
          <w:color w:val="000000"/>
          <w:szCs w:val="28"/>
          <w:lang w:val="uk-UA"/>
        </w:rPr>
      </w:pPr>
      <w:r w:rsidRPr="00A266B0">
        <w:rPr>
          <w:szCs w:val="28"/>
          <w:lang w:val="uk-UA" w:eastAsia="zh-CN"/>
        </w:rPr>
        <w:t>Крім того, звертаємо увагу на те, що згідно з</w:t>
      </w:r>
      <w:r w:rsidR="006F5827" w:rsidRPr="00A266B0">
        <w:rPr>
          <w:szCs w:val="28"/>
          <w:lang w:val="uk-UA" w:eastAsia="zh-CN"/>
        </w:rPr>
        <w:t>і</w:t>
      </w:r>
      <w:r w:rsidRPr="00A266B0">
        <w:rPr>
          <w:szCs w:val="28"/>
          <w:lang w:val="uk-UA" w:eastAsia="zh-CN"/>
        </w:rPr>
        <w:t xml:space="preserve"> ст. 1 Закону України «Про гуманітарну допомогу» </w:t>
      </w:r>
      <w:r w:rsidRPr="00A266B0">
        <w:rPr>
          <w:i/>
          <w:szCs w:val="28"/>
          <w:lang w:val="uk-UA" w:eastAsia="zh-CN"/>
        </w:rPr>
        <w:t>гуманітарна допомога є різновидом благодійництва</w:t>
      </w:r>
      <w:r w:rsidRPr="00A266B0">
        <w:rPr>
          <w:szCs w:val="28"/>
          <w:lang w:val="uk-UA" w:eastAsia="zh-CN"/>
        </w:rPr>
        <w:t xml:space="preserve"> і має спрямовуватися відповідно до обставин, об’єктивних потреб, згоди її отримувачів та за умови дотримання вимог ст. 3 Закону України «Про благодійну діяльність та благодійні організації».</w:t>
      </w:r>
      <w:r w:rsidR="00773DE1" w:rsidRPr="00A266B0">
        <w:rPr>
          <w:szCs w:val="28"/>
          <w:lang w:val="uk-UA" w:eastAsia="zh-CN"/>
        </w:rPr>
        <w:t xml:space="preserve"> </w:t>
      </w:r>
      <w:r w:rsidRPr="00A266B0">
        <w:rPr>
          <w:szCs w:val="28"/>
          <w:lang w:val="uk-UA" w:eastAsia="zh-CN"/>
        </w:rPr>
        <w:t xml:space="preserve">У визначеннях термінів «гуманітарна допомога» та «отримувачі гуманітарної допомоги» (ст. 1 Закону України «Про гуманітарну допомогу») закладена можливість </w:t>
      </w:r>
      <w:r w:rsidRPr="00A266B0">
        <w:rPr>
          <w:color w:val="000000"/>
          <w:szCs w:val="28"/>
          <w:lang w:val="uk-UA"/>
        </w:rPr>
        <w:t xml:space="preserve">надання </w:t>
      </w:r>
      <w:r w:rsidRPr="00A266B0">
        <w:rPr>
          <w:i/>
          <w:iCs/>
          <w:color w:val="000000"/>
          <w:szCs w:val="28"/>
          <w:lang w:val="uk-UA"/>
        </w:rPr>
        <w:t>цільової адресної безоплатної допомоги в грошовій або натуральній формі, у вигляді безповоротної фінансової допомоги або добровільних пожертвувань, або допомоги у вигляді виконання робіт, надання послуг, що надається іноземними та вітчизняними донорами</w:t>
      </w:r>
      <w:r w:rsidRPr="00A266B0">
        <w:rPr>
          <w:color w:val="000000"/>
          <w:szCs w:val="28"/>
          <w:lang w:val="uk-UA"/>
        </w:rPr>
        <w:t xml:space="preserve"> підприємствам громадських організацій осіб з інвалідністю, ветеранів війни та праці, підприємствам, установам та організаціям, що утримуються за рахунок бюджетів, та уповноважених ним державним установам, громадським організаціям осіб з інвалідністю, громадським організаціям, створеним для здійснення передбаченої їх статутними документами оздоровчої, аматорської, </w:t>
      </w:r>
      <w:r w:rsidRPr="00A266B0">
        <w:rPr>
          <w:i/>
          <w:iCs/>
          <w:color w:val="000000"/>
          <w:szCs w:val="28"/>
          <w:lang w:val="uk-UA"/>
        </w:rPr>
        <w:t>спортивної</w:t>
      </w:r>
      <w:r w:rsidRPr="00A266B0">
        <w:rPr>
          <w:color w:val="000000"/>
          <w:szCs w:val="28"/>
          <w:lang w:val="uk-UA"/>
        </w:rPr>
        <w:t>, культурної, освітньої та наукової діяльності.</w:t>
      </w:r>
    </w:p>
    <w:p w:rsidR="00707EEA" w:rsidRPr="00A266B0" w:rsidRDefault="00C9317E" w:rsidP="008B3167">
      <w:pPr>
        <w:suppressAutoHyphens/>
        <w:ind w:firstLine="720"/>
        <w:jc w:val="both"/>
        <w:rPr>
          <w:color w:val="000000"/>
          <w:lang w:val="uk-UA" w:eastAsia="uk-UA"/>
        </w:rPr>
      </w:pPr>
      <w:r w:rsidRPr="00A266B0">
        <w:rPr>
          <w:rFonts w:eastAsia="Calibri"/>
          <w:szCs w:val="28"/>
          <w:lang w:val="uk-UA" w:eastAsia="uk-UA"/>
        </w:rPr>
        <w:t xml:space="preserve">У п. 1 ч. 2 ст. 3 проекту Закону до видів меценатства пропонується віднести </w:t>
      </w:r>
      <w:r w:rsidRPr="00A266B0">
        <w:rPr>
          <w:rFonts w:eastAsia="Calibri"/>
          <w:i/>
          <w:color w:val="000000"/>
          <w:szCs w:val="28"/>
          <w:lang w:val="uk-UA" w:eastAsia="uk-UA"/>
        </w:rPr>
        <w:t>будівництво, реконструкцію, модернізацію та використання спортивних споруд та інших об’єктів спортивної інфраструктури.</w:t>
      </w:r>
      <w:r w:rsidRPr="00A266B0">
        <w:rPr>
          <w:rFonts w:eastAsia="Calibri"/>
          <w:color w:val="000000"/>
          <w:szCs w:val="28"/>
          <w:lang w:val="uk-UA" w:eastAsia="uk-UA"/>
        </w:rPr>
        <w:t xml:space="preserve"> </w:t>
      </w:r>
      <w:r w:rsidR="008B3167">
        <w:rPr>
          <w:rFonts w:eastAsia="Calibri"/>
          <w:color w:val="000000"/>
          <w:szCs w:val="28"/>
          <w:lang w:val="uk-UA" w:eastAsia="uk-UA"/>
        </w:rPr>
        <w:t xml:space="preserve">На думку </w:t>
      </w:r>
      <w:r w:rsidR="00707EEA" w:rsidRPr="00A266B0">
        <w:rPr>
          <w:rFonts w:eastAsia="Calibri"/>
          <w:color w:val="000000"/>
          <w:szCs w:val="28"/>
          <w:lang w:val="uk-UA" w:eastAsia="uk-UA"/>
        </w:rPr>
        <w:t xml:space="preserve">Головного управління, схожі питання </w:t>
      </w:r>
      <w:r w:rsidR="00707EEA" w:rsidRPr="00A266B0">
        <w:rPr>
          <w:color w:val="000000"/>
          <w:szCs w:val="28"/>
          <w:lang w:val="uk-UA" w:eastAsia="zh-CN"/>
        </w:rPr>
        <w:t>унормовуються</w:t>
      </w:r>
      <w:r w:rsidR="00707EEA" w:rsidRPr="00A266B0">
        <w:rPr>
          <w:rFonts w:eastAsia="Calibri"/>
          <w:color w:val="000000"/>
          <w:szCs w:val="28"/>
          <w:lang w:val="uk-UA" w:eastAsia="uk-UA"/>
        </w:rPr>
        <w:t xml:space="preserve"> і в Законі України «Про державно-приватне партнерство», згідно із ч. 3 ст. 1 якого до ознак державно-приватн</w:t>
      </w:r>
      <w:r w:rsidR="00707EEA" w:rsidRPr="00A266B0">
        <w:rPr>
          <w:color w:val="000000"/>
          <w:szCs w:val="28"/>
          <w:lang w:val="uk-UA" w:eastAsia="uk-UA"/>
        </w:rPr>
        <w:t>ого</w:t>
      </w:r>
      <w:r w:rsidR="00707EEA" w:rsidRPr="00A266B0">
        <w:rPr>
          <w:rFonts w:eastAsia="Calibri"/>
          <w:color w:val="000000"/>
          <w:szCs w:val="28"/>
          <w:lang w:val="uk-UA" w:eastAsia="uk-UA"/>
        </w:rPr>
        <w:t xml:space="preserve"> партнерств</w:t>
      </w:r>
      <w:r w:rsidR="00707EEA" w:rsidRPr="00A266B0">
        <w:rPr>
          <w:color w:val="000000"/>
          <w:szCs w:val="28"/>
          <w:lang w:val="uk-UA" w:eastAsia="uk-UA"/>
        </w:rPr>
        <w:t>а</w:t>
      </w:r>
      <w:r w:rsidR="00707EEA" w:rsidRPr="00A266B0">
        <w:rPr>
          <w:rFonts w:eastAsia="Calibri"/>
          <w:color w:val="000000"/>
          <w:szCs w:val="28"/>
          <w:lang w:val="uk-UA" w:eastAsia="uk-UA"/>
        </w:rPr>
        <w:t xml:space="preserve"> як співробітництв</w:t>
      </w:r>
      <w:r w:rsidR="00707EEA" w:rsidRPr="00A266B0">
        <w:rPr>
          <w:color w:val="000000"/>
          <w:szCs w:val="28"/>
          <w:lang w:val="uk-UA" w:eastAsia="uk-UA"/>
        </w:rPr>
        <w:t>а</w:t>
      </w:r>
      <w:r w:rsidR="00707EEA" w:rsidRPr="00A266B0">
        <w:rPr>
          <w:rFonts w:eastAsia="Calibri"/>
          <w:color w:val="000000"/>
          <w:szCs w:val="28"/>
          <w:lang w:val="uk-UA" w:eastAsia="uk-UA"/>
        </w:rPr>
        <w:t xml:space="preserve">, що здійснюється на основі договору, віднесено, зокрема: «створення та/або будівництво (нове </w:t>
      </w:r>
      <w:r w:rsidR="00707EEA" w:rsidRPr="003314D7">
        <w:rPr>
          <w:rFonts w:eastAsia="Calibri"/>
          <w:color w:val="000000"/>
          <w:szCs w:val="28"/>
          <w:lang w:val="uk-UA" w:eastAsia="uk-UA"/>
        </w:rPr>
        <w:t xml:space="preserve">будівництво, реконструкція, реставрація, капітальний ремонт та технічне переоснащення) об’єкта державно-приватного партнерства та/або управління (користування, експлуатація, технічне обслуговування) таким об’єктом» </w:t>
      </w:r>
      <w:r w:rsidR="008B3167" w:rsidRPr="003314D7">
        <w:rPr>
          <w:rFonts w:eastAsia="Calibri"/>
          <w:color w:val="000000"/>
          <w:szCs w:val="28"/>
          <w:lang w:val="uk-UA" w:eastAsia="uk-UA"/>
        </w:rPr>
        <w:br/>
      </w:r>
      <w:r w:rsidR="00707EEA" w:rsidRPr="003314D7">
        <w:rPr>
          <w:rFonts w:eastAsia="Calibri"/>
          <w:color w:val="000000"/>
          <w:szCs w:val="28"/>
          <w:lang w:val="uk-UA" w:eastAsia="uk-UA"/>
        </w:rPr>
        <w:t>(п. 1), «довготривалість відносин (від 5 до 50 років)» (п. 2) та «</w:t>
      </w:r>
      <w:r w:rsidR="00707EEA" w:rsidRPr="003314D7">
        <w:rPr>
          <w:rFonts w:eastAsia="Calibri"/>
          <w:i/>
          <w:iCs/>
          <w:color w:val="000000"/>
          <w:szCs w:val="28"/>
          <w:lang w:val="uk-UA" w:eastAsia="uk-UA"/>
        </w:rPr>
        <w:t>внесення приватним партнером інвестицій в об’єкт державно-приватного партнерства</w:t>
      </w:r>
      <w:r w:rsidR="00707EEA" w:rsidRPr="003314D7">
        <w:rPr>
          <w:rFonts w:eastAsia="Calibri"/>
          <w:color w:val="000000"/>
          <w:szCs w:val="28"/>
          <w:lang w:val="uk-UA" w:eastAsia="uk-UA"/>
        </w:rPr>
        <w:t>» (п. 4). При цьому, в ч. 1 ст. 4 цього Закону передбачене застосування державно</w:t>
      </w:r>
      <w:r w:rsidR="00707EEA" w:rsidRPr="00A266B0">
        <w:rPr>
          <w:rFonts w:eastAsia="Calibri"/>
          <w:color w:val="000000"/>
          <w:szCs w:val="28"/>
          <w:lang w:val="uk-UA" w:eastAsia="uk-UA"/>
        </w:rPr>
        <w:t xml:space="preserve">-приватного партнерства </w:t>
      </w:r>
      <w:r w:rsidR="00707EEA" w:rsidRPr="00A266B0">
        <w:rPr>
          <w:rFonts w:eastAsia="Calibri"/>
          <w:i/>
          <w:iCs/>
          <w:color w:val="000000"/>
          <w:szCs w:val="28"/>
          <w:lang w:val="uk-UA" w:eastAsia="uk-UA"/>
        </w:rPr>
        <w:t>в сфері спорту</w:t>
      </w:r>
      <w:r w:rsidR="00707EEA" w:rsidRPr="00A266B0">
        <w:rPr>
          <w:color w:val="000000"/>
          <w:lang w:val="uk-UA" w:eastAsia="uk-UA"/>
        </w:rPr>
        <w:t>.</w:t>
      </w:r>
    </w:p>
    <w:p w:rsidR="000A26BA" w:rsidRPr="00A266B0" w:rsidRDefault="00BF485D" w:rsidP="008B3167">
      <w:pPr>
        <w:suppressAutoHyphens/>
        <w:ind w:firstLine="720"/>
        <w:jc w:val="both"/>
        <w:rPr>
          <w:szCs w:val="28"/>
          <w:lang w:val="uk-UA"/>
        </w:rPr>
      </w:pPr>
      <w:r w:rsidRPr="00A266B0">
        <w:rPr>
          <w:szCs w:val="28"/>
          <w:lang w:val="uk-UA"/>
        </w:rPr>
        <w:t>Таким чином, є підстави вважати, що законопроект</w:t>
      </w:r>
      <w:r w:rsidR="009B665D" w:rsidRPr="00A266B0">
        <w:rPr>
          <w:szCs w:val="28"/>
          <w:lang w:val="uk-UA"/>
        </w:rPr>
        <w:t>,</w:t>
      </w:r>
      <w:r w:rsidR="009B665D" w:rsidRPr="00A266B0">
        <w:rPr>
          <w:lang w:val="uk-UA"/>
        </w:rPr>
        <w:t xml:space="preserve"> </w:t>
      </w:r>
      <w:r w:rsidR="009B665D" w:rsidRPr="00A266B0">
        <w:rPr>
          <w:szCs w:val="28"/>
          <w:lang w:val="uk-UA"/>
        </w:rPr>
        <w:t>який фактично складається з шести статей,</w:t>
      </w:r>
      <w:r w:rsidRPr="00A266B0">
        <w:rPr>
          <w:szCs w:val="28"/>
          <w:lang w:val="uk-UA"/>
        </w:rPr>
        <w:t xml:space="preserve"> не</w:t>
      </w:r>
      <w:r w:rsidR="006F251C" w:rsidRPr="00A266B0">
        <w:rPr>
          <w:szCs w:val="28"/>
          <w:lang w:val="uk-UA"/>
        </w:rPr>
        <w:t xml:space="preserve"> </w:t>
      </w:r>
      <w:r w:rsidRPr="00A266B0">
        <w:rPr>
          <w:szCs w:val="28"/>
          <w:lang w:val="uk-UA"/>
        </w:rPr>
        <w:t xml:space="preserve">має самостійного предмета регулювання. Крім того, </w:t>
      </w:r>
      <w:r w:rsidR="00612503" w:rsidRPr="00A266B0">
        <w:rPr>
          <w:szCs w:val="28"/>
          <w:lang w:val="uk-UA"/>
        </w:rPr>
        <w:t>такий підхід м</w:t>
      </w:r>
      <w:r w:rsidRPr="00A266B0">
        <w:rPr>
          <w:szCs w:val="28"/>
          <w:lang w:val="uk-UA"/>
        </w:rPr>
        <w:t xml:space="preserve">оже </w:t>
      </w:r>
      <w:r w:rsidR="00612503" w:rsidRPr="00A266B0">
        <w:rPr>
          <w:szCs w:val="28"/>
          <w:lang w:val="uk-UA"/>
        </w:rPr>
        <w:t xml:space="preserve">стимулювати </w:t>
      </w:r>
      <w:r w:rsidRPr="00A266B0">
        <w:rPr>
          <w:szCs w:val="28"/>
          <w:lang w:val="uk-UA"/>
        </w:rPr>
        <w:t xml:space="preserve">врегулювання особливостей </w:t>
      </w:r>
      <w:r w:rsidR="005E63E8" w:rsidRPr="00A266B0">
        <w:rPr>
          <w:szCs w:val="28"/>
          <w:lang w:val="uk-UA"/>
        </w:rPr>
        <w:lastRenderedPageBreak/>
        <w:t>провадження меценатської діяльності</w:t>
      </w:r>
      <w:r w:rsidRPr="00A266B0">
        <w:rPr>
          <w:szCs w:val="28"/>
          <w:lang w:val="uk-UA"/>
        </w:rPr>
        <w:t xml:space="preserve"> </w:t>
      </w:r>
      <w:r w:rsidR="005E63E8" w:rsidRPr="00A266B0">
        <w:rPr>
          <w:szCs w:val="28"/>
          <w:lang w:val="uk-UA"/>
        </w:rPr>
        <w:t>в</w:t>
      </w:r>
      <w:r w:rsidRPr="00A266B0">
        <w:rPr>
          <w:szCs w:val="28"/>
          <w:lang w:val="uk-UA"/>
        </w:rPr>
        <w:t xml:space="preserve"> інших </w:t>
      </w:r>
      <w:r w:rsidR="005E63E8" w:rsidRPr="00A266B0">
        <w:rPr>
          <w:szCs w:val="28"/>
          <w:lang w:val="uk-UA"/>
        </w:rPr>
        <w:t>сферах</w:t>
      </w:r>
      <w:r w:rsidRPr="00A266B0">
        <w:rPr>
          <w:szCs w:val="28"/>
          <w:lang w:val="uk-UA"/>
        </w:rPr>
        <w:t xml:space="preserve"> (</w:t>
      </w:r>
      <w:r w:rsidR="005E63E8" w:rsidRPr="00A266B0">
        <w:rPr>
          <w:szCs w:val="28"/>
          <w:lang w:val="uk-UA"/>
        </w:rPr>
        <w:t xml:space="preserve">культура, освіта, наука, соціальна сфера </w:t>
      </w:r>
      <w:r w:rsidRPr="00A266B0">
        <w:rPr>
          <w:szCs w:val="28"/>
          <w:lang w:val="uk-UA"/>
        </w:rPr>
        <w:t>тощо) окремими законами, що не відповідає потребам систематизації законодавства України.</w:t>
      </w:r>
      <w:r w:rsidR="005E63E8" w:rsidRPr="00A266B0">
        <w:rPr>
          <w:szCs w:val="28"/>
          <w:lang w:val="uk-UA"/>
        </w:rPr>
        <w:t xml:space="preserve"> </w:t>
      </w:r>
    </w:p>
    <w:p w:rsidR="00465690" w:rsidRPr="003314D7" w:rsidRDefault="00465690" w:rsidP="008B3167">
      <w:pPr>
        <w:ind w:firstLine="720"/>
        <w:jc w:val="both"/>
        <w:rPr>
          <w:lang w:val="uk-UA"/>
        </w:rPr>
      </w:pPr>
      <w:r w:rsidRPr="00A266B0">
        <w:rPr>
          <w:b/>
          <w:lang w:val="uk-UA"/>
        </w:rPr>
        <w:t xml:space="preserve">2. </w:t>
      </w:r>
      <w:r w:rsidRPr="00A266B0">
        <w:rPr>
          <w:lang w:val="uk-UA"/>
        </w:rPr>
        <w:t xml:space="preserve">З метою уникнення корупційних ризиків та нецільового використання меценатської допомоги, доцільно узгодити види спортивних заходів («забезпечення підготовки та </w:t>
      </w:r>
      <w:r w:rsidRPr="003314D7">
        <w:rPr>
          <w:lang w:val="uk-UA"/>
        </w:rPr>
        <w:t xml:space="preserve">участі у спортивних заходах за кордоном спортсменів, команд»), зазначених </w:t>
      </w:r>
      <w:r w:rsidR="008B3167" w:rsidRPr="003314D7">
        <w:rPr>
          <w:lang w:val="uk-UA"/>
        </w:rPr>
        <w:t>у</w:t>
      </w:r>
      <w:r w:rsidRPr="003314D7">
        <w:rPr>
          <w:lang w:val="uk-UA"/>
        </w:rPr>
        <w:t xml:space="preserve"> п. 3 ч. 2 ст. 3 проекту Закону із термінологією Закону України «Про фізичну</w:t>
      </w:r>
      <w:r w:rsidRPr="00A266B0">
        <w:rPr>
          <w:lang w:val="uk-UA"/>
        </w:rPr>
        <w:t xml:space="preserve"> культуру і спорт»</w:t>
      </w:r>
      <w:r w:rsidR="00A266B0" w:rsidRPr="00A266B0">
        <w:rPr>
          <w:lang w:val="uk-UA"/>
        </w:rPr>
        <w:t xml:space="preserve">, в якому </w:t>
      </w:r>
      <w:r w:rsidRPr="00A266B0">
        <w:rPr>
          <w:lang w:val="uk-UA"/>
        </w:rPr>
        <w:t xml:space="preserve">вживаються </w:t>
      </w:r>
      <w:r w:rsidR="00A266B0" w:rsidRPr="00A266B0">
        <w:rPr>
          <w:lang w:val="uk-UA"/>
        </w:rPr>
        <w:t xml:space="preserve">терміни </w:t>
      </w:r>
      <w:r w:rsidRPr="00A266B0">
        <w:rPr>
          <w:lang w:val="uk-UA"/>
        </w:rPr>
        <w:t xml:space="preserve">«офіційні міжнародні спортивні змагання» (абз. 5 ч. 1 </w:t>
      </w:r>
      <w:r w:rsidR="00E401C2">
        <w:rPr>
          <w:lang w:val="uk-UA"/>
        </w:rPr>
        <w:br/>
      </w:r>
      <w:r w:rsidRPr="00A266B0">
        <w:rPr>
          <w:lang w:val="uk-UA"/>
        </w:rPr>
        <w:t>ст. 20), «офіційні спортивні змагання» (ч. 3 ст. 40), «офіційні фізкультурно-оздоровчі та спортивні заходи</w:t>
      </w:r>
      <w:r w:rsidR="00A266B0" w:rsidRPr="00A266B0">
        <w:rPr>
          <w:lang w:val="uk-UA"/>
        </w:rPr>
        <w:t>»</w:t>
      </w:r>
      <w:r w:rsidRPr="00A266B0">
        <w:rPr>
          <w:lang w:val="uk-UA"/>
        </w:rPr>
        <w:t xml:space="preserve"> </w:t>
      </w:r>
      <w:r w:rsidR="00A266B0" w:rsidRPr="00A266B0">
        <w:rPr>
          <w:lang w:val="uk-UA"/>
        </w:rPr>
        <w:t>(</w:t>
      </w:r>
      <w:r w:rsidRPr="00A266B0">
        <w:rPr>
          <w:lang w:val="uk-UA"/>
        </w:rPr>
        <w:t xml:space="preserve">спортивні заходи, включені до Єдиного календарного плану фізкультурно-оздоровчих і спортивних заходів України, календарних планів фізкультурно-оздоровчих і спортивних заходів Автономної </w:t>
      </w:r>
      <w:r w:rsidRPr="003314D7">
        <w:rPr>
          <w:lang w:val="uk-UA"/>
        </w:rPr>
        <w:t>Республіки Крим, областей, міст Києва та Севастополя, календарних планів фізкультурно-оздоровчих і спортивних заходів районів, міст, селищ та сіл</w:t>
      </w:r>
      <w:r w:rsidR="00A266B0" w:rsidRPr="003314D7">
        <w:rPr>
          <w:lang w:val="uk-UA"/>
        </w:rPr>
        <w:t>)</w:t>
      </w:r>
      <w:r w:rsidRPr="003314D7">
        <w:rPr>
          <w:lang w:val="uk-UA"/>
        </w:rPr>
        <w:t xml:space="preserve"> (ч. 3 ст. 45).</w:t>
      </w:r>
      <w:r w:rsidR="00A266B0" w:rsidRPr="003314D7">
        <w:rPr>
          <w:lang w:val="uk-UA"/>
        </w:rPr>
        <w:t xml:space="preserve"> </w:t>
      </w:r>
      <w:r w:rsidRPr="003314D7">
        <w:rPr>
          <w:lang w:val="uk-UA"/>
        </w:rPr>
        <w:t>При цьому, в п. 4 ч. 2 ст. 3 законопроекту йдеться про залучення меценатами  «міжнародних спеціалістів», проте не деталізується статус таких осіб.</w:t>
      </w:r>
    </w:p>
    <w:p w:rsidR="00760899" w:rsidRPr="00A266B0" w:rsidRDefault="00465690" w:rsidP="008B3167">
      <w:pPr>
        <w:ind w:firstLine="720"/>
        <w:jc w:val="both"/>
        <w:rPr>
          <w:rStyle w:val="rvts0"/>
          <w:szCs w:val="28"/>
          <w:lang w:val="uk-UA"/>
        </w:rPr>
      </w:pPr>
      <w:r w:rsidRPr="003314D7">
        <w:rPr>
          <w:b/>
          <w:lang w:val="uk-UA"/>
        </w:rPr>
        <w:t>3</w:t>
      </w:r>
      <w:r w:rsidR="0001396E" w:rsidRPr="003314D7">
        <w:rPr>
          <w:b/>
          <w:lang w:val="uk-UA"/>
        </w:rPr>
        <w:t>.</w:t>
      </w:r>
      <w:r w:rsidR="0001396E" w:rsidRPr="003314D7">
        <w:rPr>
          <w:lang w:val="uk-UA"/>
        </w:rPr>
        <w:t xml:space="preserve"> </w:t>
      </w:r>
      <w:r w:rsidR="00D50F2D" w:rsidRPr="003314D7">
        <w:rPr>
          <w:lang w:val="uk-UA"/>
        </w:rPr>
        <w:t>У ч</w:t>
      </w:r>
      <w:r w:rsidR="00D33595" w:rsidRPr="003314D7">
        <w:rPr>
          <w:lang w:val="uk-UA"/>
        </w:rPr>
        <w:t>.</w:t>
      </w:r>
      <w:r w:rsidR="00D50F2D" w:rsidRPr="003314D7">
        <w:rPr>
          <w:lang w:val="uk-UA"/>
        </w:rPr>
        <w:t xml:space="preserve"> 1 ст</w:t>
      </w:r>
      <w:r w:rsidR="00D33595" w:rsidRPr="003314D7">
        <w:rPr>
          <w:lang w:val="uk-UA"/>
        </w:rPr>
        <w:t>.</w:t>
      </w:r>
      <w:r w:rsidR="00D50F2D" w:rsidRPr="003314D7">
        <w:rPr>
          <w:lang w:val="uk-UA"/>
        </w:rPr>
        <w:t xml:space="preserve"> 5 </w:t>
      </w:r>
      <w:r w:rsidR="0001396E" w:rsidRPr="003314D7">
        <w:rPr>
          <w:lang w:val="uk-UA"/>
        </w:rPr>
        <w:t>законо</w:t>
      </w:r>
      <w:r w:rsidR="00D50F2D" w:rsidRPr="003314D7">
        <w:rPr>
          <w:lang w:val="uk-UA"/>
        </w:rPr>
        <w:t xml:space="preserve">проекту пропонується встановити, що </w:t>
      </w:r>
      <w:r w:rsidR="000A26BA" w:rsidRPr="003314D7">
        <w:rPr>
          <w:lang w:val="uk-UA"/>
        </w:rPr>
        <w:t>«</w:t>
      </w:r>
      <w:r w:rsidR="00760899" w:rsidRPr="003314D7">
        <w:rPr>
          <w:lang w:val="uk-UA"/>
        </w:rPr>
        <w:t>меценатство здійснюється виключно на підставі договору між меценатом спорту та набувачем меценатської допомоги або між меценатом спорту, набувачем меценатської допомоги та кінцевим бенефіціаром, укладеного в письмовій формі відповідно до вимог, визначених Цивільним кодексом України та цим Законом</w:t>
      </w:r>
      <w:r w:rsidR="000A26BA" w:rsidRPr="003314D7">
        <w:rPr>
          <w:szCs w:val="28"/>
          <w:lang w:val="uk-UA"/>
        </w:rPr>
        <w:t>»</w:t>
      </w:r>
      <w:r w:rsidR="00D50F2D" w:rsidRPr="003314D7">
        <w:rPr>
          <w:szCs w:val="28"/>
          <w:lang w:val="uk-UA"/>
        </w:rPr>
        <w:t xml:space="preserve">. </w:t>
      </w:r>
      <w:r w:rsidR="002A435E" w:rsidRPr="003314D7">
        <w:rPr>
          <w:szCs w:val="28"/>
          <w:lang w:val="uk-UA"/>
        </w:rPr>
        <w:t xml:space="preserve">На нашу думку, запропонована теза потребує певної деталізації, адже виходячи з вимог Цивільного кодексу України, </w:t>
      </w:r>
      <w:r w:rsidR="002A435E" w:rsidRPr="003314D7">
        <w:rPr>
          <w:color w:val="000000"/>
          <w:szCs w:val="28"/>
          <w:lang w:val="uk-UA"/>
        </w:rPr>
        <w:t>подібні договори</w:t>
      </w:r>
      <w:r w:rsidR="002A435E" w:rsidRPr="003314D7">
        <w:rPr>
          <w:szCs w:val="28"/>
          <w:lang w:val="uk-UA"/>
        </w:rPr>
        <w:t xml:space="preserve"> можуть укладатись у формі договору дарування, договору про пожертву, договору надання послуг тощо. Звертаємо увагу на те, що </w:t>
      </w:r>
      <w:r w:rsidR="008B3167" w:rsidRPr="003314D7">
        <w:rPr>
          <w:rStyle w:val="rvts0"/>
          <w:color w:val="000000"/>
          <w:lang w:val="uk-UA"/>
        </w:rPr>
        <w:t xml:space="preserve">у </w:t>
      </w:r>
      <w:r w:rsidR="002A435E" w:rsidRPr="003314D7">
        <w:rPr>
          <w:rStyle w:val="rvts0"/>
          <w:color w:val="000000"/>
          <w:lang w:val="uk-UA"/>
        </w:rPr>
        <w:t xml:space="preserve">ст. 729 </w:t>
      </w:r>
      <w:r w:rsidR="002A435E" w:rsidRPr="003314D7">
        <w:rPr>
          <w:rStyle w:val="rvts0"/>
          <w:color w:val="000000"/>
          <w:szCs w:val="28"/>
          <w:lang w:val="uk-UA"/>
        </w:rPr>
        <w:t xml:space="preserve">Цивільного кодексу України передбачений </w:t>
      </w:r>
      <w:r w:rsidR="002A435E" w:rsidRPr="003314D7">
        <w:rPr>
          <w:rStyle w:val="rvts0"/>
          <w:i/>
          <w:iCs/>
          <w:szCs w:val="28"/>
          <w:lang w:val="uk-UA"/>
        </w:rPr>
        <w:t>догов</w:t>
      </w:r>
      <w:r w:rsidR="002A435E" w:rsidRPr="003314D7">
        <w:rPr>
          <w:rStyle w:val="rvts0"/>
          <w:i/>
          <w:iCs/>
          <w:color w:val="000000"/>
          <w:szCs w:val="28"/>
          <w:lang w:val="uk-UA"/>
        </w:rPr>
        <w:t>і</w:t>
      </w:r>
      <w:r w:rsidR="002A435E" w:rsidRPr="003314D7">
        <w:rPr>
          <w:rStyle w:val="rvts0"/>
          <w:i/>
          <w:iCs/>
          <w:szCs w:val="28"/>
          <w:lang w:val="uk-UA"/>
        </w:rPr>
        <w:t>р про пожертву:</w:t>
      </w:r>
      <w:r w:rsidR="002A435E" w:rsidRPr="003314D7">
        <w:rPr>
          <w:rStyle w:val="rvts0"/>
          <w:szCs w:val="28"/>
          <w:lang w:val="uk-UA"/>
        </w:rPr>
        <w:t xml:space="preserve"> </w:t>
      </w:r>
      <w:r w:rsidR="002A435E" w:rsidRPr="003314D7">
        <w:rPr>
          <w:rStyle w:val="rvts0"/>
          <w:color w:val="000000"/>
          <w:szCs w:val="28"/>
          <w:lang w:val="uk-UA"/>
        </w:rPr>
        <w:t>п</w:t>
      </w:r>
      <w:r w:rsidR="002A435E" w:rsidRPr="003314D7">
        <w:rPr>
          <w:rStyle w:val="rvts0"/>
          <w:szCs w:val="28"/>
          <w:lang w:val="uk-UA"/>
        </w:rPr>
        <w:t xml:space="preserve">ожертвою визначається дарування рухомих та нерухомих речей, грошей та цінних паперів особам для досягнення ними певної наперед обумовленої мети. Специфіка договору про пожертву, порівняно з класичним договором дарування, полягає в тому, що пожертвувач має право здійснювати контроль за використанням пожертви відповідно до мети, встановленої договором про пожертву, і, відповідно, вимагати розірвання договору про пожертву, якщо пожертва використовується не за призначенням (ст. 730 </w:t>
      </w:r>
      <w:r w:rsidR="008B3167" w:rsidRPr="003314D7">
        <w:rPr>
          <w:szCs w:val="28"/>
          <w:lang w:val="uk-UA"/>
        </w:rPr>
        <w:t>Цивільного кодексу України</w:t>
      </w:r>
      <w:r w:rsidR="002A435E" w:rsidRPr="003314D7">
        <w:rPr>
          <w:rStyle w:val="rvts0"/>
          <w:szCs w:val="28"/>
          <w:lang w:val="uk-UA"/>
        </w:rPr>
        <w:t>).</w:t>
      </w:r>
    </w:p>
    <w:p w:rsidR="008B6F4A" w:rsidRPr="003314D7" w:rsidRDefault="008B6F4A" w:rsidP="008B3167">
      <w:pPr>
        <w:suppressAutoHyphens/>
        <w:ind w:firstLine="720"/>
        <w:jc w:val="both"/>
        <w:rPr>
          <w:rFonts w:eastAsia="MS Mincho"/>
          <w:color w:val="000000"/>
          <w:szCs w:val="28"/>
          <w:lang w:val="uk-UA" w:eastAsia="zh-CN"/>
        </w:rPr>
      </w:pPr>
      <w:r w:rsidRPr="00A266B0">
        <w:rPr>
          <w:rFonts w:eastAsia="MS Mincho"/>
          <w:b/>
          <w:bCs/>
          <w:color w:val="000000"/>
          <w:szCs w:val="28"/>
          <w:lang w:val="uk-UA" w:eastAsia="zh-CN"/>
        </w:rPr>
        <w:t>4.</w:t>
      </w:r>
      <w:r w:rsidRPr="00A266B0">
        <w:rPr>
          <w:rFonts w:eastAsia="MS Mincho"/>
          <w:color w:val="000000"/>
          <w:szCs w:val="28"/>
          <w:lang w:val="uk-UA" w:eastAsia="zh-CN"/>
        </w:rPr>
        <w:t xml:space="preserve"> Відповідно до ч.ч. 1, 3, 4 ст. 6 проекту Закону набувачі меценатської допомоги та кінцеві бенефіціари мають право розміщувати торговельну марку, логотип, </w:t>
      </w:r>
      <w:r w:rsidRPr="00A266B0">
        <w:rPr>
          <w:rFonts w:eastAsia="MS Mincho"/>
          <w:i/>
          <w:color w:val="000000"/>
          <w:szCs w:val="28"/>
          <w:lang w:val="uk-UA" w:eastAsia="zh-CN"/>
        </w:rPr>
        <w:t>інше позначення мецената спорту</w:t>
      </w:r>
      <w:r w:rsidRPr="00A266B0">
        <w:rPr>
          <w:rFonts w:eastAsia="MS Mincho"/>
          <w:color w:val="000000"/>
          <w:szCs w:val="28"/>
          <w:lang w:val="uk-UA" w:eastAsia="zh-CN"/>
        </w:rPr>
        <w:t xml:space="preserve">, з яким у них укладено договір, на будь-якій рекламі, пов’язаній із діяльністю набувача меценатської допомоги та/або кінцевого бенефіціара; розміщення … </w:t>
      </w:r>
      <w:r w:rsidRPr="00A266B0">
        <w:rPr>
          <w:rFonts w:eastAsia="MS Mincho"/>
          <w:i/>
          <w:color w:val="000000"/>
          <w:szCs w:val="28"/>
          <w:lang w:val="uk-UA" w:eastAsia="zh-CN"/>
        </w:rPr>
        <w:t>іншого позначення мецената спорту</w:t>
      </w:r>
      <w:r w:rsidRPr="00A266B0">
        <w:rPr>
          <w:rFonts w:eastAsia="MS Mincho"/>
          <w:color w:val="000000"/>
          <w:szCs w:val="28"/>
          <w:lang w:val="uk-UA" w:eastAsia="zh-CN"/>
        </w:rPr>
        <w:t xml:space="preserve"> на рекламі набувача меценатської допомоги та кінцевого бенефіціара відповідно до цього Закону не вважається рекламою мецената спорту або його </w:t>
      </w:r>
      <w:r w:rsidRPr="003314D7">
        <w:rPr>
          <w:rFonts w:eastAsia="MS Mincho"/>
          <w:color w:val="000000"/>
          <w:szCs w:val="28"/>
          <w:lang w:val="uk-UA" w:eastAsia="zh-CN"/>
        </w:rPr>
        <w:t xml:space="preserve">товару чи послуги в розумінні Закону України «Про рекламу»; розміщення </w:t>
      </w:r>
      <w:r w:rsidRPr="003314D7">
        <w:rPr>
          <w:rFonts w:eastAsia="MS Mincho"/>
          <w:color w:val="000000"/>
          <w:szCs w:val="28"/>
          <w:lang w:val="uk-UA" w:eastAsia="zh-CN"/>
        </w:rPr>
        <w:lastRenderedPageBreak/>
        <w:t>інформації про мецената під час підготовки та проведення офіційних спортивних заходів прирівнюється до соціальної реклами.</w:t>
      </w:r>
    </w:p>
    <w:p w:rsidR="008B6F4A" w:rsidRPr="003314D7" w:rsidRDefault="008B6F4A" w:rsidP="008B3167">
      <w:pPr>
        <w:suppressAutoHyphens/>
        <w:ind w:firstLine="720"/>
        <w:jc w:val="both"/>
        <w:rPr>
          <w:rFonts w:eastAsia="Calibri"/>
          <w:szCs w:val="28"/>
          <w:lang w:val="uk-UA" w:eastAsia="uk-UA"/>
        </w:rPr>
      </w:pPr>
      <w:r w:rsidRPr="003314D7">
        <w:rPr>
          <w:rFonts w:eastAsia="Calibri"/>
          <w:szCs w:val="28"/>
          <w:lang w:val="uk-UA" w:eastAsia="uk-UA"/>
        </w:rPr>
        <w:t xml:space="preserve">Крім того, відповідно до запропонованих новел до ч. 2 ст. 12 Закону України «Про рекламу» «соціальна реклама не повинна містити посилань на конкретний товар та/або його виробника … крім випадків </w:t>
      </w:r>
      <w:r w:rsidRPr="003314D7">
        <w:rPr>
          <w:rFonts w:eastAsia="Calibri"/>
          <w:i/>
          <w:szCs w:val="28"/>
          <w:lang w:val="uk-UA" w:eastAsia="uk-UA"/>
        </w:rPr>
        <w:t>розміщення</w:t>
      </w:r>
      <w:r w:rsidRPr="003314D7">
        <w:rPr>
          <w:rFonts w:eastAsia="Calibri"/>
          <w:szCs w:val="28"/>
          <w:lang w:val="uk-UA" w:eastAsia="uk-UA"/>
        </w:rPr>
        <w:t xml:space="preserve"> </w:t>
      </w:r>
      <w:r w:rsidRPr="003314D7">
        <w:rPr>
          <w:rFonts w:eastAsia="Calibri"/>
          <w:i/>
          <w:szCs w:val="28"/>
          <w:lang w:val="uk-UA" w:eastAsia="uk-UA"/>
        </w:rPr>
        <w:t>інформації про мецената спорту</w:t>
      </w:r>
      <w:r w:rsidRPr="003314D7">
        <w:rPr>
          <w:rFonts w:eastAsia="Calibri"/>
          <w:szCs w:val="28"/>
          <w:lang w:val="uk-UA" w:eastAsia="uk-UA"/>
        </w:rPr>
        <w:t xml:space="preserve"> під час підготовки та проведення офіційних спортивних заходів відповідно до Закону України «Про меценатство у фізичній культурі і спорті» та реклами національних фільмів. </w:t>
      </w:r>
      <w:r w:rsidRPr="003314D7">
        <w:rPr>
          <w:rFonts w:eastAsia="Calibri"/>
          <w:i/>
          <w:szCs w:val="28"/>
          <w:lang w:val="uk-UA" w:eastAsia="uk-UA"/>
        </w:rPr>
        <w:t>Інформація про мецената спорту</w:t>
      </w:r>
      <w:r w:rsidRPr="003314D7">
        <w:rPr>
          <w:rFonts w:eastAsia="Calibri"/>
          <w:szCs w:val="28"/>
          <w:lang w:val="uk-UA" w:eastAsia="uk-UA"/>
        </w:rPr>
        <w:t xml:space="preserve"> під час підготовки та проведення офіційних спортивних заходів … прирівнюється до соціальної реклами … ».</w:t>
      </w:r>
    </w:p>
    <w:p w:rsidR="008B6F4A" w:rsidRPr="003314D7" w:rsidRDefault="008B6F4A" w:rsidP="008B3167">
      <w:pPr>
        <w:suppressAutoHyphens/>
        <w:ind w:firstLine="720"/>
        <w:jc w:val="both"/>
        <w:rPr>
          <w:rFonts w:eastAsia="MS Mincho"/>
          <w:b/>
          <w:bCs/>
          <w:i/>
          <w:iCs/>
          <w:color w:val="000000"/>
          <w:szCs w:val="28"/>
          <w:lang w:val="uk-UA" w:eastAsia="zh-CN"/>
        </w:rPr>
      </w:pPr>
      <w:r w:rsidRPr="003314D7">
        <w:rPr>
          <w:rFonts w:eastAsia="MS Mincho"/>
          <w:color w:val="000000"/>
          <w:szCs w:val="28"/>
          <w:lang w:val="uk-UA" w:eastAsia="zh-CN"/>
        </w:rPr>
        <w:t xml:space="preserve">Звертаємо увагу на те, що зазначені новели </w:t>
      </w:r>
      <w:r w:rsidR="004D563F" w:rsidRPr="003314D7">
        <w:rPr>
          <w:rFonts w:eastAsia="MS Mincho"/>
          <w:color w:val="000000"/>
          <w:szCs w:val="28"/>
          <w:lang w:val="uk-UA" w:eastAsia="zh-CN"/>
        </w:rPr>
        <w:t xml:space="preserve">у </w:t>
      </w:r>
      <w:r w:rsidRPr="003314D7">
        <w:rPr>
          <w:rFonts w:eastAsia="MS Mincho"/>
          <w:color w:val="000000"/>
          <w:szCs w:val="28"/>
          <w:lang w:val="uk-UA" w:eastAsia="zh-CN"/>
        </w:rPr>
        <w:t xml:space="preserve">практичній площині можуть призвести до порушень виборчого законодавства України, зокрема, до прихованої політичної агітації, забороненої ч. 5 ст. 51 Виборчого кодексу України. </w:t>
      </w:r>
    </w:p>
    <w:p w:rsidR="0021213C" w:rsidRPr="003314D7" w:rsidRDefault="008B6F4A" w:rsidP="008B3167">
      <w:pPr>
        <w:ind w:firstLine="720"/>
        <w:jc w:val="both"/>
        <w:rPr>
          <w:szCs w:val="28"/>
          <w:lang w:val="uk-UA"/>
        </w:rPr>
      </w:pPr>
      <w:r w:rsidRPr="003314D7">
        <w:rPr>
          <w:b/>
          <w:szCs w:val="28"/>
          <w:lang w:val="uk-UA"/>
        </w:rPr>
        <w:t>5</w:t>
      </w:r>
      <w:r w:rsidR="00AE3943" w:rsidRPr="003314D7">
        <w:rPr>
          <w:b/>
          <w:szCs w:val="28"/>
          <w:lang w:val="uk-UA"/>
        </w:rPr>
        <w:t xml:space="preserve">. </w:t>
      </w:r>
      <w:r w:rsidR="00AE3943" w:rsidRPr="003314D7">
        <w:rPr>
          <w:szCs w:val="28"/>
          <w:lang w:val="uk-UA"/>
        </w:rPr>
        <w:t xml:space="preserve">Викликають зауваження запропоновані зміни до Закону України </w:t>
      </w:r>
      <w:r w:rsidR="00A8329B" w:rsidRPr="003314D7">
        <w:rPr>
          <w:szCs w:val="28"/>
          <w:lang w:val="uk-UA"/>
        </w:rPr>
        <w:t xml:space="preserve"> </w:t>
      </w:r>
      <w:r w:rsidR="00AE3943" w:rsidRPr="003314D7">
        <w:rPr>
          <w:szCs w:val="28"/>
          <w:lang w:val="uk-UA"/>
        </w:rPr>
        <w:t xml:space="preserve">«Про рекламу». </w:t>
      </w:r>
    </w:p>
    <w:p w:rsidR="003A4A44" w:rsidRPr="00A266B0" w:rsidRDefault="008B6F4A" w:rsidP="008B3167">
      <w:pPr>
        <w:ind w:firstLine="720"/>
        <w:jc w:val="both"/>
        <w:rPr>
          <w:szCs w:val="28"/>
          <w:lang w:val="uk-UA"/>
        </w:rPr>
      </w:pPr>
      <w:r w:rsidRPr="003314D7">
        <w:rPr>
          <w:szCs w:val="28"/>
          <w:lang w:val="uk-UA"/>
        </w:rPr>
        <w:t>5</w:t>
      </w:r>
      <w:r w:rsidR="0021213C" w:rsidRPr="003314D7">
        <w:rPr>
          <w:szCs w:val="28"/>
          <w:lang w:val="uk-UA"/>
        </w:rPr>
        <w:t xml:space="preserve">.1. </w:t>
      </w:r>
      <w:r w:rsidR="00AE3943" w:rsidRPr="003314D7">
        <w:rPr>
          <w:szCs w:val="28"/>
          <w:lang w:val="uk-UA"/>
        </w:rPr>
        <w:t xml:space="preserve">Так, </w:t>
      </w:r>
      <w:r w:rsidR="003A4A44" w:rsidRPr="003314D7">
        <w:rPr>
          <w:szCs w:val="28"/>
          <w:lang w:val="uk-UA"/>
        </w:rPr>
        <w:t xml:space="preserve">у проекті </w:t>
      </w:r>
      <w:r w:rsidR="00A07A32" w:rsidRPr="003314D7">
        <w:rPr>
          <w:szCs w:val="28"/>
          <w:lang w:val="uk-UA"/>
        </w:rPr>
        <w:t>З</w:t>
      </w:r>
      <w:r w:rsidR="003A4A44" w:rsidRPr="003314D7">
        <w:rPr>
          <w:szCs w:val="28"/>
          <w:lang w:val="uk-UA"/>
        </w:rPr>
        <w:t>акону пропонується</w:t>
      </w:r>
      <w:r w:rsidR="003A4A44" w:rsidRPr="00A266B0">
        <w:rPr>
          <w:szCs w:val="28"/>
          <w:lang w:val="uk-UA"/>
        </w:rPr>
        <w:t xml:space="preserve"> прирівняти до соціальної реклами інформацію про мецената спорту під час підготовки та </w:t>
      </w:r>
      <w:r w:rsidR="0019767D" w:rsidRPr="00A266B0">
        <w:rPr>
          <w:szCs w:val="28"/>
          <w:lang w:val="uk-UA"/>
        </w:rPr>
        <w:t>проведення офіційних спортивних заходів</w:t>
      </w:r>
      <w:r w:rsidR="003A4A44" w:rsidRPr="00A266B0">
        <w:rPr>
          <w:szCs w:val="28"/>
          <w:lang w:val="uk-UA"/>
        </w:rPr>
        <w:t xml:space="preserve"> (зміни до ч</w:t>
      </w:r>
      <w:r w:rsidR="00D33595" w:rsidRPr="00A266B0">
        <w:rPr>
          <w:szCs w:val="28"/>
          <w:lang w:val="uk-UA"/>
        </w:rPr>
        <w:t>. 2</w:t>
      </w:r>
      <w:r w:rsidR="003A4A44" w:rsidRPr="00A266B0">
        <w:rPr>
          <w:szCs w:val="28"/>
          <w:lang w:val="uk-UA"/>
        </w:rPr>
        <w:t xml:space="preserve"> ст</w:t>
      </w:r>
      <w:r w:rsidR="00D33595" w:rsidRPr="00A266B0">
        <w:rPr>
          <w:szCs w:val="28"/>
          <w:lang w:val="uk-UA"/>
        </w:rPr>
        <w:t>.</w:t>
      </w:r>
      <w:r w:rsidR="003A4A44" w:rsidRPr="00A266B0">
        <w:rPr>
          <w:szCs w:val="28"/>
          <w:lang w:val="uk-UA"/>
        </w:rPr>
        <w:t xml:space="preserve"> 12). Така пропозиція не </w:t>
      </w:r>
      <w:r w:rsidR="00A266B0" w:rsidRPr="00A266B0">
        <w:rPr>
          <w:szCs w:val="28"/>
          <w:lang w:val="uk-UA"/>
        </w:rPr>
        <w:t xml:space="preserve">в повній мірі </w:t>
      </w:r>
      <w:r w:rsidR="003A4A44" w:rsidRPr="00A266B0">
        <w:rPr>
          <w:szCs w:val="28"/>
          <w:lang w:val="uk-UA"/>
        </w:rPr>
        <w:t>узгоджується з суттю поняття «соціальна реклама», що визначається, як «інформація будь-якого виду, розповсюджена в будь-якій формі, яка спрямована на досягнення суспільно корисних цілей, популяризацію загальнолюдських цінностей і розповсюдження якої не має на меті отримання прибутку» (абз</w:t>
      </w:r>
      <w:r w:rsidR="00D33595" w:rsidRPr="00A266B0">
        <w:rPr>
          <w:szCs w:val="28"/>
          <w:lang w:val="uk-UA"/>
        </w:rPr>
        <w:t xml:space="preserve">. </w:t>
      </w:r>
      <w:r w:rsidR="003A4A44" w:rsidRPr="00A266B0">
        <w:rPr>
          <w:szCs w:val="28"/>
          <w:lang w:val="uk-UA"/>
        </w:rPr>
        <w:t>1</w:t>
      </w:r>
      <w:r w:rsidR="00D33595" w:rsidRPr="00A266B0">
        <w:rPr>
          <w:szCs w:val="28"/>
          <w:lang w:val="uk-UA"/>
        </w:rPr>
        <w:t>7</w:t>
      </w:r>
      <w:r w:rsidR="003A4A44" w:rsidRPr="00A266B0">
        <w:rPr>
          <w:szCs w:val="28"/>
          <w:lang w:val="uk-UA"/>
        </w:rPr>
        <w:t xml:space="preserve"> ст</w:t>
      </w:r>
      <w:r w:rsidR="00D33595" w:rsidRPr="00A266B0">
        <w:rPr>
          <w:szCs w:val="28"/>
          <w:lang w:val="uk-UA"/>
        </w:rPr>
        <w:t>.</w:t>
      </w:r>
      <w:r w:rsidR="003A4A44" w:rsidRPr="00A266B0">
        <w:rPr>
          <w:szCs w:val="28"/>
          <w:lang w:val="uk-UA"/>
        </w:rPr>
        <w:t xml:space="preserve"> 1 Закону України «Про рекламу»).</w:t>
      </w:r>
    </w:p>
    <w:p w:rsidR="00AE3943" w:rsidRPr="00A266B0" w:rsidRDefault="008B6F4A" w:rsidP="008B3167">
      <w:pPr>
        <w:ind w:firstLine="720"/>
        <w:jc w:val="both"/>
        <w:rPr>
          <w:szCs w:val="28"/>
          <w:lang w:val="uk-UA"/>
        </w:rPr>
      </w:pPr>
      <w:r w:rsidRPr="00A266B0">
        <w:rPr>
          <w:szCs w:val="28"/>
          <w:lang w:val="uk-UA"/>
        </w:rPr>
        <w:t>5</w:t>
      </w:r>
      <w:r w:rsidR="0021213C" w:rsidRPr="00A266B0">
        <w:rPr>
          <w:szCs w:val="28"/>
          <w:lang w:val="uk-UA"/>
        </w:rPr>
        <w:t xml:space="preserve">.2. </w:t>
      </w:r>
      <w:r w:rsidR="0019767D" w:rsidRPr="00A266B0">
        <w:rPr>
          <w:szCs w:val="28"/>
          <w:lang w:val="uk-UA"/>
        </w:rPr>
        <w:t>З</w:t>
      </w:r>
      <w:r w:rsidR="00AE3943" w:rsidRPr="00A266B0">
        <w:rPr>
          <w:szCs w:val="28"/>
          <w:lang w:val="uk-UA"/>
        </w:rPr>
        <w:t>аконопроектом пропонується викласти ч</w:t>
      </w:r>
      <w:r w:rsidR="00B53AC5" w:rsidRPr="00A266B0">
        <w:rPr>
          <w:szCs w:val="28"/>
          <w:lang w:val="uk-UA"/>
        </w:rPr>
        <w:t>.</w:t>
      </w:r>
      <w:r w:rsidR="00AE3943" w:rsidRPr="00A266B0">
        <w:rPr>
          <w:szCs w:val="28"/>
          <w:lang w:val="uk-UA"/>
        </w:rPr>
        <w:t xml:space="preserve"> </w:t>
      </w:r>
      <w:r w:rsidR="00B53AC5" w:rsidRPr="00A266B0">
        <w:rPr>
          <w:szCs w:val="28"/>
          <w:lang w:val="uk-UA"/>
        </w:rPr>
        <w:t>2</w:t>
      </w:r>
      <w:r w:rsidR="00AE3943" w:rsidRPr="00A266B0">
        <w:rPr>
          <w:szCs w:val="28"/>
          <w:lang w:val="uk-UA"/>
        </w:rPr>
        <w:t xml:space="preserve"> ст</w:t>
      </w:r>
      <w:r w:rsidR="00B53AC5" w:rsidRPr="00A266B0">
        <w:rPr>
          <w:szCs w:val="28"/>
          <w:lang w:val="uk-UA"/>
        </w:rPr>
        <w:t>.</w:t>
      </w:r>
      <w:r w:rsidR="00AE3943" w:rsidRPr="00A266B0">
        <w:rPr>
          <w:szCs w:val="28"/>
          <w:lang w:val="uk-UA"/>
        </w:rPr>
        <w:t xml:space="preserve"> 12 Закону </w:t>
      </w:r>
      <w:r w:rsidR="00DA7ED2" w:rsidRPr="00A266B0">
        <w:rPr>
          <w:szCs w:val="28"/>
          <w:lang w:val="uk-UA"/>
        </w:rPr>
        <w:t xml:space="preserve">України «Про рекламу» </w:t>
      </w:r>
      <w:r w:rsidR="00AE3943" w:rsidRPr="00A266B0">
        <w:rPr>
          <w:szCs w:val="28"/>
          <w:lang w:val="uk-UA"/>
        </w:rPr>
        <w:t xml:space="preserve">у новій редакції, відповідно до якої «інформація про мецената спорту під час підготовки та проведення офіційних спортивних заходів </w:t>
      </w:r>
      <w:r w:rsidR="00A266B0" w:rsidRPr="00A266B0">
        <w:rPr>
          <w:szCs w:val="28"/>
          <w:lang w:val="uk-UA"/>
        </w:rPr>
        <w:t xml:space="preserve">…  </w:t>
      </w:r>
      <w:r w:rsidR="00AE3943" w:rsidRPr="00A266B0">
        <w:rPr>
          <w:szCs w:val="28"/>
          <w:lang w:val="uk-UA"/>
        </w:rPr>
        <w:t xml:space="preserve">та реклама національних фільмів </w:t>
      </w:r>
      <w:r w:rsidR="00A266B0" w:rsidRPr="00A266B0">
        <w:rPr>
          <w:szCs w:val="28"/>
          <w:lang w:val="uk-UA"/>
        </w:rPr>
        <w:t xml:space="preserve">… </w:t>
      </w:r>
      <w:r w:rsidR="00AE3943" w:rsidRPr="00A266B0">
        <w:rPr>
          <w:szCs w:val="28"/>
          <w:lang w:val="uk-UA"/>
        </w:rPr>
        <w:t>може розміщуватися і розповсюджуватися, за умови дотримання вимог, встановлених абзацом дванадцятим частини першої статті 8 цього Закону» (абз</w:t>
      </w:r>
      <w:r w:rsidR="00B53AC5" w:rsidRPr="00A266B0">
        <w:rPr>
          <w:szCs w:val="28"/>
          <w:lang w:val="uk-UA"/>
        </w:rPr>
        <w:t>.</w:t>
      </w:r>
      <w:r w:rsidR="00AE3943" w:rsidRPr="00A266B0">
        <w:rPr>
          <w:szCs w:val="28"/>
          <w:lang w:val="uk-UA"/>
        </w:rPr>
        <w:t xml:space="preserve"> </w:t>
      </w:r>
      <w:r w:rsidR="00B53AC5" w:rsidRPr="00A266B0">
        <w:rPr>
          <w:szCs w:val="28"/>
          <w:lang w:val="uk-UA"/>
        </w:rPr>
        <w:t>2</w:t>
      </w:r>
      <w:r w:rsidR="00AE3943" w:rsidRPr="00A266B0">
        <w:rPr>
          <w:szCs w:val="28"/>
          <w:lang w:val="uk-UA"/>
        </w:rPr>
        <w:t>). Разом з тим</w:t>
      </w:r>
      <w:r w:rsidR="002124C5" w:rsidRPr="00A266B0">
        <w:rPr>
          <w:szCs w:val="28"/>
          <w:lang w:val="uk-UA"/>
        </w:rPr>
        <w:t>,</w:t>
      </w:r>
      <w:r w:rsidR="00AE3943" w:rsidRPr="00A266B0">
        <w:rPr>
          <w:szCs w:val="28"/>
          <w:lang w:val="uk-UA"/>
        </w:rPr>
        <w:t xml:space="preserve"> відповідний абз</w:t>
      </w:r>
      <w:r w:rsidR="00B53AC5" w:rsidRPr="00A266B0">
        <w:rPr>
          <w:szCs w:val="28"/>
          <w:lang w:val="uk-UA"/>
        </w:rPr>
        <w:t>. 12</w:t>
      </w:r>
      <w:r w:rsidR="00AE3943" w:rsidRPr="00A266B0">
        <w:rPr>
          <w:szCs w:val="28"/>
          <w:lang w:val="uk-UA"/>
        </w:rPr>
        <w:t xml:space="preserve"> ч</w:t>
      </w:r>
      <w:r w:rsidR="00B53AC5" w:rsidRPr="00A266B0">
        <w:rPr>
          <w:szCs w:val="28"/>
          <w:lang w:val="uk-UA"/>
        </w:rPr>
        <w:t>.</w:t>
      </w:r>
      <w:r w:rsidR="00AE3943" w:rsidRPr="00A266B0">
        <w:rPr>
          <w:szCs w:val="28"/>
          <w:lang w:val="uk-UA"/>
        </w:rPr>
        <w:t xml:space="preserve"> </w:t>
      </w:r>
      <w:r w:rsidR="00B53AC5" w:rsidRPr="00A266B0">
        <w:rPr>
          <w:szCs w:val="28"/>
          <w:lang w:val="uk-UA"/>
        </w:rPr>
        <w:t>1</w:t>
      </w:r>
      <w:r w:rsidR="00AE3943" w:rsidRPr="00A266B0">
        <w:rPr>
          <w:szCs w:val="28"/>
          <w:lang w:val="uk-UA"/>
        </w:rPr>
        <w:t xml:space="preserve"> </w:t>
      </w:r>
      <w:r w:rsidR="005E4B33">
        <w:rPr>
          <w:szCs w:val="28"/>
          <w:lang w:val="uk-UA"/>
        </w:rPr>
        <w:br/>
      </w:r>
      <w:r w:rsidR="00AE3943" w:rsidRPr="00A266B0">
        <w:rPr>
          <w:szCs w:val="28"/>
          <w:lang w:val="uk-UA"/>
        </w:rPr>
        <w:t>ст</w:t>
      </w:r>
      <w:r w:rsidR="00B53AC5" w:rsidRPr="00A266B0">
        <w:rPr>
          <w:szCs w:val="28"/>
          <w:lang w:val="uk-UA"/>
        </w:rPr>
        <w:t>.</w:t>
      </w:r>
      <w:r w:rsidR="00AE3943" w:rsidRPr="00A266B0">
        <w:rPr>
          <w:szCs w:val="28"/>
          <w:lang w:val="uk-UA"/>
        </w:rPr>
        <w:t xml:space="preserve"> 8 Закону України «Про рекламу»</w:t>
      </w:r>
      <w:r w:rsidR="00A07A32" w:rsidRPr="00A266B0">
        <w:rPr>
          <w:szCs w:val="28"/>
          <w:lang w:val="uk-UA"/>
        </w:rPr>
        <w:t>,</w:t>
      </w:r>
      <w:r w:rsidR="00AE3943" w:rsidRPr="00A266B0">
        <w:rPr>
          <w:szCs w:val="28"/>
          <w:lang w:val="uk-UA"/>
        </w:rPr>
        <w:t xml:space="preserve"> на який робиться посилання</w:t>
      </w:r>
      <w:r w:rsidR="00A07A32" w:rsidRPr="00A266B0">
        <w:rPr>
          <w:szCs w:val="28"/>
          <w:lang w:val="uk-UA"/>
        </w:rPr>
        <w:t>,</w:t>
      </w:r>
      <w:r w:rsidR="00AE3943" w:rsidRPr="00A266B0">
        <w:rPr>
          <w:szCs w:val="28"/>
          <w:lang w:val="uk-UA"/>
        </w:rPr>
        <w:t xml:space="preserve"> встановлює заборону на розповсюдження реклами (включаючи анонси кіно- і телефільмів), яка містить елементи жорстокості, насильства, порнографії, цинізму, приниження людської честі та</w:t>
      </w:r>
      <w:r w:rsidR="00C7275A" w:rsidRPr="00A266B0">
        <w:rPr>
          <w:szCs w:val="28"/>
          <w:lang w:val="uk-UA"/>
        </w:rPr>
        <w:t xml:space="preserve"> гідності, </w:t>
      </w:r>
      <w:r w:rsidR="00EB7166" w:rsidRPr="00A266B0">
        <w:rPr>
          <w:szCs w:val="28"/>
          <w:lang w:val="uk-UA"/>
        </w:rPr>
        <w:t xml:space="preserve">яку </w:t>
      </w:r>
      <w:r w:rsidR="00A07A32" w:rsidRPr="00A266B0">
        <w:rPr>
          <w:szCs w:val="28"/>
          <w:lang w:val="uk-UA"/>
        </w:rPr>
        <w:t>на</w:t>
      </w:r>
      <w:r w:rsidR="00C7275A" w:rsidRPr="00A266B0">
        <w:rPr>
          <w:szCs w:val="28"/>
          <w:lang w:val="uk-UA"/>
        </w:rPr>
        <w:t xml:space="preserve">вряд чи можна </w:t>
      </w:r>
      <w:r w:rsidR="00EB7166" w:rsidRPr="00A266B0">
        <w:rPr>
          <w:szCs w:val="28"/>
          <w:lang w:val="uk-UA"/>
        </w:rPr>
        <w:t>застосувати</w:t>
      </w:r>
      <w:r w:rsidR="00C7275A" w:rsidRPr="00A266B0">
        <w:rPr>
          <w:szCs w:val="28"/>
          <w:lang w:val="uk-UA"/>
        </w:rPr>
        <w:t xml:space="preserve"> до</w:t>
      </w:r>
      <w:r w:rsidR="00EB7166" w:rsidRPr="00A266B0">
        <w:rPr>
          <w:szCs w:val="28"/>
          <w:lang w:val="uk-UA"/>
        </w:rPr>
        <w:t xml:space="preserve"> розповсюдження інформації про мецената спорту під час підготовки та проведення офіційних спортивних заходів.</w:t>
      </w:r>
    </w:p>
    <w:p w:rsidR="00EB7166" w:rsidRPr="003314D7" w:rsidRDefault="008B6F4A" w:rsidP="008B3167">
      <w:pPr>
        <w:ind w:firstLine="720"/>
        <w:jc w:val="both"/>
        <w:rPr>
          <w:szCs w:val="28"/>
          <w:lang w:val="uk-UA"/>
        </w:rPr>
      </w:pPr>
      <w:r w:rsidRPr="00A266B0">
        <w:rPr>
          <w:szCs w:val="28"/>
          <w:lang w:val="uk-UA"/>
        </w:rPr>
        <w:t>5</w:t>
      </w:r>
      <w:r w:rsidR="0021213C" w:rsidRPr="00A266B0">
        <w:rPr>
          <w:szCs w:val="28"/>
          <w:lang w:val="uk-UA"/>
        </w:rPr>
        <w:t xml:space="preserve">.3. </w:t>
      </w:r>
      <w:r w:rsidR="00EB7166" w:rsidRPr="00A266B0">
        <w:rPr>
          <w:szCs w:val="28"/>
          <w:lang w:val="uk-UA"/>
        </w:rPr>
        <w:t xml:space="preserve">Виглядають </w:t>
      </w:r>
      <w:r w:rsidR="006832F1" w:rsidRPr="00A266B0">
        <w:rPr>
          <w:szCs w:val="28"/>
          <w:lang w:val="uk-UA"/>
        </w:rPr>
        <w:t xml:space="preserve">в контексті запропонованого співвідношення </w:t>
      </w:r>
      <w:r w:rsidR="00E945DE" w:rsidRPr="00A266B0">
        <w:rPr>
          <w:szCs w:val="28"/>
          <w:lang w:val="uk-UA"/>
        </w:rPr>
        <w:t xml:space="preserve">дещо спірними </w:t>
      </w:r>
      <w:r w:rsidR="008447D9" w:rsidRPr="00A266B0">
        <w:rPr>
          <w:szCs w:val="28"/>
          <w:lang w:val="uk-UA"/>
        </w:rPr>
        <w:t>новели</w:t>
      </w:r>
      <w:r w:rsidR="006832F1" w:rsidRPr="00A266B0">
        <w:rPr>
          <w:szCs w:val="28"/>
          <w:lang w:val="uk-UA"/>
        </w:rPr>
        <w:t>,</w:t>
      </w:r>
      <w:r w:rsidR="008447D9" w:rsidRPr="00A266B0">
        <w:rPr>
          <w:szCs w:val="28"/>
          <w:lang w:val="uk-UA"/>
        </w:rPr>
        <w:t xml:space="preserve"> </w:t>
      </w:r>
      <w:r w:rsidR="00B53AC5" w:rsidRPr="00A266B0">
        <w:rPr>
          <w:szCs w:val="28"/>
          <w:lang w:val="uk-UA"/>
        </w:rPr>
        <w:t>які доповнюють ч. 4</w:t>
      </w:r>
      <w:r w:rsidR="00EB7166" w:rsidRPr="00A266B0">
        <w:rPr>
          <w:szCs w:val="28"/>
          <w:lang w:val="uk-UA"/>
        </w:rPr>
        <w:t xml:space="preserve"> ст</w:t>
      </w:r>
      <w:r w:rsidR="00B53AC5" w:rsidRPr="00A266B0">
        <w:rPr>
          <w:szCs w:val="28"/>
          <w:lang w:val="uk-UA"/>
        </w:rPr>
        <w:t>.</w:t>
      </w:r>
      <w:r w:rsidR="00EB7166" w:rsidRPr="00A266B0">
        <w:rPr>
          <w:szCs w:val="28"/>
          <w:lang w:val="uk-UA"/>
        </w:rPr>
        <w:t xml:space="preserve"> 12 зазначеного Закону, відповідно до яких</w:t>
      </w:r>
      <w:r w:rsidR="00EB7166" w:rsidRPr="00A266B0">
        <w:rPr>
          <w:lang w:val="uk-UA"/>
        </w:rPr>
        <w:t xml:space="preserve"> </w:t>
      </w:r>
      <w:r w:rsidR="00EB7166" w:rsidRPr="00A266B0">
        <w:rPr>
          <w:szCs w:val="28"/>
          <w:lang w:val="uk-UA"/>
        </w:rPr>
        <w:t xml:space="preserve">засоби масової інформації – розповсюджувачі реклами, діяльність яких повністю або частково фінансується з державного або місцевих бюджетів, зобов’язані розміщувати соціальну рекламу державних органів та органів місцевого самоврядування, громадських організацій безкоштовно в обсязі не менше </w:t>
      </w:r>
      <w:r w:rsidR="00EB7166" w:rsidRPr="00A266B0">
        <w:rPr>
          <w:i/>
          <w:szCs w:val="28"/>
          <w:lang w:val="uk-UA"/>
        </w:rPr>
        <w:t xml:space="preserve">7 </w:t>
      </w:r>
      <w:r w:rsidR="00EB7166" w:rsidRPr="00A266B0">
        <w:rPr>
          <w:szCs w:val="28"/>
          <w:lang w:val="uk-UA"/>
        </w:rPr>
        <w:t xml:space="preserve">відсотків ефірного часу, друкованої площі, відведених для реклами, </w:t>
      </w:r>
      <w:r w:rsidR="00EB7166" w:rsidRPr="00A266B0">
        <w:rPr>
          <w:i/>
          <w:szCs w:val="28"/>
          <w:lang w:val="uk-UA"/>
        </w:rPr>
        <w:t xml:space="preserve">з яких не менше 2 відсотків </w:t>
      </w:r>
      <w:r w:rsidR="005B44C0" w:rsidRPr="00A266B0">
        <w:rPr>
          <w:i/>
          <w:szCs w:val="28"/>
          <w:lang w:val="uk-UA"/>
        </w:rPr>
        <w:t>–</w:t>
      </w:r>
      <w:r w:rsidR="00EB7166" w:rsidRPr="00A266B0">
        <w:rPr>
          <w:i/>
          <w:szCs w:val="28"/>
          <w:lang w:val="uk-UA"/>
        </w:rPr>
        <w:t xml:space="preserve"> для меценатів спорту (про фізичну </w:t>
      </w:r>
      <w:r w:rsidR="00EB7166" w:rsidRPr="00A266B0">
        <w:rPr>
          <w:i/>
          <w:szCs w:val="28"/>
          <w:lang w:val="uk-UA"/>
        </w:rPr>
        <w:lastRenderedPageBreak/>
        <w:t>культуру і спорт)</w:t>
      </w:r>
      <w:r w:rsidR="005B44C0" w:rsidRPr="00A266B0">
        <w:rPr>
          <w:i/>
          <w:szCs w:val="28"/>
          <w:lang w:val="uk-UA"/>
        </w:rPr>
        <w:t>.</w:t>
      </w:r>
      <w:r w:rsidR="005B44C0" w:rsidRPr="00A266B0">
        <w:rPr>
          <w:szCs w:val="28"/>
          <w:lang w:val="uk-UA"/>
        </w:rPr>
        <w:t xml:space="preserve"> Крім того, відповідно до правил законодавчої техніки, цю частину </w:t>
      </w:r>
      <w:r w:rsidR="005B44C0" w:rsidRPr="003314D7">
        <w:rPr>
          <w:szCs w:val="28"/>
          <w:lang w:val="uk-UA"/>
        </w:rPr>
        <w:t>доцільніше доповнити відповідним</w:t>
      </w:r>
      <w:r w:rsidR="006F251C" w:rsidRPr="003314D7">
        <w:rPr>
          <w:szCs w:val="28"/>
          <w:lang w:val="uk-UA"/>
        </w:rPr>
        <w:t>и</w:t>
      </w:r>
      <w:r w:rsidR="005B44C0" w:rsidRPr="003314D7">
        <w:rPr>
          <w:szCs w:val="28"/>
          <w:lang w:val="uk-UA"/>
        </w:rPr>
        <w:t xml:space="preserve"> словами, а не викладати її у новій редакції, як це пропонується у проекті.</w:t>
      </w:r>
    </w:p>
    <w:p w:rsidR="0001396E" w:rsidRPr="003314D7" w:rsidRDefault="008B6F4A" w:rsidP="008B3167">
      <w:pPr>
        <w:ind w:firstLine="720"/>
        <w:jc w:val="both"/>
        <w:rPr>
          <w:lang w:val="uk-UA"/>
        </w:rPr>
      </w:pPr>
      <w:r w:rsidRPr="003314D7">
        <w:rPr>
          <w:b/>
          <w:lang w:val="uk-UA"/>
        </w:rPr>
        <w:t>6</w:t>
      </w:r>
      <w:r w:rsidR="009B665D" w:rsidRPr="003314D7">
        <w:rPr>
          <w:b/>
          <w:lang w:val="uk-UA"/>
        </w:rPr>
        <w:t xml:space="preserve">. </w:t>
      </w:r>
      <w:r w:rsidR="009B665D" w:rsidRPr="003314D7">
        <w:rPr>
          <w:lang w:val="uk-UA"/>
        </w:rPr>
        <w:t>Не можна погодитись із пропонованим порядком набрання чинності Законом, проект якого розглядається, – «з дня, наступного за днем його опублікування» (п</w:t>
      </w:r>
      <w:r w:rsidR="00206A63" w:rsidRPr="003314D7">
        <w:rPr>
          <w:lang w:val="uk-UA"/>
        </w:rPr>
        <w:t>.</w:t>
      </w:r>
      <w:r w:rsidR="009B665D" w:rsidRPr="003314D7">
        <w:rPr>
          <w:lang w:val="uk-UA"/>
        </w:rPr>
        <w:t xml:space="preserve"> 1 розділу IІІ «Прикінцеві та перехідні положення»), адже реалізація положень проекту потребує комплексного оновлення підзаконної нормативно-правової бази, на яке Кабінету Міністрів України дається шість місяців (п</w:t>
      </w:r>
      <w:r w:rsidR="00206A63" w:rsidRPr="003314D7">
        <w:rPr>
          <w:lang w:val="uk-UA"/>
        </w:rPr>
        <w:t>.</w:t>
      </w:r>
      <w:r w:rsidR="009B665D" w:rsidRPr="003314D7">
        <w:rPr>
          <w:lang w:val="uk-UA"/>
        </w:rPr>
        <w:t xml:space="preserve"> 3 розділу ІIІ проекту), та здійснення низки практичних заходів. У зв’язку із цим, на думку </w:t>
      </w:r>
      <w:r w:rsidR="004D563F" w:rsidRPr="003314D7">
        <w:rPr>
          <w:lang w:val="uk-UA"/>
        </w:rPr>
        <w:t xml:space="preserve">Головного </w:t>
      </w:r>
      <w:r w:rsidR="009B665D" w:rsidRPr="003314D7">
        <w:rPr>
          <w:lang w:val="uk-UA"/>
        </w:rPr>
        <w:t xml:space="preserve">управління, </w:t>
      </w:r>
      <w:r w:rsidR="004D563F" w:rsidRPr="003314D7">
        <w:rPr>
          <w:lang w:val="uk-UA"/>
        </w:rPr>
        <w:t xml:space="preserve">цей </w:t>
      </w:r>
      <w:r w:rsidR="009B665D" w:rsidRPr="003314D7">
        <w:rPr>
          <w:lang w:val="uk-UA"/>
        </w:rPr>
        <w:t xml:space="preserve">Закон </w:t>
      </w:r>
      <w:r w:rsidR="004D563F" w:rsidRPr="003314D7">
        <w:rPr>
          <w:lang w:val="uk-UA"/>
        </w:rPr>
        <w:t xml:space="preserve">у випадку прийняття </w:t>
      </w:r>
      <w:r w:rsidR="009B665D" w:rsidRPr="003314D7">
        <w:rPr>
          <w:lang w:val="uk-UA"/>
        </w:rPr>
        <w:t>повинен вводитись в дію щонайменше через шість місяців після дня його опублікування.</w:t>
      </w:r>
    </w:p>
    <w:p w:rsidR="00A07A32" w:rsidRPr="003314D7" w:rsidRDefault="00A07A32" w:rsidP="008B3167">
      <w:pPr>
        <w:ind w:firstLine="720"/>
        <w:jc w:val="both"/>
        <w:rPr>
          <w:lang w:val="uk-UA"/>
        </w:rPr>
      </w:pPr>
      <w:r w:rsidRPr="003314D7">
        <w:rPr>
          <w:lang w:val="uk-UA"/>
        </w:rPr>
        <w:t>Крім того, текст законопроекту потребує усунення техніко-юридичних недоліків</w:t>
      </w:r>
      <w:r w:rsidRPr="003314D7">
        <w:rPr>
          <w:strike/>
          <w:lang w:val="uk-UA"/>
        </w:rPr>
        <w:t xml:space="preserve"> </w:t>
      </w:r>
      <w:r w:rsidR="004D563F" w:rsidRPr="003314D7">
        <w:rPr>
          <w:lang w:val="uk-UA"/>
        </w:rPr>
        <w:t>у</w:t>
      </w:r>
      <w:r w:rsidRPr="003314D7">
        <w:rPr>
          <w:lang w:val="uk-UA"/>
        </w:rPr>
        <w:t xml:space="preserve"> частині порушення послідовності розміщення його статей. Так, у ньому відсутня ст</w:t>
      </w:r>
      <w:r w:rsidR="00E945DE" w:rsidRPr="003314D7">
        <w:rPr>
          <w:lang w:val="uk-UA"/>
        </w:rPr>
        <w:t>.</w:t>
      </w:r>
      <w:r w:rsidRPr="003314D7">
        <w:rPr>
          <w:lang w:val="uk-UA"/>
        </w:rPr>
        <w:t xml:space="preserve"> 4.</w:t>
      </w:r>
    </w:p>
    <w:p w:rsidR="00BF485D" w:rsidRPr="00A266B0" w:rsidRDefault="00BF485D" w:rsidP="008B3167">
      <w:pPr>
        <w:ind w:firstLine="720"/>
        <w:jc w:val="both"/>
        <w:rPr>
          <w:lang w:val="uk-UA"/>
        </w:rPr>
      </w:pPr>
      <w:r w:rsidRPr="003314D7">
        <w:rPr>
          <w:lang w:val="uk-UA"/>
        </w:rPr>
        <w:t xml:space="preserve">Зважаючи на вищезазначене та враховуючи принцип стислості та економічності законодавства, </w:t>
      </w:r>
      <w:r w:rsidR="004D563F" w:rsidRPr="003314D7">
        <w:rPr>
          <w:lang w:val="uk-UA"/>
        </w:rPr>
        <w:t xml:space="preserve">Головне </w:t>
      </w:r>
      <w:r w:rsidRPr="003314D7">
        <w:rPr>
          <w:lang w:val="uk-UA"/>
        </w:rPr>
        <w:t xml:space="preserve">управління вважає, що позитивні напрацювання, що містяться у цьому законопроекті, можуть бути оформлені у вигляді змін та доповнень до чинного </w:t>
      </w:r>
      <w:r w:rsidR="00D50F2D" w:rsidRPr="003314D7">
        <w:rPr>
          <w:lang w:val="uk-UA"/>
        </w:rPr>
        <w:t xml:space="preserve">законодавства України, яке врегульовує відповідні суспільні відносини, а саме: законів України </w:t>
      </w:r>
      <w:bookmarkStart w:id="0" w:name="_GoBack"/>
      <w:bookmarkEnd w:id="0"/>
      <w:r w:rsidR="00D50F2D" w:rsidRPr="003314D7">
        <w:rPr>
          <w:lang w:val="uk-UA"/>
        </w:rPr>
        <w:t>«Про благодійну діяльність та благодійні організації»</w:t>
      </w:r>
      <w:r w:rsidR="00EA3068" w:rsidRPr="003314D7">
        <w:rPr>
          <w:lang w:val="uk-UA"/>
        </w:rPr>
        <w:t>, «Про рекламу»</w:t>
      </w:r>
      <w:r w:rsidR="00D50F2D" w:rsidRPr="003314D7">
        <w:rPr>
          <w:lang w:val="uk-UA"/>
        </w:rPr>
        <w:t xml:space="preserve"> та «Про фізичну культуру і спорт»</w:t>
      </w:r>
      <w:r w:rsidRPr="003314D7">
        <w:rPr>
          <w:lang w:val="uk-UA"/>
        </w:rPr>
        <w:t>, у зв’язку</w:t>
      </w:r>
      <w:r w:rsidRPr="00A266B0">
        <w:rPr>
          <w:lang w:val="uk-UA"/>
        </w:rPr>
        <w:t xml:space="preserve"> з чим не вбачає потреби у регулюванні порушених питань окремим законом. </w:t>
      </w:r>
    </w:p>
    <w:p w:rsidR="002A435E" w:rsidRPr="00A266B0" w:rsidRDefault="002A435E" w:rsidP="008B3167">
      <w:pPr>
        <w:suppressAutoHyphens/>
        <w:ind w:firstLine="720"/>
        <w:jc w:val="both"/>
        <w:rPr>
          <w:lang w:val="uk-UA" w:eastAsia="zh-CN"/>
        </w:rPr>
      </w:pPr>
      <w:r w:rsidRPr="00A266B0">
        <w:rPr>
          <w:lang w:val="uk-UA" w:eastAsia="zh-CN"/>
        </w:rPr>
        <w:t xml:space="preserve">У зв’язку з цим, зазначимо, що на розгляді </w:t>
      </w:r>
      <w:r w:rsidR="00465690" w:rsidRPr="00A266B0">
        <w:rPr>
          <w:color w:val="000000"/>
          <w:shd w:val="clear" w:color="auto" w:fill="FFFFFF"/>
          <w:lang w:val="uk-UA" w:eastAsia="zh-CN"/>
        </w:rPr>
        <w:t>у Верховній Раді України знаходя</w:t>
      </w:r>
      <w:r w:rsidRPr="00A266B0">
        <w:rPr>
          <w:color w:val="000000"/>
          <w:shd w:val="clear" w:color="auto" w:fill="FFFFFF"/>
          <w:lang w:val="uk-UA" w:eastAsia="zh-CN"/>
        </w:rPr>
        <w:t xml:space="preserve">ться проект Закону України </w:t>
      </w:r>
      <w:r w:rsidRPr="00A266B0">
        <w:rPr>
          <w:szCs w:val="28"/>
          <w:shd w:val="clear" w:color="auto" w:fill="FFFFFF"/>
          <w:lang w:val="uk-UA" w:eastAsia="zh-CN"/>
        </w:rPr>
        <w:t>«</w:t>
      </w:r>
      <w:r w:rsidRPr="00A266B0">
        <w:rPr>
          <w:bCs/>
          <w:szCs w:val="28"/>
          <w:shd w:val="clear" w:color="auto" w:fill="FFFFFF"/>
          <w:lang w:val="uk-UA" w:eastAsia="zh-CN"/>
        </w:rPr>
        <w:t>Про внесення змін до деяких законів України щодо меценатської діяльності у сфері спорту</w:t>
      </w:r>
      <w:r w:rsidRPr="00A266B0">
        <w:rPr>
          <w:bCs/>
          <w:szCs w:val="28"/>
          <w:lang w:val="uk-UA" w:eastAsia="zh-CN"/>
        </w:rPr>
        <w:t xml:space="preserve">» </w:t>
      </w:r>
      <w:r w:rsidR="006832F1" w:rsidRPr="00A266B0">
        <w:rPr>
          <w:shd w:val="clear" w:color="auto" w:fill="FFFFFF"/>
          <w:lang w:val="uk-UA" w:eastAsia="zh-CN"/>
        </w:rPr>
        <w:t xml:space="preserve">реєстр. № 3498 від 18.05.2020 </w:t>
      </w:r>
      <w:r w:rsidRPr="00A266B0">
        <w:rPr>
          <w:color w:val="000000"/>
          <w:shd w:val="clear" w:color="auto" w:fill="FFFFFF"/>
          <w:lang w:val="uk-UA" w:eastAsia="zh-CN"/>
        </w:rPr>
        <w:t>т</w:t>
      </w:r>
      <w:r w:rsidRPr="00A266B0">
        <w:rPr>
          <w:shd w:val="clear" w:color="auto" w:fill="FFFFFF"/>
          <w:lang w:val="uk-UA" w:eastAsia="zh-CN"/>
        </w:rPr>
        <w:t>а проект Закону України «</w:t>
      </w:r>
      <w:r w:rsidRPr="00A266B0">
        <w:rPr>
          <w:color w:val="000000"/>
          <w:shd w:val="clear" w:color="auto" w:fill="FFFFFF"/>
          <w:lang w:val="uk-UA" w:eastAsia="zh-CN"/>
        </w:rPr>
        <w:t>П</w:t>
      </w:r>
      <w:r w:rsidRPr="00A266B0">
        <w:rPr>
          <w:shd w:val="clear" w:color="auto" w:fill="FFFFFF"/>
          <w:lang w:val="uk-UA" w:eastAsia="zh-CN"/>
        </w:rPr>
        <w:t xml:space="preserve">ро внесення змін до деяких законів України щодо меценатської діяльності у сфері спорту» </w:t>
      </w:r>
      <w:r w:rsidR="006832F1" w:rsidRPr="00A266B0">
        <w:rPr>
          <w:shd w:val="clear" w:color="auto" w:fill="FFFFFF"/>
          <w:lang w:val="uk-UA" w:eastAsia="zh-CN"/>
        </w:rPr>
        <w:t xml:space="preserve">реєстр. </w:t>
      </w:r>
      <w:r w:rsidRPr="00A266B0">
        <w:rPr>
          <w:shd w:val="clear" w:color="auto" w:fill="FFFFFF"/>
          <w:lang w:val="uk-UA" w:eastAsia="zh-CN"/>
        </w:rPr>
        <w:t>№ 3498-1 від 26.05.2020, в</w:t>
      </w:r>
      <w:r w:rsidRPr="00A266B0">
        <w:rPr>
          <w:color w:val="000000"/>
          <w:shd w:val="clear" w:color="auto" w:fill="FFFFFF"/>
          <w:lang w:val="uk-UA" w:eastAsia="zh-CN"/>
        </w:rPr>
        <w:t xml:space="preserve"> яких питання </w:t>
      </w:r>
      <w:r w:rsidRPr="00A266B0">
        <w:rPr>
          <w:color w:val="0D0D0D"/>
          <w:szCs w:val="28"/>
          <w:lang w:val="uk-UA" w:eastAsia="zh-CN"/>
        </w:rPr>
        <w:t>меценатської допомоги в сфері спорту пропонується вирішити саме шляхом внесення змін до чинного законодавства України.</w:t>
      </w:r>
    </w:p>
    <w:p w:rsidR="006F251C" w:rsidRPr="00A266B0" w:rsidRDefault="006F251C" w:rsidP="008B3167">
      <w:pPr>
        <w:ind w:firstLine="720"/>
        <w:rPr>
          <w:b/>
          <w:szCs w:val="28"/>
          <w:lang w:val="uk-UA"/>
        </w:rPr>
      </w:pPr>
    </w:p>
    <w:p w:rsidR="00A266B0" w:rsidRPr="00A266B0" w:rsidRDefault="00A266B0" w:rsidP="008B3167">
      <w:pPr>
        <w:tabs>
          <w:tab w:val="num" w:pos="0"/>
          <w:tab w:val="num" w:pos="140"/>
        </w:tabs>
        <w:ind w:firstLine="709"/>
        <w:jc w:val="both"/>
        <w:rPr>
          <w:szCs w:val="28"/>
          <w:lang w:val="uk-UA"/>
        </w:rPr>
      </w:pPr>
      <w:r w:rsidRPr="00A266B0">
        <w:rPr>
          <w:szCs w:val="28"/>
          <w:lang w:val="uk-UA"/>
        </w:rPr>
        <w:t>Узагальнюючий висновок: за результатами розгляду у першому читанні законопроект доцільно повернути суб’єктам права законодавчої ініціативи на доопрацювання з урахуванням висловлених зауважень та пропозицій.</w:t>
      </w:r>
    </w:p>
    <w:p w:rsidR="00A266B0" w:rsidRDefault="00A266B0" w:rsidP="008B3167">
      <w:pPr>
        <w:ind w:firstLine="720"/>
        <w:rPr>
          <w:szCs w:val="28"/>
          <w:lang w:val="uk-UA"/>
        </w:rPr>
      </w:pPr>
    </w:p>
    <w:p w:rsidR="00A266B0" w:rsidRDefault="00A266B0" w:rsidP="008B3167">
      <w:pPr>
        <w:ind w:firstLine="720"/>
        <w:rPr>
          <w:szCs w:val="28"/>
          <w:lang w:val="uk-UA"/>
        </w:rPr>
      </w:pPr>
    </w:p>
    <w:p w:rsidR="00C462A9" w:rsidRPr="00A266B0" w:rsidRDefault="00206A63" w:rsidP="008B3167">
      <w:pPr>
        <w:ind w:firstLine="720"/>
        <w:rPr>
          <w:szCs w:val="28"/>
          <w:lang w:val="uk-UA" w:eastAsia="uk-UA"/>
        </w:rPr>
      </w:pPr>
      <w:r w:rsidRPr="00A266B0">
        <w:rPr>
          <w:szCs w:val="28"/>
          <w:lang w:val="uk-UA"/>
        </w:rPr>
        <w:t xml:space="preserve">Керівник </w:t>
      </w:r>
      <w:r w:rsidR="00C462A9" w:rsidRPr="00A266B0">
        <w:rPr>
          <w:szCs w:val="28"/>
          <w:lang w:val="uk-UA"/>
        </w:rPr>
        <w:t xml:space="preserve">Головного управління                              </w:t>
      </w:r>
      <w:r w:rsidRPr="00A266B0">
        <w:rPr>
          <w:szCs w:val="28"/>
          <w:lang w:val="uk-UA"/>
        </w:rPr>
        <w:t xml:space="preserve"> </w:t>
      </w:r>
      <w:r w:rsidR="00C462A9" w:rsidRPr="00A266B0">
        <w:rPr>
          <w:szCs w:val="28"/>
          <w:lang w:val="uk-UA"/>
        </w:rPr>
        <w:t xml:space="preserve">           </w:t>
      </w:r>
      <w:r w:rsidR="00A266B0">
        <w:rPr>
          <w:szCs w:val="28"/>
          <w:lang w:val="uk-UA"/>
        </w:rPr>
        <w:t xml:space="preserve">     </w:t>
      </w:r>
      <w:r w:rsidR="00C462A9" w:rsidRPr="00A266B0">
        <w:rPr>
          <w:szCs w:val="28"/>
          <w:lang w:val="uk-UA"/>
        </w:rPr>
        <w:t xml:space="preserve">С. </w:t>
      </w:r>
      <w:r w:rsidRPr="00A266B0">
        <w:rPr>
          <w:szCs w:val="28"/>
          <w:lang w:val="uk-UA"/>
        </w:rPr>
        <w:t>Тихонюк</w:t>
      </w:r>
    </w:p>
    <w:p w:rsidR="009A3665" w:rsidRPr="00A266B0" w:rsidRDefault="009A3665" w:rsidP="008B3167">
      <w:pPr>
        <w:ind w:firstLine="720"/>
        <w:jc w:val="both"/>
        <w:rPr>
          <w:sz w:val="20"/>
          <w:szCs w:val="20"/>
          <w:lang w:val="uk-UA" w:eastAsia="uk-UA"/>
        </w:rPr>
      </w:pPr>
    </w:p>
    <w:p w:rsidR="00A266B0" w:rsidRDefault="00A266B0" w:rsidP="008B3167">
      <w:pPr>
        <w:suppressAutoHyphens/>
        <w:ind w:firstLine="720"/>
        <w:jc w:val="both"/>
        <w:rPr>
          <w:sz w:val="20"/>
          <w:szCs w:val="20"/>
          <w:lang w:val="uk-UA" w:eastAsia="uk-UA"/>
        </w:rPr>
      </w:pPr>
    </w:p>
    <w:p w:rsidR="008447D9" w:rsidRPr="00A266B0" w:rsidRDefault="002A435E" w:rsidP="008B3167">
      <w:pPr>
        <w:suppressAutoHyphens/>
        <w:ind w:firstLine="720"/>
        <w:jc w:val="both"/>
        <w:rPr>
          <w:rFonts w:eastAsia="MS Mincho"/>
          <w:b/>
          <w:color w:val="FF0000"/>
          <w:szCs w:val="28"/>
          <w:highlight w:val="green"/>
          <w:lang w:val="uk-UA" w:eastAsia="uk-UA"/>
        </w:rPr>
      </w:pPr>
      <w:r w:rsidRPr="00A266B0">
        <w:rPr>
          <w:sz w:val="20"/>
          <w:szCs w:val="20"/>
          <w:lang w:val="uk-UA" w:eastAsia="uk-UA"/>
        </w:rPr>
        <w:t>Вик.: В. Грицак, О.</w:t>
      </w:r>
      <w:r w:rsidR="00F42FC1" w:rsidRPr="00A266B0">
        <w:rPr>
          <w:sz w:val="20"/>
          <w:szCs w:val="20"/>
          <w:lang w:val="uk-UA" w:eastAsia="uk-UA"/>
        </w:rPr>
        <w:t xml:space="preserve"> </w:t>
      </w:r>
      <w:r w:rsidRPr="00A266B0">
        <w:rPr>
          <w:sz w:val="20"/>
          <w:szCs w:val="20"/>
          <w:lang w:val="uk-UA" w:eastAsia="uk-UA"/>
        </w:rPr>
        <w:t xml:space="preserve">Макаренко, Е. Вальковський </w:t>
      </w:r>
    </w:p>
    <w:sectPr w:rsidR="008447D9" w:rsidRPr="00A266B0" w:rsidSect="008B3167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8C" w:rsidRDefault="006D4A8C" w:rsidP="00F92749">
      <w:r>
        <w:separator/>
      </w:r>
    </w:p>
  </w:endnote>
  <w:endnote w:type="continuationSeparator" w:id="0">
    <w:p w:rsidR="006D4A8C" w:rsidRDefault="006D4A8C" w:rsidP="00F9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8C" w:rsidRDefault="006D4A8C" w:rsidP="00F92749">
      <w:r>
        <w:separator/>
      </w:r>
    </w:p>
  </w:footnote>
  <w:footnote w:type="continuationSeparator" w:id="0">
    <w:p w:rsidR="006D4A8C" w:rsidRDefault="006D4A8C" w:rsidP="00F9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A2" w:rsidRDefault="00C01C78" w:rsidP="007B0B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2D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DA2" w:rsidRDefault="00EF2D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85" w:rsidRDefault="006D4A8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E4B33">
      <w:rPr>
        <w:noProof/>
      </w:rPr>
      <w:t>5</w:t>
    </w:r>
    <w:r>
      <w:rPr>
        <w:noProof/>
      </w:rPr>
      <w:fldChar w:fldCharType="end"/>
    </w:r>
  </w:p>
  <w:p w:rsidR="00C462A9" w:rsidRPr="00893E85" w:rsidRDefault="00C462A9" w:rsidP="00893E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A2" w:rsidRPr="00893E85" w:rsidRDefault="00EF2DA2" w:rsidP="00F92749">
    <w:pPr>
      <w:pStyle w:val="a5"/>
      <w:jc w:val="right"/>
      <w:rPr>
        <w:sz w:val="20"/>
        <w:szCs w:val="20"/>
        <w:lang w:val="uk-UA"/>
      </w:rPr>
    </w:pPr>
    <w:r w:rsidRPr="00893E85">
      <w:rPr>
        <w:sz w:val="20"/>
        <w:szCs w:val="20"/>
        <w:lang w:val="uk-UA"/>
      </w:rPr>
      <w:t xml:space="preserve">До </w:t>
    </w:r>
    <w:r w:rsidR="0064046D" w:rsidRPr="00893E85">
      <w:rPr>
        <w:sz w:val="20"/>
        <w:szCs w:val="20"/>
        <w:lang w:val="uk-UA"/>
      </w:rPr>
      <w:t xml:space="preserve">реєстр. </w:t>
    </w:r>
    <w:r w:rsidRPr="00893E85">
      <w:rPr>
        <w:sz w:val="20"/>
        <w:szCs w:val="20"/>
        <w:lang w:val="uk-UA"/>
      </w:rPr>
      <w:t xml:space="preserve">№ </w:t>
    </w:r>
    <w:r w:rsidR="00893E85" w:rsidRPr="00893E85">
      <w:rPr>
        <w:sz w:val="20"/>
        <w:szCs w:val="20"/>
        <w:lang w:val="uk-UA"/>
      </w:rPr>
      <w:t>3469</w:t>
    </w:r>
    <w:r w:rsidRPr="00893E85">
      <w:rPr>
        <w:sz w:val="20"/>
        <w:szCs w:val="20"/>
        <w:lang w:val="uk-UA"/>
      </w:rPr>
      <w:t xml:space="preserve"> від </w:t>
    </w:r>
    <w:r w:rsidR="00BF485D" w:rsidRPr="00893E85">
      <w:rPr>
        <w:sz w:val="20"/>
        <w:szCs w:val="20"/>
        <w:lang w:val="uk-UA"/>
      </w:rPr>
      <w:t>1</w:t>
    </w:r>
    <w:r w:rsidR="00893E85" w:rsidRPr="00893E85">
      <w:rPr>
        <w:sz w:val="20"/>
        <w:szCs w:val="20"/>
        <w:lang w:val="uk-UA"/>
      </w:rPr>
      <w:t>3</w:t>
    </w:r>
    <w:r w:rsidRPr="00893E85">
      <w:rPr>
        <w:sz w:val="20"/>
        <w:szCs w:val="20"/>
        <w:lang w:val="uk-UA"/>
      </w:rPr>
      <w:t>.0</w:t>
    </w:r>
    <w:r w:rsidR="00893E85" w:rsidRPr="00893E85">
      <w:rPr>
        <w:sz w:val="20"/>
        <w:szCs w:val="20"/>
        <w:lang w:val="uk-UA"/>
      </w:rPr>
      <w:t>5</w:t>
    </w:r>
    <w:r w:rsidRPr="00893E85">
      <w:rPr>
        <w:sz w:val="20"/>
        <w:szCs w:val="20"/>
        <w:lang w:val="uk-UA"/>
      </w:rPr>
      <w:t>.20</w:t>
    </w:r>
    <w:r w:rsidR="00893E85" w:rsidRPr="00893E85">
      <w:rPr>
        <w:sz w:val="20"/>
        <w:szCs w:val="20"/>
        <w:lang w:val="uk-UA"/>
      </w:rPr>
      <w:t>20</w:t>
    </w:r>
  </w:p>
  <w:p w:rsidR="00893E85" w:rsidRPr="00893E85" w:rsidRDefault="00893E85" w:rsidP="00F92749">
    <w:pPr>
      <w:pStyle w:val="a5"/>
      <w:jc w:val="right"/>
      <w:rPr>
        <w:sz w:val="20"/>
        <w:szCs w:val="20"/>
        <w:lang w:val="uk-UA"/>
      </w:rPr>
    </w:pPr>
    <w:r w:rsidRPr="00893E85">
      <w:rPr>
        <w:sz w:val="20"/>
        <w:szCs w:val="20"/>
        <w:lang w:val="uk-UA"/>
      </w:rPr>
      <w:t xml:space="preserve">Народні депутати </w:t>
    </w:r>
    <w:r w:rsidR="00BF485D" w:rsidRPr="00893E85">
      <w:rPr>
        <w:sz w:val="20"/>
        <w:szCs w:val="20"/>
        <w:lang w:val="uk-UA"/>
      </w:rPr>
      <w:t xml:space="preserve">України </w:t>
    </w:r>
  </w:p>
  <w:p w:rsidR="00EF2DA2" w:rsidRPr="00893E85" w:rsidRDefault="00893E85" w:rsidP="00F92749">
    <w:pPr>
      <w:pStyle w:val="a5"/>
      <w:jc w:val="right"/>
      <w:rPr>
        <w:sz w:val="20"/>
        <w:szCs w:val="20"/>
        <w:lang w:val="uk-UA"/>
      </w:rPr>
    </w:pPr>
    <w:r w:rsidRPr="00893E85">
      <w:rPr>
        <w:sz w:val="20"/>
        <w:szCs w:val="20"/>
        <w:lang w:val="uk-UA"/>
      </w:rPr>
      <w:t>М. Єфімов</w:t>
    </w:r>
    <w:r w:rsidR="00EF2DA2" w:rsidRPr="00893E85">
      <w:rPr>
        <w:sz w:val="20"/>
        <w:szCs w:val="20"/>
        <w:lang w:val="uk-UA"/>
      </w:rPr>
      <w:t xml:space="preserve"> та ін</w:t>
    </w:r>
    <w:r w:rsidRPr="00893E85">
      <w:rPr>
        <w:sz w:val="20"/>
        <w:szCs w:val="20"/>
        <w:lang w:val="uk-UA"/>
      </w:rPr>
      <w:t>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BA6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8E2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A4EB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C64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BC8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A8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E2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AA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52D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C6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49"/>
    <w:rsid w:val="0001396E"/>
    <w:rsid w:val="00035E46"/>
    <w:rsid w:val="000574CF"/>
    <w:rsid w:val="000800A2"/>
    <w:rsid w:val="00084ED2"/>
    <w:rsid w:val="00090687"/>
    <w:rsid w:val="000A26BA"/>
    <w:rsid w:val="000A4232"/>
    <w:rsid w:val="000A4DD4"/>
    <w:rsid w:val="000A5D7C"/>
    <w:rsid w:val="000D0F6B"/>
    <w:rsid w:val="00116948"/>
    <w:rsid w:val="0012681C"/>
    <w:rsid w:val="00135B97"/>
    <w:rsid w:val="00144E39"/>
    <w:rsid w:val="00145E70"/>
    <w:rsid w:val="00146E84"/>
    <w:rsid w:val="00150757"/>
    <w:rsid w:val="00182AC1"/>
    <w:rsid w:val="00187345"/>
    <w:rsid w:val="00194E60"/>
    <w:rsid w:val="0019767D"/>
    <w:rsid w:val="001A6D6A"/>
    <w:rsid w:val="001B2718"/>
    <w:rsid w:val="001D0598"/>
    <w:rsid w:val="001D6344"/>
    <w:rsid w:val="001E3D19"/>
    <w:rsid w:val="002021CD"/>
    <w:rsid w:val="00206A63"/>
    <w:rsid w:val="00211FD9"/>
    <w:rsid w:val="0021213C"/>
    <w:rsid w:val="002124C5"/>
    <w:rsid w:val="00237777"/>
    <w:rsid w:val="00245558"/>
    <w:rsid w:val="0026560A"/>
    <w:rsid w:val="00295A6C"/>
    <w:rsid w:val="002A435E"/>
    <w:rsid w:val="002A6250"/>
    <w:rsid w:val="002F5B4C"/>
    <w:rsid w:val="0030332E"/>
    <w:rsid w:val="003314D7"/>
    <w:rsid w:val="00346EAA"/>
    <w:rsid w:val="0035105D"/>
    <w:rsid w:val="00355F08"/>
    <w:rsid w:val="00357165"/>
    <w:rsid w:val="00364C87"/>
    <w:rsid w:val="00364D55"/>
    <w:rsid w:val="003814C4"/>
    <w:rsid w:val="0038528F"/>
    <w:rsid w:val="00390B62"/>
    <w:rsid w:val="00396B9F"/>
    <w:rsid w:val="003A4A44"/>
    <w:rsid w:val="003C0C23"/>
    <w:rsid w:val="003E0240"/>
    <w:rsid w:val="003E5D6E"/>
    <w:rsid w:val="003F4B0F"/>
    <w:rsid w:val="00433651"/>
    <w:rsid w:val="004525DC"/>
    <w:rsid w:val="00454FD4"/>
    <w:rsid w:val="0045637E"/>
    <w:rsid w:val="00457889"/>
    <w:rsid w:val="004636F1"/>
    <w:rsid w:val="00465690"/>
    <w:rsid w:val="00471CA8"/>
    <w:rsid w:val="004726EC"/>
    <w:rsid w:val="00483672"/>
    <w:rsid w:val="004B1721"/>
    <w:rsid w:val="004D563F"/>
    <w:rsid w:val="004E37E4"/>
    <w:rsid w:val="00500D33"/>
    <w:rsid w:val="005160F4"/>
    <w:rsid w:val="005170F9"/>
    <w:rsid w:val="005204CF"/>
    <w:rsid w:val="00520720"/>
    <w:rsid w:val="0052633E"/>
    <w:rsid w:val="00546601"/>
    <w:rsid w:val="00572EC8"/>
    <w:rsid w:val="005B1455"/>
    <w:rsid w:val="005B44C0"/>
    <w:rsid w:val="005E4B33"/>
    <w:rsid w:val="005E63E8"/>
    <w:rsid w:val="005E79A6"/>
    <w:rsid w:val="006102E9"/>
    <w:rsid w:val="00612503"/>
    <w:rsid w:val="0064046D"/>
    <w:rsid w:val="00673612"/>
    <w:rsid w:val="006832F1"/>
    <w:rsid w:val="00683873"/>
    <w:rsid w:val="006A28B8"/>
    <w:rsid w:val="006D3681"/>
    <w:rsid w:val="006D4A8C"/>
    <w:rsid w:val="006E7258"/>
    <w:rsid w:val="006F251C"/>
    <w:rsid w:val="006F5827"/>
    <w:rsid w:val="006F5EEE"/>
    <w:rsid w:val="00704B42"/>
    <w:rsid w:val="007063AB"/>
    <w:rsid w:val="00707EEA"/>
    <w:rsid w:val="00711146"/>
    <w:rsid w:val="00732ACF"/>
    <w:rsid w:val="007432D2"/>
    <w:rsid w:val="00760899"/>
    <w:rsid w:val="00773DE1"/>
    <w:rsid w:val="00775E53"/>
    <w:rsid w:val="00790417"/>
    <w:rsid w:val="007B0B92"/>
    <w:rsid w:val="007B2A28"/>
    <w:rsid w:val="007B3331"/>
    <w:rsid w:val="007C29A0"/>
    <w:rsid w:val="007C3053"/>
    <w:rsid w:val="007C3BC9"/>
    <w:rsid w:val="007D4247"/>
    <w:rsid w:val="007D6E23"/>
    <w:rsid w:val="007F6AF0"/>
    <w:rsid w:val="008350EE"/>
    <w:rsid w:val="008447D9"/>
    <w:rsid w:val="00847024"/>
    <w:rsid w:val="00893E85"/>
    <w:rsid w:val="008B3167"/>
    <w:rsid w:val="008B6F4A"/>
    <w:rsid w:val="008E351E"/>
    <w:rsid w:val="008E79A1"/>
    <w:rsid w:val="009346D3"/>
    <w:rsid w:val="0094226B"/>
    <w:rsid w:val="0095251F"/>
    <w:rsid w:val="00952B51"/>
    <w:rsid w:val="00973178"/>
    <w:rsid w:val="009877E3"/>
    <w:rsid w:val="009917FB"/>
    <w:rsid w:val="009A3665"/>
    <w:rsid w:val="009A3F67"/>
    <w:rsid w:val="009A44EE"/>
    <w:rsid w:val="009B665D"/>
    <w:rsid w:val="00A02F6C"/>
    <w:rsid w:val="00A07A32"/>
    <w:rsid w:val="00A266B0"/>
    <w:rsid w:val="00A453DF"/>
    <w:rsid w:val="00A76C8D"/>
    <w:rsid w:val="00A8329B"/>
    <w:rsid w:val="00AA78D6"/>
    <w:rsid w:val="00AB0962"/>
    <w:rsid w:val="00AC781F"/>
    <w:rsid w:val="00AE01E3"/>
    <w:rsid w:val="00AE3943"/>
    <w:rsid w:val="00AF1137"/>
    <w:rsid w:val="00B069CB"/>
    <w:rsid w:val="00B21A9E"/>
    <w:rsid w:val="00B461C0"/>
    <w:rsid w:val="00B53AC5"/>
    <w:rsid w:val="00B54E7A"/>
    <w:rsid w:val="00B64C8F"/>
    <w:rsid w:val="00B64FBC"/>
    <w:rsid w:val="00B73FEF"/>
    <w:rsid w:val="00B74211"/>
    <w:rsid w:val="00BA584F"/>
    <w:rsid w:val="00BD2893"/>
    <w:rsid w:val="00BF485D"/>
    <w:rsid w:val="00C01C78"/>
    <w:rsid w:val="00C17394"/>
    <w:rsid w:val="00C21A1A"/>
    <w:rsid w:val="00C36F6E"/>
    <w:rsid w:val="00C419FA"/>
    <w:rsid w:val="00C462A9"/>
    <w:rsid w:val="00C7275A"/>
    <w:rsid w:val="00C749D0"/>
    <w:rsid w:val="00C817EF"/>
    <w:rsid w:val="00C838C3"/>
    <w:rsid w:val="00C9317E"/>
    <w:rsid w:val="00C96F85"/>
    <w:rsid w:val="00C9771B"/>
    <w:rsid w:val="00CA130A"/>
    <w:rsid w:val="00CD44DC"/>
    <w:rsid w:val="00CD4E78"/>
    <w:rsid w:val="00D01788"/>
    <w:rsid w:val="00D13DE8"/>
    <w:rsid w:val="00D153E4"/>
    <w:rsid w:val="00D16A4A"/>
    <w:rsid w:val="00D262BB"/>
    <w:rsid w:val="00D33595"/>
    <w:rsid w:val="00D502EF"/>
    <w:rsid w:val="00D50F2D"/>
    <w:rsid w:val="00D947F9"/>
    <w:rsid w:val="00DA09BE"/>
    <w:rsid w:val="00DA7ED2"/>
    <w:rsid w:val="00DC66A4"/>
    <w:rsid w:val="00E11821"/>
    <w:rsid w:val="00E27EEC"/>
    <w:rsid w:val="00E31B6A"/>
    <w:rsid w:val="00E401C2"/>
    <w:rsid w:val="00E57BB2"/>
    <w:rsid w:val="00E639A5"/>
    <w:rsid w:val="00E725B5"/>
    <w:rsid w:val="00E81689"/>
    <w:rsid w:val="00E945DE"/>
    <w:rsid w:val="00EA29CF"/>
    <w:rsid w:val="00EA3068"/>
    <w:rsid w:val="00EB7166"/>
    <w:rsid w:val="00EB7E81"/>
    <w:rsid w:val="00EC7543"/>
    <w:rsid w:val="00EF2DA2"/>
    <w:rsid w:val="00F05D9C"/>
    <w:rsid w:val="00F42FC1"/>
    <w:rsid w:val="00F43A21"/>
    <w:rsid w:val="00F47C14"/>
    <w:rsid w:val="00F70E2B"/>
    <w:rsid w:val="00F92749"/>
    <w:rsid w:val="00F974D8"/>
    <w:rsid w:val="00FB2755"/>
    <w:rsid w:val="00FC5498"/>
    <w:rsid w:val="00FC7A64"/>
    <w:rsid w:val="00FD4968"/>
    <w:rsid w:val="00FD67B7"/>
    <w:rsid w:val="00FE17D2"/>
    <w:rsid w:val="00FE5A35"/>
    <w:rsid w:val="00FF2FEA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CA553"/>
  <w15:docId w15:val="{0CA77B42-1D3B-4154-8BAA-7FFA746F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19"/>
    <w:rPr>
      <w:rFonts w:eastAsia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F92749"/>
    <w:pPr>
      <w:spacing w:before="120"/>
      <w:ind w:firstLine="567"/>
      <w:jc w:val="both"/>
    </w:pPr>
    <w:rPr>
      <w:rFonts w:ascii="Antiqua" w:eastAsia="Calibri" w:hAnsi="Antiqua"/>
      <w:sz w:val="20"/>
      <w:szCs w:val="20"/>
    </w:rPr>
  </w:style>
  <w:style w:type="character" w:customStyle="1" w:styleId="a4">
    <w:name w:val="Нормальний текст Знак"/>
    <w:link w:val="a3"/>
    <w:uiPriority w:val="99"/>
    <w:locked/>
    <w:rsid w:val="00F92749"/>
    <w:rPr>
      <w:rFonts w:ascii="Antiqua" w:hAnsi="Antiqua"/>
      <w:sz w:val="20"/>
      <w:lang w:eastAsia="ru-RU"/>
    </w:rPr>
  </w:style>
  <w:style w:type="paragraph" w:styleId="a5">
    <w:name w:val="header"/>
    <w:basedOn w:val="a"/>
    <w:link w:val="a6"/>
    <w:uiPriority w:val="99"/>
    <w:rsid w:val="00F92749"/>
    <w:pPr>
      <w:tabs>
        <w:tab w:val="center" w:pos="4819"/>
        <w:tab w:val="right" w:pos="9639"/>
      </w:tabs>
    </w:pPr>
    <w:rPr>
      <w:sz w:val="24"/>
    </w:rPr>
  </w:style>
  <w:style w:type="character" w:customStyle="1" w:styleId="a6">
    <w:name w:val="Верхній колонтитул Знак"/>
    <w:link w:val="a5"/>
    <w:uiPriority w:val="99"/>
    <w:locked/>
    <w:rsid w:val="00F92749"/>
    <w:rPr>
      <w:rFonts w:eastAsia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sid w:val="00F92749"/>
    <w:rPr>
      <w:rFonts w:cs="Times New Roman"/>
    </w:rPr>
  </w:style>
  <w:style w:type="paragraph" w:styleId="2">
    <w:name w:val="Body Text Indent 2"/>
    <w:basedOn w:val="a"/>
    <w:link w:val="20"/>
    <w:uiPriority w:val="99"/>
    <w:rsid w:val="00F92749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ий текст з відступом 2 Знак"/>
    <w:link w:val="2"/>
    <w:uiPriority w:val="99"/>
    <w:locked/>
    <w:rsid w:val="00F9274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92749"/>
    <w:pPr>
      <w:tabs>
        <w:tab w:val="center" w:pos="4819"/>
        <w:tab w:val="right" w:pos="9639"/>
      </w:tabs>
    </w:pPr>
    <w:rPr>
      <w:sz w:val="24"/>
    </w:rPr>
  </w:style>
  <w:style w:type="character" w:customStyle="1" w:styleId="a9">
    <w:name w:val="Нижній колонтитул Знак"/>
    <w:link w:val="a8"/>
    <w:uiPriority w:val="99"/>
    <w:locked/>
    <w:rsid w:val="00F92749"/>
    <w:rPr>
      <w:rFonts w:eastAsia="Times New Roman" w:cs="Times New Roman"/>
      <w:sz w:val="24"/>
      <w:szCs w:val="24"/>
      <w:lang w:val="ru-RU" w:eastAsia="ru-RU"/>
    </w:rPr>
  </w:style>
  <w:style w:type="character" w:customStyle="1" w:styleId="rvts9">
    <w:name w:val="rvts9"/>
    <w:uiPriority w:val="99"/>
    <w:rsid w:val="00035E46"/>
    <w:rPr>
      <w:rFonts w:cs="Times New Roman"/>
    </w:rPr>
  </w:style>
  <w:style w:type="character" w:customStyle="1" w:styleId="st24">
    <w:name w:val="st24"/>
    <w:uiPriority w:val="99"/>
    <w:rsid w:val="006102E9"/>
    <w:rPr>
      <w:rFonts w:ascii="Times New Roman" w:hAnsi="Times New Roman"/>
      <w:b/>
      <w:color w:val="000000"/>
      <w:sz w:val="32"/>
    </w:rPr>
  </w:style>
  <w:style w:type="character" w:customStyle="1" w:styleId="st101">
    <w:name w:val="st101"/>
    <w:uiPriority w:val="99"/>
    <w:rsid w:val="006102E9"/>
    <w:rPr>
      <w:rFonts w:ascii="Times New Roman" w:hAnsi="Times New Roman"/>
      <w:b/>
      <w:color w:val="000000"/>
    </w:rPr>
  </w:style>
  <w:style w:type="paragraph" w:styleId="aa">
    <w:name w:val="List Paragraph"/>
    <w:basedOn w:val="a"/>
    <w:uiPriority w:val="34"/>
    <w:qFormat/>
    <w:rsid w:val="00F43A2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BF485D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uiPriority w:val="99"/>
    <w:semiHidden/>
    <w:rsid w:val="00BF485D"/>
    <w:rPr>
      <w:rFonts w:eastAsia="Times New Roman"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F485D"/>
    <w:pPr>
      <w:spacing w:after="120"/>
    </w:pPr>
  </w:style>
  <w:style w:type="character" w:customStyle="1" w:styleId="ae">
    <w:name w:val="Основний текст Знак"/>
    <w:link w:val="ad"/>
    <w:uiPriority w:val="99"/>
    <w:semiHidden/>
    <w:rsid w:val="00BF485D"/>
    <w:rPr>
      <w:rFonts w:eastAsia="Times New Roman"/>
      <w:sz w:val="28"/>
      <w:szCs w:val="24"/>
    </w:rPr>
  </w:style>
  <w:style w:type="paragraph" w:styleId="af">
    <w:name w:val="Normal (Web)"/>
    <w:basedOn w:val="a"/>
    <w:rsid w:val="006D3681"/>
    <w:pPr>
      <w:spacing w:before="100" w:beforeAutospacing="1" w:after="100" w:afterAutospacing="1"/>
    </w:pPr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B3331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semiHidden/>
    <w:rsid w:val="007B3331"/>
    <w:rPr>
      <w:rFonts w:ascii="Segoe UI" w:eastAsia="Times New Roman" w:hAnsi="Segoe UI" w:cs="Segoe UI"/>
      <w:sz w:val="18"/>
      <w:szCs w:val="18"/>
    </w:rPr>
  </w:style>
  <w:style w:type="character" w:customStyle="1" w:styleId="rvts0">
    <w:name w:val="rvts0"/>
    <w:basedOn w:val="a0"/>
    <w:rsid w:val="002A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84BC-F6E5-44A2-A5B6-0C69B381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8615</Words>
  <Characters>4912</Characters>
  <Application>Microsoft Office Word</Application>
  <DocSecurity>0</DocSecurity>
  <Lines>40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Грицак Владислав Іванович</dc:creator>
  <cp:lastModifiedBy>Інна Григорівна Лопотуха</cp:lastModifiedBy>
  <cp:revision>5</cp:revision>
  <cp:lastPrinted>2020-06-02T09:38:00Z</cp:lastPrinted>
  <dcterms:created xsi:type="dcterms:W3CDTF">2020-06-02T09:37:00Z</dcterms:created>
  <dcterms:modified xsi:type="dcterms:W3CDTF">2020-06-02T09:40:00Z</dcterms:modified>
</cp:coreProperties>
</file>