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2CA0" w14:textId="77777777" w:rsidR="000D70CA" w:rsidRDefault="000D70CA" w:rsidP="002D1424">
      <w:pPr>
        <w:widowControl w:val="0"/>
        <w:tabs>
          <w:tab w:val="left" w:pos="2625"/>
          <w:tab w:val="center" w:pos="5088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5A9D1A4D" w14:textId="372E0623" w:rsidR="00262BF4" w:rsidRPr="00A94F1F" w:rsidRDefault="00262BF4" w:rsidP="002D1424">
      <w:pPr>
        <w:widowControl w:val="0"/>
        <w:tabs>
          <w:tab w:val="left" w:pos="2625"/>
          <w:tab w:val="center" w:pos="5088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94F1F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14:paraId="5A9D1A4E" w14:textId="680A062F" w:rsidR="00262BF4" w:rsidRPr="00A94F1F" w:rsidRDefault="00262BF4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>до про</w:t>
      </w:r>
      <w:r w:rsidR="004E4698" w:rsidRPr="00A94F1F">
        <w:rPr>
          <w:rFonts w:ascii="Times New Roman" w:hAnsi="Times New Roman"/>
          <w:sz w:val="28"/>
          <w:szCs w:val="28"/>
        </w:rPr>
        <w:t>є</w:t>
      </w:r>
      <w:r w:rsidRPr="00A94F1F">
        <w:rPr>
          <w:rFonts w:ascii="Times New Roman" w:hAnsi="Times New Roman"/>
          <w:sz w:val="28"/>
          <w:szCs w:val="28"/>
        </w:rPr>
        <w:t>кту Закону України "</w:t>
      </w:r>
      <w:r w:rsidR="00744493" w:rsidRPr="00A94F1F">
        <w:rPr>
          <w:rFonts w:ascii="Times New Roman" w:hAnsi="Times New Roman"/>
          <w:sz w:val="28"/>
          <w:szCs w:val="28"/>
        </w:rPr>
        <w:t>Про внесення змін до Господарського кодексу України щодо усунення правових колізій у вимогах до статуту товариств з обмеженою та додатковою відповідальністю</w:t>
      </w:r>
      <w:r w:rsidRPr="00A94F1F">
        <w:rPr>
          <w:rFonts w:ascii="Times New Roman" w:hAnsi="Times New Roman"/>
          <w:sz w:val="28"/>
          <w:szCs w:val="28"/>
        </w:rPr>
        <w:t>"</w:t>
      </w:r>
    </w:p>
    <w:p w14:paraId="5A9D1A4F" w14:textId="77777777" w:rsidR="00266F71" w:rsidRPr="00A94F1F" w:rsidRDefault="00266F71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5EA0294" w14:textId="77DE8750" w:rsidR="00FD730B" w:rsidRPr="00A94F1F" w:rsidRDefault="002D1424" w:rsidP="00FD730B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 w:rsidRPr="00A94F1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>Обґрунтування необхідності прийняття законопро</w:t>
      </w:r>
      <w:r w:rsidR="004E4698" w:rsidRPr="00A94F1F">
        <w:rPr>
          <w:rFonts w:ascii="Times New Roman" w:hAnsi="Times New Roman"/>
          <w:b/>
          <w:bCs/>
          <w:sz w:val="28"/>
          <w:szCs w:val="28"/>
        </w:rPr>
        <w:t>є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>кту</w:t>
      </w:r>
    </w:p>
    <w:p w14:paraId="0CFCE000" w14:textId="5E04DF81" w:rsidR="00817441" w:rsidRDefault="00FD730B" w:rsidP="00FD730B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>17 червня 2018 р. набрав чинності Закон України "Про товариства з обмеженою та додатковою відповідальністю"</w:t>
      </w:r>
      <w:r w:rsidR="003912A6" w:rsidRPr="00A94F1F">
        <w:rPr>
          <w:rFonts w:ascii="Times New Roman" w:hAnsi="Times New Roman"/>
          <w:sz w:val="28"/>
          <w:szCs w:val="28"/>
        </w:rPr>
        <w:t xml:space="preserve"> (далі – "</w:t>
      </w:r>
      <w:r w:rsidR="003912A6" w:rsidRPr="00A94F1F">
        <w:rPr>
          <w:rFonts w:ascii="Times New Roman" w:hAnsi="Times New Roman"/>
          <w:b/>
          <w:bCs/>
          <w:i/>
          <w:iCs/>
          <w:sz w:val="28"/>
          <w:szCs w:val="28"/>
        </w:rPr>
        <w:t>Закон</w:t>
      </w:r>
      <w:r w:rsidR="003912A6" w:rsidRPr="00A94F1F">
        <w:rPr>
          <w:rFonts w:ascii="Times New Roman" w:hAnsi="Times New Roman"/>
          <w:sz w:val="28"/>
          <w:szCs w:val="28"/>
        </w:rPr>
        <w:t>")</w:t>
      </w:r>
      <w:r w:rsidR="00A00B80" w:rsidRPr="00A94F1F">
        <w:rPr>
          <w:rFonts w:ascii="Times New Roman" w:hAnsi="Times New Roman"/>
          <w:sz w:val="28"/>
          <w:szCs w:val="28"/>
        </w:rPr>
        <w:t>.</w:t>
      </w:r>
      <w:r w:rsidR="0045331D" w:rsidRPr="00A94F1F">
        <w:rPr>
          <w:rFonts w:ascii="Times New Roman" w:hAnsi="Times New Roman"/>
          <w:sz w:val="28"/>
          <w:szCs w:val="28"/>
        </w:rPr>
        <w:t xml:space="preserve"> Новий</w:t>
      </w:r>
      <w:r w:rsidR="00A00B80" w:rsidRPr="00A94F1F">
        <w:rPr>
          <w:rFonts w:ascii="Times New Roman" w:hAnsi="Times New Roman"/>
          <w:sz w:val="28"/>
          <w:szCs w:val="28"/>
        </w:rPr>
        <w:t xml:space="preserve"> </w:t>
      </w:r>
      <w:r w:rsidR="0045331D" w:rsidRPr="00A94F1F">
        <w:rPr>
          <w:rFonts w:ascii="Times New Roman" w:hAnsi="Times New Roman"/>
          <w:sz w:val="28"/>
          <w:szCs w:val="28"/>
        </w:rPr>
        <w:t xml:space="preserve">Закон замінив собою переважну більшість положень Закону України "Про господарські товариства", Цивільного кодексу України і Господарського кодексу України щодо діяльності </w:t>
      </w:r>
      <w:r w:rsidR="001A7C3D" w:rsidRPr="00A94F1F">
        <w:rPr>
          <w:rFonts w:ascii="Times New Roman" w:hAnsi="Times New Roman"/>
          <w:sz w:val="28"/>
          <w:szCs w:val="28"/>
        </w:rPr>
        <w:t>товариств з обмеженою (ТОВ) і додатковою відповідальністю (ТДВ</w:t>
      </w:r>
      <w:r w:rsidR="00CB479B" w:rsidRPr="00A94F1F">
        <w:rPr>
          <w:rFonts w:ascii="Times New Roman" w:hAnsi="Times New Roman"/>
          <w:sz w:val="28"/>
          <w:szCs w:val="28"/>
        </w:rPr>
        <w:t>)</w:t>
      </w:r>
      <w:r w:rsidR="0045331D" w:rsidRPr="00A94F1F">
        <w:rPr>
          <w:rFonts w:ascii="Times New Roman" w:hAnsi="Times New Roman"/>
          <w:sz w:val="28"/>
          <w:szCs w:val="28"/>
        </w:rPr>
        <w:t>.</w:t>
      </w:r>
    </w:p>
    <w:p w14:paraId="49000B55" w14:textId="53983778" w:rsidR="00B22000" w:rsidRPr="00A94F1F" w:rsidRDefault="00192D92" w:rsidP="005808B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 xml:space="preserve">Одним з </w:t>
      </w:r>
      <w:r w:rsidR="00747115" w:rsidRPr="00A94F1F">
        <w:rPr>
          <w:rFonts w:ascii="Times New Roman" w:hAnsi="Times New Roman"/>
          <w:sz w:val="28"/>
          <w:szCs w:val="28"/>
        </w:rPr>
        <w:t>прогресивних</w:t>
      </w:r>
      <w:r w:rsidRPr="00A94F1F">
        <w:rPr>
          <w:rFonts w:ascii="Times New Roman" w:hAnsi="Times New Roman"/>
          <w:sz w:val="28"/>
          <w:szCs w:val="28"/>
        </w:rPr>
        <w:t xml:space="preserve"> нововведень Закону </w:t>
      </w:r>
      <w:r w:rsidR="005B2EF8">
        <w:rPr>
          <w:rFonts w:ascii="Times New Roman" w:hAnsi="Times New Roman"/>
          <w:sz w:val="28"/>
          <w:szCs w:val="28"/>
        </w:rPr>
        <w:t>є</w:t>
      </w:r>
      <w:r w:rsidRPr="00A94F1F">
        <w:rPr>
          <w:rFonts w:ascii="Times New Roman" w:hAnsi="Times New Roman"/>
          <w:sz w:val="28"/>
          <w:szCs w:val="28"/>
        </w:rPr>
        <w:t xml:space="preserve"> зменшення переліку відомостей, </w:t>
      </w:r>
      <w:r w:rsidR="00FB6989" w:rsidRPr="00A94F1F">
        <w:rPr>
          <w:rFonts w:ascii="Times New Roman" w:hAnsi="Times New Roman"/>
          <w:sz w:val="28"/>
          <w:szCs w:val="28"/>
        </w:rPr>
        <w:t>що</w:t>
      </w:r>
      <w:r w:rsidRPr="00A94F1F">
        <w:rPr>
          <w:rFonts w:ascii="Times New Roman" w:hAnsi="Times New Roman"/>
          <w:sz w:val="28"/>
          <w:szCs w:val="28"/>
        </w:rPr>
        <w:t xml:space="preserve"> </w:t>
      </w:r>
      <w:r w:rsidR="00B71E9D">
        <w:rPr>
          <w:rFonts w:ascii="Times New Roman" w:hAnsi="Times New Roman"/>
          <w:sz w:val="28"/>
          <w:szCs w:val="28"/>
        </w:rPr>
        <w:t>мають</w:t>
      </w:r>
      <w:r w:rsidR="00FB6989" w:rsidRPr="00A94F1F">
        <w:rPr>
          <w:rFonts w:ascii="Times New Roman" w:hAnsi="Times New Roman"/>
          <w:sz w:val="28"/>
          <w:szCs w:val="28"/>
        </w:rPr>
        <w:t xml:space="preserve"> </w:t>
      </w:r>
      <w:r w:rsidR="001A7C3D" w:rsidRPr="00A94F1F">
        <w:rPr>
          <w:rFonts w:ascii="Times New Roman" w:hAnsi="Times New Roman"/>
          <w:sz w:val="28"/>
          <w:szCs w:val="28"/>
        </w:rPr>
        <w:t>зазначатись</w:t>
      </w:r>
      <w:r w:rsidR="00166014" w:rsidRPr="00A94F1F">
        <w:rPr>
          <w:rFonts w:ascii="Times New Roman" w:hAnsi="Times New Roman"/>
          <w:sz w:val="28"/>
          <w:szCs w:val="28"/>
        </w:rPr>
        <w:t xml:space="preserve"> у статут</w:t>
      </w:r>
      <w:r w:rsidR="00D75BA7">
        <w:rPr>
          <w:rFonts w:ascii="Times New Roman" w:hAnsi="Times New Roman"/>
          <w:sz w:val="28"/>
          <w:szCs w:val="28"/>
        </w:rPr>
        <w:t>ах</w:t>
      </w:r>
      <w:r w:rsidR="00166014" w:rsidRPr="00A94F1F">
        <w:rPr>
          <w:rFonts w:ascii="Times New Roman" w:hAnsi="Times New Roman"/>
          <w:sz w:val="28"/>
          <w:szCs w:val="28"/>
        </w:rPr>
        <w:t xml:space="preserve"> ТОВ і ТДВ. </w:t>
      </w:r>
      <w:r w:rsidR="00515C0E">
        <w:rPr>
          <w:rFonts w:ascii="Times New Roman" w:hAnsi="Times New Roman"/>
          <w:sz w:val="28"/>
          <w:szCs w:val="28"/>
        </w:rPr>
        <w:t>Так</w:t>
      </w:r>
      <w:r w:rsidR="00747115" w:rsidRPr="00A94F1F">
        <w:rPr>
          <w:rFonts w:ascii="Times New Roman" w:hAnsi="Times New Roman"/>
          <w:sz w:val="28"/>
          <w:szCs w:val="28"/>
        </w:rPr>
        <w:t>, старий</w:t>
      </w:r>
      <w:r w:rsidR="00613F76" w:rsidRPr="00A94F1F">
        <w:rPr>
          <w:rFonts w:ascii="Times New Roman" w:hAnsi="Times New Roman"/>
          <w:sz w:val="28"/>
          <w:szCs w:val="28"/>
        </w:rPr>
        <w:t xml:space="preserve"> Закон "Про господарські товариства"</w:t>
      </w:r>
      <w:r w:rsidR="00FB6989" w:rsidRPr="00A94F1F">
        <w:rPr>
          <w:rFonts w:ascii="Times New Roman" w:hAnsi="Times New Roman"/>
          <w:sz w:val="28"/>
          <w:szCs w:val="28"/>
        </w:rPr>
        <w:t xml:space="preserve"> </w:t>
      </w:r>
      <w:r w:rsidR="00515C0E">
        <w:rPr>
          <w:rFonts w:ascii="Times New Roman" w:hAnsi="Times New Roman"/>
          <w:sz w:val="28"/>
          <w:szCs w:val="28"/>
        </w:rPr>
        <w:t xml:space="preserve">серед іншого </w:t>
      </w:r>
      <w:r w:rsidR="00FB6989" w:rsidRPr="00A94F1F">
        <w:rPr>
          <w:rFonts w:ascii="Times New Roman" w:hAnsi="Times New Roman"/>
          <w:sz w:val="28"/>
          <w:szCs w:val="28"/>
        </w:rPr>
        <w:t xml:space="preserve">вимагав </w:t>
      </w:r>
      <w:r w:rsidR="001A7C3D" w:rsidRPr="00A94F1F">
        <w:rPr>
          <w:rFonts w:ascii="Times New Roman" w:hAnsi="Times New Roman"/>
          <w:sz w:val="28"/>
          <w:szCs w:val="28"/>
        </w:rPr>
        <w:t>вказувати</w:t>
      </w:r>
      <w:r w:rsidR="00FB6989" w:rsidRPr="00A94F1F">
        <w:rPr>
          <w:rFonts w:ascii="Times New Roman" w:hAnsi="Times New Roman"/>
          <w:sz w:val="28"/>
          <w:szCs w:val="28"/>
        </w:rPr>
        <w:t xml:space="preserve"> у статут</w:t>
      </w:r>
      <w:r w:rsidR="00D75BA7">
        <w:rPr>
          <w:rFonts w:ascii="Times New Roman" w:hAnsi="Times New Roman"/>
          <w:sz w:val="28"/>
          <w:szCs w:val="28"/>
        </w:rPr>
        <w:t xml:space="preserve">ах </w:t>
      </w:r>
      <w:r w:rsidR="00FB6989" w:rsidRPr="00A94F1F">
        <w:rPr>
          <w:rFonts w:ascii="Times New Roman" w:hAnsi="Times New Roman"/>
          <w:sz w:val="28"/>
          <w:szCs w:val="28"/>
        </w:rPr>
        <w:t xml:space="preserve">ТОВ і ТДВ </w:t>
      </w:r>
      <w:r w:rsidR="00786EDA" w:rsidRPr="00A94F1F">
        <w:rPr>
          <w:rFonts w:ascii="Times New Roman" w:hAnsi="Times New Roman"/>
          <w:sz w:val="28"/>
          <w:szCs w:val="28"/>
        </w:rPr>
        <w:t>перелік учасників товариства</w:t>
      </w:r>
      <w:r w:rsidR="00251CBC" w:rsidRPr="00A94F1F">
        <w:rPr>
          <w:rFonts w:ascii="Times New Roman" w:hAnsi="Times New Roman"/>
          <w:sz w:val="28"/>
          <w:szCs w:val="28"/>
        </w:rPr>
        <w:t xml:space="preserve"> </w:t>
      </w:r>
      <w:r w:rsidR="00D75BA7">
        <w:rPr>
          <w:rFonts w:ascii="Times New Roman" w:hAnsi="Times New Roman"/>
          <w:sz w:val="28"/>
          <w:szCs w:val="28"/>
        </w:rPr>
        <w:t>та</w:t>
      </w:r>
      <w:r w:rsidR="00786EDA" w:rsidRPr="00A94F1F">
        <w:rPr>
          <w:rFonts w:ascii="Times New Roman" w:hAnsi="Times New Roman"/>
          <w:sz w:val="28"/>
          <w:szCs w:val="28"/>
        </w:rPr>
        <w:t xml:space="preserve"> розмір</w:t>
      </w:r>
      <w:r w:rsidR="00EE23AB" w:rsidRPr="00A94F1F">
        <w:rPr>
          <w:rFonts w:ascii="Times New Roman" w:hAnsi="Times New Roman"/>
          <w:sz w:val="28"/>
          <w:szCs w:val="28"/>
        </w:rPr>
        <w:t>и</w:t>
      </w:r>
      <w:r w:rsidR="00786EDA" w:rsidRPr="00A94F1F">
        <w:rPr>
          <w:rFonts w:ascii="Times New Roman" w:hAnsi="Times New Roman"/>
          <w:sz w:val="28"/>
          <w:szCs w:val="28"/>
        </w:rPr>
        <w:t xml:space="preserve"> їх часток</w:t>
      </w:r>
      <w:r w:rsidR="00251CBC" w:rsidRPr="00A94F1F">
        <w:rPr>
          <w:rFonts w:ascii="Times New Roman" w:hAnsi="Times New Roman"/>
          <w:sz w:val="28"/>
          <w:szCs w:val="28"/>
        </w:rPr>
        <w:t xml:space="preserve">. </w:t>
      </w:r>
      <w:r w:rsidR="00AB1840" w:rsidRPr="00A94F1F">
        <w:rPr>
          <w:rFonts w:ascii="Times New Roman" w:hAnsi="Times New Roman"/>
          <w:sz w:val="28"/>
          <w:szCs w:val="28"/>
        </w:rPr>
        <w:t xml:space="preserve">На практиці це означало, що після придбання частки у </w:t>
      </w:r>
      <w:r w:rsidR="00CF3BF8">
        <w:rPr>
          <w:rFonts w:ascii="Times New Roman" w:hAnsi="Times New Roman"/>
          <w:sz w:val="28"/>
          <w:szCs w:val="28"/>
        </w:rPr>
        <w:t>статутному капіталі товариства</w:t>
      </w:r>
      <w:r w:rsidR="00AB1840" w:rsidRPr="00A94F1F">
        <w:rPr>
          <w:rFonts w:ascii="Times New Roman" w:hAnsi="Times New Roman"/>
          <w:sz w:val="28"/>
          <w:szCs w:val="28"/>
        </w:rPr>
        <w:t xml:space="preserve"> новий власник </w:t>
      </w:r>
      <w:r w:rsidR="00385E56" w:rsidRPr="00A94F1F">
        <w:rPr>
          <w:rFonts w:ascii="Times New Roman" w:hAnsi="Times New Roman"/>
          <w:sz w:val="28"/>
          <w:szCs w:val="28"/>
        </w:rPr>
        <w:t xml:space="preserve">мав </w:t>
      </w:r>
      <w:r w:rsidR="00B77286">
        <w:rPr>
          <w:rFonts w:ascii="Times New Roman" w:hAnsi="Times New Roman"/>
          <w:sz w:val="28"/>
          <w:szCs w:val="28"/>
        </w:rPr>
        <w:t xml:space="preserve">додатково </w:t>
      </w:r>
      <w:r w:rsidR="00385E56" w:rsidRPr="00A94F1F">
        <w:rPr>
          <w:rFonts w:ascii="Times New Roman" w:hAnsi="Times New Roman"/>
          <w:sz w:val="28"/>
          <w:szCs w:val="28"/>
        </w:rPr>
        <w:t xml:space="preserve">отримати схвальне рішення загальних зборів </w:t>
      </w:r>
      <w:r w:rsidR="00CF3BF8">
        <w:rPr>
          <w:rFonts w:ascii="Times New Roman" w:hAnsi="Times New Roman"/>
          <w:sz w:val="28"/>
          <w:szCs w:val="28"/>
        </w:rPr>
        <w:t xml:space="preserve">учасників </w:t>
      </w:r>
      <w:r w:rsidR="00385E56" w:rsidRPr="00A94F1F">
        <w:rPr>
          <w:rFonts w:ascii="Times New Roman" w:hAnsi="Times New Roman"/>
          <w:sz w:val="28"/>
          <w:szCs w:val="28"/>
        </w:rPr>
        <w:t xml:space="preserve">про внесення відповідних змін до статуту. </w:t>
      </w:r>
      <w:r w:rsidR="00EE23AB" w:rsidRPr="00A94F1F">
        <w:rPr>
          <w:rFonts w:ascii="Times New Roman" w:hAnsi="Times New Roman"/>
          <w:sz w:val="28"/>
          <w:szCs w:val="28"/>
        </w:rPr>
        <w:t>Така вимога заважала нормальному обігу часток, адже створювала</w:t>
      </w:r>
      <w:r w:rsidR="00D95991" w:rsidRPr="00A94F1F">
        <w:rPr>
          <w:rFonts w:ascii="Times New Roman" w:hAnsi="Times New Roman"/>
          <w:sz w:val="28"/>
          <w:szCs w:val="28"/>
        </w:rPr>
        <w:t xml:space="preserve"> </w:t>
      </w:r>
      <w:r w:rsidR="00EE23AB" w:rsidRPr="00A94F1F">
        <w:rPr>
          <w:rFonts w:ascii="Times New Roman" w:hAnsi="Times New Roman"/>
          <w:sz w:val="28"/>
          <w:szCs w:val="28"/>
        </w:rPr>
        <w:t xml:space="preserve">ризик блокування </w:t>
      </w:r>
      <w:r w:rsidR="002C2CA6">
        <w:rPr>
          <w:rFonts w:ascii="Times New Roman" w:hAnsi="Times New Roman"/>
          <w:sz w:val="28"/>
          <w:szCs w:val="28"/>
        </w:rPr>
        <w:t xml:space="preserve">рішення про включення </w:t>
      </w:r>
      <w:r w:rsidR="005808B4">
        <w:rPr>
          <w:rFonts w:ascii="Times New Roman" w:hAnsi="Times New Roman"/>
          <w:sz w:val="28"/>
          <w:szCs w:val="28"/>
        </w:rPr>
        <w:t xml:space="preserve">нового учасника до </w:t>
      </w:r>
      <w:r w:rsidR="002C2CA6">
        <w:rPr>
          <w:rFonts w:ascii="Times New Roman" w:hAnsi="Times New Roman"/>
          <w:sz w:val="28"/>
          <w:szCs w:val="28"/>
        </w:rPr>
        <w:t xml:space="preserve">статуту </w:t>
      </w:r>
      <w:r w:rsidR="00D95991" w:rsidRPr="00A94F1F">
        <w:rPr>
          <w:rFonts w:ascii="Times New Roman" w:hAnsi="Times New Roman"/>
          <w:sz w:val="28"/>
          <w:szCs w:val="28"/>
        </w:rPr>
        <w:t xml:space="preserve">іншими недобросовісними </w:t>
      </w:r>
      <w:r w:rsidR="002F0A7F" w:rsidRPr="00A94F1F">
        <w:rPr>
          <w:rFonts w:ascii="Times New Roman" w:hAnsi="Times New Roman"/>
          <w:sz w:val="28"/>
          <w:szCs w:val="28"/>
        </w:rPr>
        <w:t xml:space="preserve">учасниками товариства. </w:t>
      </w:r>
    </w:p>
    <w:p w14:paraId="409F90DE" w14:textId="77777777" w:rsidR="0076466D" w:rsidRDefault="001F799E" w:rsidP="00A3037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 xml:space="preserve">З метою </w:t>
      </w:r>
      <w:r w:rsidR="00DC163B" w:rsidRPr="00A94F1F">
        <w:rPr>
          <w:rFonts w:ascii="Times New Roman" w:hAnsi="Times New Roman"/>
          <w:sz w:val="28"/>
          <w:szCs w:val="28"/>
        </w:rPr>
        <w:t>усунення цього ризику в ст. 11 нового Закону було визначено лише тр</w:t>
      </w:r>
      <w:r w:rsidR="000542B4" w:rsidRPr="00A94F1F">
        <w:rPr>
          <w:rFonts w:ascii="Times New Roman" w:hAnsi="Times New Roman"/>
          <w:sz w:val="28"/>
          <w:szCs w:val="28"/>
        </w:rPr>
        <w:t xml:space="preserve">и </w:t>
      </w:r>
      <w:r w:rsidR="00BA6B28">
        <w:rPr>
          <w:rFonts w:ascii="Times New Roman" w:hAnsi="Times New Roman"/>
          <w:sz w:val="28"/>
          <w:szCs w:val="28"/>
        </w:rPr>
        <w:t>категорії відомостей</w:t>
      </w:r>
      <w:r w:rsidR="006167F0" w:rsidRPr="00A94F1F">
        <w:rPr>
          <w:rFonts w:ascii="Times New Roman" w:hAnsi="Times New Roman"/>
          <w:sz w:val="28"/>
          <w:szCs w:val="28"/>
        </w:rPr>
        <w:t xml:space="preserve">, </w:t>
      </w:r>
      <w:r w:rsidR="00B22000" w:rsidRPr="00A94F1F">
        <w:rPr>
          <w:rFonts w:ascii="Times New Roman" w:hAnsi="Times New Roman"/>
          <w:sz w:val="28"/>
          <w:szCs w:val="28"/>
        </w:rPr>
        <w:t>що</w:t>
      </w:r>
      <w:r w:rsidR="006167F0" w:rsidRPr="00A94F1F">
        <w:rPr>
          <w:rFonts w:ascii="Times New Roman" w:hAnsi="Times New Roman"/>
          <w:sz w:val="28"/>
          <w:szCs w:val="28"/>
        </w:rPr>
        <w:t xml:space="preserve"> </w:t>
      </w:r>
      <w:r w:rsidR="00C2459A">
        <w:rPr>
          <w:rFonts w:ascii="Times New Roman" w:hAnsi="Times New Roman"/>
          <w:sz w:val="28"/>
          <w:szCs w:val="28"/>
        </w:rPr>
        <w:t>повинні</w:t>
      </w:r>
      <w:r w:rsidR="00B22000" w:rsidRPr="00A94F1F">
        <w:rPr>
          <w:rFonts w:ascii="Times New Roman" w:hAnsi="Times New Roman"/>
          <w:sz w:val="28"/>
          <w:szCs w:val="28"/>
        </w:rPr>
        <w:t xml:space="preserve"> </w:t>
      </w:r>
      <w:r w:rsidR="006167F0" w:rsidRPr="00A94F1F">
        <w:rPr>
          <w:rFonts w:ascii="Times New Roman" w:hAnsi="Times New Roman"/>
          <w:sz w:val="28"/>
          <w:szCs w:val="28"/>
        </w:rPr>
        <w:t xml:space="preserve">вказуватись у статуті ТОВ і ТДВ: (1) повне та скорочене найменування товариства; (2) органи управління товариством, </w:t>
      </w:r>
      <w:r w:rsidR="00B22000" w:rsidRPr="00A94F1F">
        <w:rPr>
          <w:rFonts w:ascii="Times New Roman" w:hAnsi="Times New Roman"/>
          <w:sz w:val="28"/>
          <w:szCs w:val="28"/>
        </w:rPr>
        <w:t xml:space="preserve">їх компетенція, порядок прийняття ними рішень; (3) порядок вступу до товариства та виходу з нього. </w:t>
      </w:r>
      <w:r w:rsidR="00667482" w:rsidRPr="00A94F1F">
        <w:rPr>
          <w:rFonts w:ascii="Times New Roman" w:hAnsi="Times New Roman"/>
          <w:sz w:val="28"/>
          <w:szCs w:val="28"/>
        </w:rPr>
        <w:t xml:space="preserve">При цьому </w:t>
      </w:r>
      <w:r w:rsidR="00C2459A">
        <w:rPr>
          <w:rFonts w:ascii="Times New Roman" w:hAnsi="Times New Roman"/>
          <w:sz w:val="28"/>
          <w:szCs w:val="28"/>
        </w:rPr>
        <w:t>вимоги до статуту ТОВ і ТДВ в</w:t>
      </w:r>
      <w:r w:rsidR="00667482" w:rsidRPr="00A94F1F">
        <w:rPr>
          <w:rFonts w:ascii="Times New Roman" w:hAnsi="Times New Roman"/>
          <w:sz w:val="28"/>
          <w:szCs w:val="28"/>
        </w:rPr>
        <w:t xml:space="preserve"> Закон</w:t>
      </w:r>
      <w:r w:rsidR="00C2459A">
        <w:rPr>
          <w:rFonts w:ascii="Times New Roman" w:hAnsi="Times New Roman"/>
          <w:sz w:val="28"/>
          <w:szCs w:val="28"/>
        </w:rPr>
        <w:t>і</w:t>
      </w:r>
      <w:r w:rsidR="00667482" w:rsidRPr="00A94F1F">
        <w:rPr>
          <w:rFonts w:ascii="Times New Roman" w:hAnsi="Times New Roman"/>
          <w:sz w:val="28"/>
          <w:szCs w:val="28"/>
        </w:rPr>
        <w:t xml:space="preserve"> України "Про господарські товариства"</w:t>
      </w:r>
      <w:r w:rsidR="00356B9F" w:rsidRPr="00A94F1F">
        <w:rPr>
          <w:rFonts w:ascii="Times New Roman" w:hAnsi="Times New Roman"/>
          <w:sz w:val="28"/>
          <w:szCs w:val="28"/>
        </w:rPr>
        <w:t xml:space="preserve"> та Цивільно</w:t>
      </w:r>
      <w:r w:rsidR="00C2459A">
        <w:rPr>
          <w:rFonts w:ascii="Times New Roman" w:hAnsi="Times New Roman"/>
          <w:sz w:val="28"/>
          <w:szCs w:val="28"/>
        </w:rPr>
        <w:t xml:space="preserve">му </w:t>
      </w:r>
      <w:r w:rsidR="00356B9F" w:rsidRPr="00A94F1F">
        <w:rPr>
          <w:rFonts w:ascii="Times New Roman" w:hAnsi="Times New Roman"/>
          <w:sz w:val="28"/>
          <w:szCs w:val="28"/>
        </w:rPr>
        <w:t>кодекс</w:t>
      </w:r>
      <w:r w:rsidR="00C2459A">
        <w:rPr>
          <w:rFonts w:ascii="Times New Roman" w:hAnsi="Times New Roman"/>
          <w:sz w:val="28"/>
          <w:szCs w:val="28"/>
        </w:rPr>
        <w:t>і</w:t>
      </w:r>
      <w:r w:rsidR="00356B9F" w:rsidRPr="00A94F1F">
        <w:rPr>
          <w:rFonts w:ascii="Times New Roman" w:hAnsi="Times New Roman"/>
          <w:sz w:val="28"/>
          <w:szCs w:val="28"/>
        </w:rPr>
        <w:t xml:space="preserve"> України</w:t>
      </w:r>
      <w:r w:rsidR="00667482" w:rsidRPr="00A94F1F">
        <w:rPr>
          <w:rFonts w:ascii="Times New Roman" w:hAnsi="Times New Roman"/>
          <w:sz w:val="28"/>
          <w:szCs w:val="28"/>
        </w:rPr>
        <w:t xml:space="preserve"> були визнані такими, що втратили чинність</w:t>
      </w:r>
      <w:r w:rsidR="00356B9F" w:rsidRPr="00A94F1F">
        <w:rPr>
          <w:rFonts w:ascii="Times New Roman" w:hAnsi="Times New Roman"/>
          <w:sz w:val="28"/>
          <w:szCs w:val="28"/>
        </w:rPr>
        <w:t xml:space="preserve">. </w:t>
      </w:r>
    </w:p>
    <w:p w14:paraId="52B9D577" w14:textId="34198E2C" w:rsidR="00A30375" w:rsidRDefault="007C16E9" w:rsidP="00A30375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 xml:space="preserve">Разом з тим, </w:t>
      </w:r>
      <w:r w:rsidR="00BC78D7" w:rsidRPr="00A94F1F">
        <w:rPr>
          <w:rFonts w:ascii="Times New Roman" w:hAnsi="Times New Roman"/>
          <w:sz w:val="28"/>
          <w:szCs w:val="28"/>
        </w:rPr>
        <w:t xml:space="preserve">в процесі застосування положень нового Закону </w:t>
      </w:r>
      <w:r w:rsidR="00B22426" w:rsidRPr="00A94F1F">
        <w:rPr>
          <w:rFonts w:ascii="Times New Roman" w:hAnsi="Times New Roman"/>
          <w:sz w:val="28"/>
          <w:szCs w:val="28"/>
        </w:rPr>
        <w:t>представники професійної спільноти</w:t>
      </w:r>
      <w:r w:rsidR="00BC78D7" w:rsidRPr="00A94F1F">
        <w:rPr>
          <w:rFonts w:ascii="Times New Roman" w:hAnsi="Times New Roman"/>
          <w:sz w:val="28"/>
          <w:szCs w:val="28"/>
        </w:rPr>
        <w:t xml:space="preserve"> </w:t>
      </w:r>
      <w:r w:rsidR="00B22426" w:rsidRPr="00A94F1F">
        <w:rPr>
          <w:rFonts w:ascii="Times New Roman" w:hAnsi="Times New Roman"/>
          <w:sz w:val="28"/>
          <w:szCs w:val="28"/>
        </w:rPr>
        <w:t>виявили</w:t>
      </w:r>
      <w:r w:rsidR="00BC78D7" w:rsidRPr="00A94F1F">
        <w:rPr>
          <w:rFonts w:ascii="Times New Roman" w:hAnsi="Times New Roman"/>
          <w:sz w:val="28"/>
          <w:szCs w:val="28"/>
        </w:rPr>
        <w:t xml:space="preserve">, </w:t>
      </w:r>
      <w:r w:rsidR="00B22426" w:rsidRPr="00A94F1F">
        <w:rPr>
          <w:rFonts w:ascii="Times New Roman" w:hAnsi="Times New Roman"/>
          <w:sz w:val="28"/>
          <w:szCs w:val="28"/>
        </w:rPr>
        <w:t xml:space="preserve">що </w:t>
      </w:r>
      <w:r w:rsidR="00A94F1F" w:rsidRPr="00A94F1F">
        <w:rPr>
          <w:rFonts w:ascii="Times New Roman" w:hAnsi="Times New Roman"/>
          <w:sz w:val="28"/>
          <w:szCs w:val="28"/>
        </w:rPr>
        <w:t>старі вимоги до</w:t>
      </w:r>
      <w:r w:rsidR="007449CD" w:rsidRPr="00A94F1F">
        <w:rPr>
          <w:rFonts w:ascii="Times New Roman" w:hAnsi="Times New Roman"/>
          <w:sz w:val="28"/>
          <w:szCs w:val="28"/>
        </w:rPr>
        <w:t xml:space="preserve"> статут</w:t>
      </w:r>
      <w:r w:rsidR="00450B91">
        <w:rPr>
          <w:rFonts w:ascii="Times New Roman" w:hAnsi="Times New Roman"/>
          <w:sz w:val="28"/>
          <w:szCs w:val="28"/>
        </w:rPr>
        <w:t>ів</w:t>
      </w:r>
      <w:r w:rsidR="007449CD" w:rsidRPr="00A94F1F">
        <w:rPr>
          <w:rFonts w:ascii="Times New Roman" w:hAnsi="Times New Roman"/>
          <w:sz w:val="28"/>
          <w:szCs w:val="28"/>
        </w:rPr>
        <w:t xml:space="preserve"> ТОВ </w:t>
      </w:r>
      <w:r w:rsidR="00450B91">
        <w:rPr>
          <w:rFonts w:ascii="Times New Roman" w:hAnsi="Times New Roman"/>
          <w:sz w:val="28"/>
          <w:szCs w:val="28"/>
        </w:rPr>
        <w:t xml:space="preserve">і ТДВ </w:t>
      </w:r>
      <w:r w:rsidR="00EE205B">
        <w:rPr>
          <w:rFonts w:ascii="Times New Roman" w:hAnsi="Times New Roman"/>
          <w:sz w:val="28"/>
          <w:szCs w:val="28"/>
        </w:rPr>
        <w:t>не виключили</w:t>
      </w:r>
      <w:r w:rsidR="007F5887" w:rsidRPr="00A94F1F">
        <w:rPr>
          <w:rFonts w:ascii="Times New Roman" w:hAnsi="Times New Roman"/>
          <w:sz w:val="28"/>
          <w:szCs w:val="28"/>
        </w:rPr>
        <w:t xml:space="preserve"> </w:t>
      </w:r>
      <w:r w:rsidR="007449CD" w:rsidRPr="00A94F1F">
        <w:rPr>
          <w:rFonts w:ascii="Times New Roman" w:hAnsi="Times New Roman"/>
          <w:sz w:val="28"/>
          <w:szCs w:val="28"/>
        </w:rPr>
        <w:t xml:space="preserve">з Господарського кодексу України. </w:t>
      </w:r>
      <w:r w:rsidR="007D2666">
        <w:rPr>
          <w:rFonts w:ascii="Times New Roman" w:hAnsi="Times New Roman"/>
          <w:sz w:val="28"/>
          <w:szCs w:val="28"/>
        </w:rPr>
        <w:t>Н</w:t>
      </w:r>
      <w:r w:rsidR="007449CD" w:rsidRPr="00A94F1F">
        <w:rPr>
          <w:rFonts w:ascii="Times New Roman" w:hAnsi="Times New Roman"/>
          <w:sz w:val="28"/>
          <w:szCs w:val="28"/>
        </w:rPr>
        <w:t>авіть після набрання чинності новим Законом у</w:t>
      </w:r>
      <w:r w:rsidR="006524E6" w:rsidRPr="00A94F1F">
        <w:rPr>
          <w:rFonts w:ascii="Times New Roman" w:hAnsi="Times New Roman"/>
          <w:sz w:val="28"/>
          <w:szCs w:val="28"/>
        </w:rPr>
        <w:t xml:space="preserve"> Господарському кодексі України</w:t>
      </w:r>
      <w:r w:rsidR="007449CD" w:rsidRPr="00A94F1F">
        <w:rPr>
          <w:rFonts w:ascii="Times New Roman" w:hAnsi="Times New Roman"/>
          <w:sz w:val="28"/>
          <w:szCs w:val="28"/>
        </w:rPr>
        <w:t xml:space="preserve"> </w:t>
      </w:r>
      <w:r w:rsidR="002A7321" w:rsidRPr="00A94F1F">
        <w:rPr>
          <w:rFonts w:ascii="Times New Roman" w:hAnsi="Times New Roman"/>
          <w:sz w:val="28"/>
          <w:szCs w:val="28"/>
        </w:rPr>
        <w:t xml:space="preserve">залишились старі вимоги </w:t>
      </w:r>
      <w:r w:rsidR="00E90B39" w:rsidRPr="00A94F1F">
        <w:rPr>
          <w:rFonts w:ascii="Times New Roman" w:hAnsi="Times New Roman"/>
          <w:sz w:val="28"/>
          <w:szCs w:val="28"/>
        </w:rPr>
        <w:t>до статут</w:t>
      </w:r>
      <w:r w:rsidR="007D2666">
        <w:rPr>
          <w:rFonts w:ascii="Times New Roman" w:hAnsi="Times New Roman"/>
          <w:sz w:val="28"/>
          <w:szCs w:val="28"/>
        </w:rPr>
        <w:t>ів</w:t>
      </w:r>
      <w:r w:rsidR="00E90B39" w:rsidRPr="00A94F1F">
        <w:rPr>
          <w:rFonts w:ascii="Times New Roman" w:hAnsi="Times New Roman"/>
          <w:sz w:val="28"/>
          <w:szCs w:val="28"/>
        </w:rPr>
        <w:t xml:space="preserve"> ТОВ і ТДВ, зокрема </w:t>
      </w:r>
      <w:r w:rsidR="007F5887" w:rsidRPr="00A94F1F">
        <w:rPr>
          <w:rFonts w:ascii="Times New Roman" w:hAnsi="Times New Roman"/>
          <w:sz w:val="28"/>
          <w:szCs w:val="28"/>
        </w:rPr>
        <w:t>вимоги</w:t>
      </w:r>
      <w:r w:rsidR="00E90B39" w:rsidRPr="00A94F1F">
        <w:rPr>
          <w:rFonts w:ascii="Times New Roman" w:hAnsi="Times New Roman"/>
          <w:sz w:val="28"/>
          <w:szCs w:val="28"/>
        </w:rPr>
        <w:t xml:space="preserve"> вказувати учасників</w:t>
      </w:r>
      <w:r w:rsidR="00E405BC" w:rsidRPr="00A94F1F">
        <w:rPr>
          <w:rFonts w:ascii="Times New Roman" w:hAnsi="Times New Roman"/>
          <w:sz w:val="28"/>
          <w:szCs w:val="28"/>
        </w:rPr>
        <w:t xml:space="preserve"> та їх частки, розмір статутного капіталу, </w:t>
      </w:r>
      <w:r w:rsidR="007F5887" w:rsidRPr="00A94F1F">
        <w:rPr>
          <w:rFonts w:ascii="Times New Roman" w:hAnsi="Times New Roman"/>
          <w:sz w:val="28"/>
          <w:szCs w:val="28"/>
        </w:rPr>
        <w:t>мету господарської діяльності тощо</w:t>
      </w:r>
      <w:r w:rsidR="00AF3C25">
        <w:rPr>
          <w:rFonts w:ascii="Times New Roman" w:hAnsi="Times New Roman"/>
          <w:sz w:val="28"/>
          <w:szCs w:val="28"/>
        </w:rPr>
        <w:t xml:space="preserve"> (</w:t>
      </w:r>
      <w:r w:rsidR="00AF3C25" w:rsidRPr="00A94F1F">
        <w:rPr>
          <w:rFonts w:ascii="Times New Roman" w:hAnsi="Times New Roman"/>
          <w:sz w:val="28"/>
          <w:szCs w:val="28"/>
        </w:rPr>
        <w:t>ч. 2 ст. 57; чч. 2-3 ст.</w:t>
      </w:r>
      <w:r w:rsidR="00AF3C25">
        <w:rPr>
          <w:rFonts w:ascii="Times New Roman" w:hAnsi="Times New Roman"/>
          <w:sz w:val="28"/>
          <w:szCs w:val="28"/>
        </w:rPr>
        <w:t> </w:t>
      </w:r>
      <w:r w:rsidR="00AF3C25" w:rsidRPr="00A94F1F">
        <w:rPr>
          <w:rFonts w:ascii="Times New Roman" w:hAnsi="Times New Roman"/>
          <w:sz w:val="28"/>
          <w:szCs w:val="28"/>
        </w:rPr>
        <w:t>80; чч. 2, 4 ст. 82</w:t>
      </w:r>
      <w:r w:rsidR="00AF3C25">
        <w:rPr>
          <w:rFonts w:ascii="Times New Roman" w:hAnsi="Times New Roman"/>
          <w:sz w:val="28"/>
          <w:szCs w:val="28"/>
        </w:rPr>
        <w:t xml:space="preserve"> Господарського кодексу</w:t>
      </w:r>
      <w:r w:rsidR="00AF3C25" w:rsidRPr="00A94F1F">
        <w:rPr>
          <w:rFonts w:ascii="Times New Roman" w:hAnsi="Times New Roman"/>
          <w:sz w:val="28"/>
          <w:szCs w:val="28"/>
        </w:rPr>
        <w:t>)</w:t>
      </w:r>
      <w:r w:rsidR="00AF3C25">
        <w:rPr>
          <w:rFonts w:ascii="Times New Roman" w:hAnsi="Times New Roman"/>
          <w:sz w:val="28"/>
          <w:szCs w:val="28"/>
        </w:rPr>
        <w:t>.</w:t>
      </w:r>
    </w:p>
    <w:p w14:paraId="23862C53" w14:textId="047A73F4" w:rsidR="00495FE2" w:rsidRDefault="0028195C" w:rsidP="0076466D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виявлення </w:t>
      </w:r>
      <w:r w:rsidR="00B15F74">
        <w:rPr>
          <w:rFonts w:ascii="Times New Roman" w:hAnsi="Times New Roman"/>
          <w:sz w:val="28"/>
          <w:szCs w:val="28"/>
        </w:rPr>
        <w:t xml:space="preserve">цієї </w:t>
      </w:r>
      <w:r>
        <w:rPr>
          <w:rFonts w:ascii="Times New Roman" w:hAnsi="Times New Roman"/>
          <w:sz w:val="28"/>
          <w:szCs w:val="28"/>
        </w:rPr>
        <w:t xml:space="preserve">колізії </w:t>
      </w:r>
      <w:r w:rsidR="00A110AB">
        <w:rPr>
          <w:rFonts w:ascii="Times New Roman" w:hAnsi="Times New Roman"/>
          <w:sz w:val="28"/>
          <w:szCs w:val="28"/>
        </w:rPr>
        <w:t>Міністерство юстиції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5F74">
        <w:rPr>
          <w:rFonts w:ascii="Times New Roman" w:hAnsi="Times New Roman"/>
          <w:sz w:val="28"/>
          <w:szCs w:val="28"/>
        </w:rPr>
        <w:t>вида</w:t>
      </w:r>
      <w:r w:rsidR="00A110AB">
        <w:rPr>
          <w:rFonts w:ascii="Times New Roman" w:hAnsi="Times New Roman"/>
          <w:sz w:val="28"/>
          <w:szCs w:val="28"/>
        </w:rPr>
        <w:t>ло</w:t>
      </w:r>
      <w:r w:rsidR="00B15F74">
        <w:rPr>
          <w:rFonts w:ascii="Times New Roman" w:hAnsi="Times New Roman"/>
          <w:sz w:val="28"/>
          <w:szCs w:val="28"/>
        </w:rPr>
        <w:t xml:space="preserve"> </w:t>
      </w:r>
      <w:r w:rsidR="00CC2CE8">
        <w:rPr>
          <w:rFonts w:ascii="Times New Roman" w:hAnsi="Times New Roman"/>
          <w:sz w:val="28"/>
          <w:szCs w:val="28"/>
        </w:rPr>
        <w:t>лист-роз’яснення від 07.06.2018 р. №6623/8.4.3/32-18</w:t>
      </w:r>
      <w:r w:rsidR="00B15F74">
        <w:rPr>
          <w:rFonts w:ascii="Times New Roman" w:hAnsi="Times New Roman"/>
          <w:sz w:val="28"/>
          <w:szCs w:val="28"/>
        </w:rPr>
        <w:t xml:space="preserve">, згідно з яким </w:t>
      </w:r>
      <w:r w:rsidR="00A110AB">
        <w:rPr>
          <w:rFonts w:ascii="Times New Roman" w:hAnsi="Times New Roman"/>
          <w:sz w:val="28"/>
          <w:szCs w:val="28"/>
        </w:rPr>
        <w:t>при підготовці статут</w:t>
      </w:r>
      <w:r w:rsidR="0076466D">
        <w:rPr>
          <w:rFonts w:ascii="Times New Roman" w:hAnsi="Times New Roman"/>
          <w:sz w:val="28"/>
          <w:szCs w:val="28"/>
        </w:rPr>
        <w:t>ів</w:t>
      </w:r>
      <w:r w:rsidR="00A110AB">
        <w:rPr>
          <w:rFonts w:ascii="Times New Roman" w:hAnsi="Times New Roman"/>
          <w:sz w:val="28"/>
          <w:szCs w:val="28"/>
        </w:rPr>
        <w:t xml:space="preserve"> ТОВ і ТДВ слід керуватись саме положеннями ст. 11 нового Закону</w:t>
      </w:r>
      <w:r w:rsidR="0082118D">
        <w:rPr>
          <w:rFonts w:ascii="Times New Roman" w:hAnsi="Times New Roman"/>
          <w:sz w:val="28"/>
          <w:szCs w:val="28"/>
        </w:rPr>
        <w:t xml:space="preserve">. </w:t>
      </w:r>
      <w:r w:rsidR="00E57D54">
        <w:rPr>
          <w:rFonts w:ascii="Times New Roman" w:hAnsi="Times New Roman"/>
          <w:sz w:val="28"/>
          <w:szCs w:val="28"/>
        </w:rPr>
        <w:t>У</w:t>
      </w:r>
      <w:r w:rsidR="00E27C97">
        <w:rPr>
          <w:rFonts w:ascii="Times New Roman" w:hAnsi="Times New Roman"/>
          <w:sz w:val="28"/>
          <w:szCs w:val="28"/>
        </w:rPr>
        <w:t> </w:t>
      </w:r>
      <w:r w:rsidR="00E57D54">
        <w:rPr>
          <w:rFonts w:ascii="Times New Roman" w:hAnsi="Times New Roman"/>
          <w:sz w:val="28"/>
          <w:szCs w:val="28"/>
        </w:rPr>
        <w:t>той же час</w:t>
      </w:r>
      <w:r w:rsidR="00E27C97">
        <w:rPr>
          <w:rFonts w:ascii="Times New Roman" w:hAnsi="Times New Roman"/>
          <w:sz w:val="28"/>
          <w:szCs w:val="28"/>
        </w:rPr>
        <w:t xml:space="preserve"> </w:t>
      </w:r>
      <w:r w:rsidR="0082118D">
        <w:rPr>
          <w:rFonts w:ascii="Times New Roman" w:hAnsi="Times New Roman"/>
          <w:sz w:val="28"/>
          <w:szCs w:val="28"/>
        </w:rPr>
        <w:t xml:space="preserve">вказане роз’яснення не є правовою нормою, </w:t>
      </w:r>
      <w:r w:rsidR="00A26616">
        <w:rPr>
          <w:rFonts w:ascii="Times New Roman" w:hAnsi="Times New Roman"/>
          <w:sz w:val="28"/>
          <w:szCs w:val="28"/>
        </w:rPr>
        <w:t xml:space="preserve">а отже не може повною мірою ліквідувати існуючу колізію. </w:t>
      </w:r>
      <w:r w:rsidR="00DF32B2">
        <w:rPr>
          <w:rFonts w:ascii="Times New Roman" w:hAnsi="Times New Roman"/>
          <w:sz w:val="28"/>
          <w:szCs w:val="28"/>
        </w:rPr>
        <w:t xml:space="preserve">Навіть через </w:t>
      </w:r>
      <w:r w:rsidR="00956D5B">
        <w:rPr>
          <w:rFonts w:ascii="Times New Roman" w:hAnsi="Times New Roman"/>
          <w:sz w:val="28"/>
          <w:szCs w:val="28"/>
        </w:rPr>
        <w:t>два</w:t>
      </w:r>
      <w:r w:rsidR="00DF32B2">
        <w:rPr>
          <w:rFonts w:ascii="Times New Roman" w:hAnsi="Times New Roman"/>
          <w:sz w:val="28"/>
          <w:szCs w:val="28"/>
        </w:rPr>
        <w:t xml:space="preserve"> роки після прийняття </w:t>
      </w:r>
      <w:r w:rsidR="00E57D54">
        <w:rPr>
          <w:rFonts w:ascii="Times New Roman" w:hAnsi="Times New Roman"/>
          <w:sz w:val="28"/>
          <w:szCs w:val="28"/>
        </w:rPr>
        <w:lastRenderedPageBreak/>
        <w:t xml:space="preserve">нового </w:t>
      </w:r>
      <w:r w:rsidR="00DF32B2">
        <w:rPr>
          <w:rFonts w:ascii="Times New Roman" w:hAnsi="Times New Roman"/>
          <w:sz w:val="28"/>
          <w:szCs w:val="28"/>
        </w:rPr>
        <w:t xml:space="preserve">Закону окремі державні реєстратори </w:t>
      </w:r>
      <w:r w:rsidR="00E57D54">
        <w:rPr>
          <w:rFonts w:ascii="Times New Roman" w:hAnsi="Times New Roman"/>
          <w:sz w:val="28"/>
          <w:szCs w:val="28"/>
        </w:rPr>
        <w:t>продовжують відмовляти</w:t>
      </w:r>
      <w:r w:rsidR="00DF32B2">
        <w:rPr>
          <w:rFonts w:ascii="Times New Roman" w:hAnsi="Times New Roman"/>
          <w:sz w:val="28"/>
          <w:szCs w:val="28"/>
        </w:rPr>
        <w:t xml:space="preserve"> у реєстрації статут</w:t>
      </w:r>
      <w:r w:rsidR="00E6398F">
        <w:rPr>
          <w:rFonts w:ascii="Times New Roman" w:hAnsi="Times New Roman"/>
          <w:sz w:val="28"/>
          <w:szCs w:val="28"/>
        </w:rPr>
        <w:t>ів</w:t>
      </w:r>
      <w:r w:rsidR="00DF32B2">
        <w:rPr>
          <w:rFonts w:ascii="Times New Roman" w:hAnsi="Times New Roman"/>
          <w:sz w:val="28"/>
          <w:szCs w:val="28"/>
        </w:rPr>
        <w:t xml:space="preserve"> ТОВ</w:t>
      </w:r>
      <w:r w:rsidR="00E6398F">
        <w:rPr>
          <w:rFonts w:ascii="Times New Roman" w:hAnsi="Times New Roman"/>
          <w:sz w:val="28"/>
          <w:szCs w:val="28"/>
        </w:rPr>
        <w:t xml:space="preserve"> і ТДВ</w:t>
      </w:r>
      <w:r w:rsidR="00DF32B2">
        <w:rPr>
          <w:rFonts w:ascii="Times New Roman" w:hAnsi="Times New Roman"/>
          <w:sz w:val="28"/>
          <w:szCs w:val="28"/>
        </w:rPr>
        <w:t xml:space="preserve"> без відомостей про склад учасників</w:t>
      </w:r>
      <w:r w:rsidR="00A017B6">
        <w:rPr>
          <w:rFonts w:ascii="Times New Roman" w:hAnsi="Times New Roman"/>
          <w:sz w:val="28"/>
          <w:szCs w:val="28"/>
        </w:rPr>
        <w:t xml:space="preserve"> чи розмір їх часток. </w:t>
      </w:r>
      <w:r w:rsidR="00B966C6">
        <w:rPr>
          <w:rFonts w:ascii="Times New Roman" w:hAnsi="Times New Roman"/>
          <w:sz w:val="28"/>
          <w:szCs w:val="28"/>
        </w:rPr>
        <w:t xml:space="preserve">Така відмова не позбавлена юридичної логіки, адже відсутність </w:t>
      </w:r>
      <w:r w:rsidR="00757EE4">
        <w:rPr>
          <w:rFonts w:ascii="Times New Roman" w:hAnsi="Times New Roman"/>
          <w:sz w:val="28"/>
          <w:szCs w:val="28"/>
        </w:rPr>
        <w:t xml:space="preserve">у статуті </w:t>
      </w:r>
      <w:r w:rsidR="009D5995">
        <w:rPr>
          <w:rFonts w:ascii="Times New Roman" w:hAnsi="Times New Roman"/>
          <w:sz w:val="28"/>
          <w:szCs w:val="28"/>
        </w:rPr>
        <w:t>"</w:t>
      </w:r>
      <w:r w:rsidR="00757EE4">
        <w:rPr>
          <w:rFonts w:ascii="Times New Roman" w:hAnsi="Times New Roman"/>
          <w:sz w:val="28"/>
          <w:szCs w:val="28"/>
        </w:rPr>
        <w:t>передбачених законодавством відомостей</w:t>
      </w:r>
      <w:r w:rsidR="009D5995">
        <w:rPr>
          <w:rFonts w:ascii="Times New Roman" w:hAnsi="Times New Roman"/>
          <w:sz w:val="28"/>
          <w:szCs w:val="28"/>
        </w:rPr>
        <w:t>"</w:t>
      </w:r>
      <w:r w:rsidR="00757EE4">
        <w:rPr>
          <w:rFonts w:ascii="Times New Roman" w:hAnsi="Times New Roman"/>
          <w:sz w:val="28"/>
          <w:szCs w:val="28"/>
        </w:rPr>
        <w:t xml:space="preserve"> є</w:t>
      </w:r>
      <w:r w:rsidR="00EA5587">
        <w:rPr>
          <w:rFonts w:ascii="Times New Roman" w:hAnsi="Times New Roman"/>
          <w:sz w:val="28"/>
          <w:szCs w:val="28"/>
        </w:rPr>
        <w:t xml:space="preserve"> прямою</w:t>
      </w:r>
      <w:r w:rsidR="00B1424D">
        <w:rPr>
          <w:rFonts w:ascii="Times New Roman" w:hAnsi="Times New Roman"/>
          <w:sz w:val="28"/>
          <w:szCs w:val="28"/>
        </w:rPr>
        <w:t xml:space="preserve"> </w:t>
      </w:r>
      <w:r w:rsidR="00757EE4">
        <w:rPr>
          <w:rFonts w:ascii="Times New Roman" w:hAnsi="Times New Roman"/>
          <w:sz w:val="28"/>
          <w:szCs w:val="28"/>
        </w:rPr>
        <w:t>підставою для відмови у проведенні реєстраційної дії (</w:t>
      </w:r>
      <w:r w:rsidR="00052536">
        <w:rPr>
          <w:rFonts w:ascii="Times New Roman" w:hAnsi="Times New Roman"/>
          <w:sz w:val="28"/>
          <w:szCs w:val="28"/>
        </w:rPr>
        <w:t xml:space="preserve">п. 8 ч. 1 ст. 15, п. 2 ч. 1 ст. 27 Закону України "Про </w:t>
      </w:r>
      <w:r w:rsidR="00B1424D">
        <w:rPr>
          <w:rFonts w:ascii="Times New Roman" w:hAnsi="Times New Roman"/>
          <w:sz w:val="28"/>
          <w:szCs w:val="28"/>
        </w:rPr>
        <w:t xml:space="preserve">державну реєстрацію юридичних осіб, фізичних осіб-підприємців та громадських формувань"). </w:t>
      </w:r>
      <w:r w:rsidR="00D533EB">
        <w:rPr>
          <w:rFonts w:ascii="Times New Roman" w:hAnsi="Times New Roman"/>
          <w:sz w:val="28"/>
          <w:szCs w:val="28"/>
        </w:rPr>
        <w:t xml:space="preserve">Господарський кодекс відноситься до </w:t>
      </w:r>
      <w:r w:rsidR="006C5724">
        <w:rPr>
          <w:rFonts w:ascii="Times New Roman" w:hAnsi="Times New Roman"/>
          <w:sz w:val="28"/>
          <w:szCs w:val="28"/>
        </w:rPr>
        <w:t xml:space="preserve">законодавства України, а отже </w:t>
      </w:r>
      <w:r w:rsidR="0030457D">
        <w:rPr>
          <w:rFonts w:ascii="Times New Roman" w:hAnsi="Times New Roman"/>
          <w:sz w:val="28"/>
          <w:szCs w:val="28"/>
        </w:rPr>
        <w:t>відсутність</w:t>
      </w:r>
      <w:r w:rsidR="00962BE3">
        <w:rPr>
          <w:rFonts w:ascii="Times New Roman" w:hAnsi="Times New Roman"/>
          <w:sz w:val="28"/>
          <w:szCs w:val="28"/>
        </w:rPr>
        <w:t xml:space="preserve"> у статуту </w:t>
      </w:r>
      <w:r w:rsidR="0030457D">
        <w:rPr>
          <w:rFonts w:ascii="Times New Roman" w:hAnsi="Times New Roman"/>
          <w:sz w:val="28"/>
          <w:szCs w:val="28"/>
        </w:rPr>
        <w:t xml:space="preserve">передбачених </w:t>
      </w:r>
      <w:r w:rsidR="00923F61">
        <w:rPr>
          <w:rFonts w:ascii="Times New Roman" w:hAnsi="Times New Roman"/>
          <w:sz w:val="28"/>
          <w:szCs w:val="28"/>
        </w:rPr>
        <w:t>Кодексом</w:t>
      </w:r>
      <w:r w:rsidR="0030457D">
        <w:rPr>
          <w:rFonts w:ascii="Times New Roman" w:hAnsi="Times New Roman"/>
          <w:sz w:val="28"/>
          <w:szCs w:val="28"/>
        </w:rPr>
        <w:t xml:space="preserve"> відомостей з формальної точки зору дійсно може бути підставою для відмови</w:t>
      </w:r>
      <w:r w:rsidR="00923F61">
        <w:rPr>
          <w:rFonts w:ascii="Times New Roman" w:hAnsi="Times New Roman"/>
          <w:sz w:val="28"/>
          <w:szCs w:val="28"/>
        </w:rPr>
        <w:t xml:space="preserve"> у державній реєстрації. </w:t>
      </w:r>
      <w:r w:rsidR="008369F5">
        <w:rPr>
          <w:rFonts w:ascii="Times New Roman" w:hAnsi="Times New Roman"/>
          <w:sz w:val="28"/>
          <w:szCs w:val="28"/>
        </w:rPr>
        <w:t>Більше того, вказана неоднозначність може бути використана недобросовісними учасниками для створення перешкод у роботі товариства, наприклад подання до суду позову про визнання статуту недійсним у зв’язку з відсутністю у ньому повного переліку обов’язкових відомостей (див. п. 5.1 Постанови Пленуму ВГСУ від 25.02.2016 р. №4).</w:t>
      </w:r>
    </w:p>
    <w:p w14:paraId="75BE8916" w14:textId="6F595519" w:rsidR="002A6575" w:rsidRDefault="00495FE2" w:rsidP="00857741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цьому слід </w:t>
      </w:r>
      <w:r w:rsidR="008D4931">
        <w:rPr>
          <w:rFonts w:ascii="Times New Roman" w:hAnsi="Times New Roman"/>
          <w:sz w:val="28"/>
          <w:szCs w:val="28"/>
        </w:rPr>
        <w:t>відзначити</w:t>
      </w:r>
      <w:r>
        <w:rPr>
          <w:rFonts w:ascii="Times New Roman" w:hAnsi="Times New Roman"/>
          <w:sz w:val="28"/>
          <w:szCs w:val="28"/>
        </w:rPr>
        <w:t xml:space="preserve">, що </w:t>
      </w:r>
      <w:r w:rsidR="00B741D8">
        <w:rPr>
          <w:rFonts w:ascii="Times New Roman" w:hAnsi="Times New Roman"/>
          <w:sz w:val="28"/>
          <w:szCs w:val="28"/>
        </w:rPr>
        <w:t>дана</w:t>
      </w:r>
      <w:r>
        <w:rPr>
          <w:rFonts w:ascii="Times New Roman" w:hAnsi="Times New Roman"/>
          <w:sz w:val="28"/>
          <w:szCs w:val="28"/>
        </w:rPr>
        <w:t xml:space="preserve"> колізія не може бути вирішена на підставі загальних принципів </w:t>
      </w:r>
      <w:r w:rsidR="00653CC2">
        <w:rPr>
          <w:rFonts w:ascii="Times New Roman" w:hAnsi="Times New Roman"/>
          <w:sz w:val="28"/>
          <w:szCs w:val="28"/>
        </w:rPr>
        <w:t>права</w:t>
      </w:r>
      <w:r w:rsidR="00B741D8">
        <w:rPr>
          <w:rFonts w:ascii="Times New Roman" w:hAnsi="Times New Roman"/>
          <w:sz w:val="28"/>
          <w:szCs w:val="28"/>
        </w:rPr>
        <w:t xml:space="preserve"> "закон </w:t>
      </w:r>
      <w:r w:rsidR="008D4931">
        <w:rPr>
          <w:rFonts w:ascii="Times New Roman" w:hAnsi="Times New Roman"/>
          <w:sz w:val="28"/>
          <w:szCs w:val="28"/>
        </w:rPr>
        <w:t>спеціальний</w:t>
      </w:r>
      <w:r w:rsidR="00B741D8">
        <w:rPr>
          <w:rFonts w:ascii="Times New Roman" w:hAnsi="Times New Roman"/>
          <w:sz w:val="28"/>
          <w:szCs w:val="28"/>
        </w:rPr>
        <w:t xml:space="preserve"> скасовує закон </w:t>
      </w:r>
      <w:r w:rsidR="008D4931">
        <w:rPr>
          <w:rFonts w:ascii="Times New Roman" w:hAnsi="Times New Roman"/>
          <w:sz w:val="28"/>
          <w:szCs w:val="28"/>
        </w:rPr>
        <w:t>загальний</w:t>
      </w:r>
      <w:r w:rsidR="00B741D8">
        <w:rPr>
          <w:rFonts w:ascii="Times New Roman" w:hAnsi="Times New Roman"/>
          <w:sz w:val="28"/>
          <w:szCs w:val="28"/>
        </w:rPr>
        <w:t>" (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lex</w:t>
      </w:r>
      <w:r w:rsidR="00B741D8" w:rsidRPr="00B741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specialis</w:t>
      </w:r>
      <w:r w:rsidR="00B741D8" w:rsidRPr="00B741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derogat</w:t>
      </w:r>
      <w:r w:rsidR="00B741D8" w:rsidRPr="00B741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generali</w:t>
      </w:r>
      <w:r w:rsidR="00B741D8" w:rsidRPr="00B741D8">
        <w:rPr>
          <w:rFonts w:ascii="Times New Roman" w:hAnsi="Times New Roman"/>
          <w:sz w:val="28"/>
          <w:szCs w:val="28"/>
        </w:rPr>
        <w:t xml:space="preserve">) </w:t>
      </w:r>
      <w:r w:rsidR="00B741D8">
        <w:rPr>
          <w:rFonts w:ascii="Times New Roman" w:hAnsi="Times New Roman"/>
          <w:sz w:val="28"/>
          <w:szCs w:val="28"/>
        </w:rPr>
        <w:t>чи "закон наступний скасовує закон попередній" (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lex</w:t>
      </w:r>
      <w:r w:rsidR="00B741D8" w:rsidRPr="00B741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posterior</w:t>
      </w:r>
      <w:r w:rsidR="00B741D8" w:rsidRPr="00B741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derogate</w:t>
      </w:r>
      <w:r w:rsidR="00B741D8" w:rsidRPr="00B741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41D8" w:rsidRPr="00B741D8">
        <w:rPr>
          <w:rFonts w:ascii="Times New Roman" w:hAnsi="Times New Roman"/>
          <w:i/>
          <w:iCs/>
          <w:sz w:val="28"/>
          <w:szCs w:val="28"/>
          <w:lang w:val="en-US"/>
        </w:rPr>
        <w:t>priori</w:t>
      </w:r>
      <w:r w:rsidR="00B741D8" w:rsidRPr="00B741D8">
        <w:rPr>
          <w:rFonts w:ascii="Times New Roman" w:hAnsi="Times New Roman"/>
          <w:sz w:val="28"/>
          <w:szCs w:val="28"/>
        </w:rPr>
        <w:t>)</w:t>
      </w:r>
      <w:r w:rsidR="00B741D8">
        <w:rPr>
          <w:rFonts w:ascii="Times New Roman" w:hAnsi="Times New Roman"/>
          <w:sz w:val="28"/>
          <w:szCs w:val="28"/>
        </w:rPr>
        <w:t xml:space="preserve">. </w:t>
      </w:r>
      <w:r w:rsidR="0039657E">
        <w:rPr>
          <w:rFonts w:ascii="Times New Roman" w:hAnsi="Times New Roman"/>
          <w:sz w:val="28"/>
          <w:szCs w:val="28"/>
        </w:rPr>
        <w:t xml:space="preserve">І новий </w:t>
      </w:r>
      <w:r w:rsidR="00F16A94">
        <w:rPr>
          <w:rFonts w:ascii="Times New Roman" w:hAnsi="Times New Roman"/>
          <w:sz w:val="28"/>
          <w:szCs w:val="28"/>
        </w:rPr>
        <w:t xml:space="preserve">Закон, і Господарський кодекс </w:t>
      </w:r>
      <w:r w:rsidR="0039657E">
        <w:rPr>
          <w:rFonts w:ascii="Times New Roman" w:hAnsi="Times New Roman"/>
          <w:sz w:val="28"/>
          <w:szCs w:val="28"/>
        </w:rPr>
        <w:t xml:space="preserve">України </w:t>
      </w:r>
      <w:r w:rsidR="00F16A94">
        <w:rPr>
          <w:rFonts w:ascii="Times New Roman" w:hAnsi="Times New Roman"/>
          <w:sz w:val="28"/>
          <w:szCs w:val="28"/>
        </w:rPr>
        <w:t xml:space="preserve">є спеціальними </w:t>
      </w:r>
      <w:r w:rsidR="00516197">
        <w:rPr>
          <w:rFonts w:ascii="Times New Roman" w:hAnsi="Times New Roman"/>
          <w:sz w:val="28"/>
          <w:szCs w:val="28"/>
        </w:rPr>
        <w:t>законодавчими актами</w:t>
      </w:r>
      <w:r w:rsidR="00F16A94">
        <w:rPr>
          <w:rFonts w:ascii="Times New Roman" w:hAnsi="Times New Roman"/>
          <w:sz w:val="28"/>
          <w:szCs w:val="28"/>
        </w:rPr>
        <w:t xml:space="preserve"> </w:t>
      </w:r>
      <w:r w:rsidR="00DA10CD">
        <w:rPr>
          <w:rFonts w:ascii="Times New Roman" w:hAnsi="Times New Roman"/>
          <w:sz w:val="28"/>
          <w:szCs w:val="28"/>
        </w:rPr>
        <w:t>в частині регулювання діяльності ТОВ і ТДВ</w:t>
      </w:r>
      <w:r w:rsidR="00A22B1E">
        <w:rPr>
          <w:rFonts w:ascii="Times New Roman" w:hAnsi="Times New Roman"/>
          <w:sz w:val="28"/>
          <w:szCs w:val="28"/>
        </w:rPr>
        <w:t xml:space="preserve"> та мають однакову юридичну силу</w:t>
      </w:r>
      <w:r w:rsidR="00DA10CD">
        <w:rPr>
          <w:rFonts w:ascii="Times New Roman" w:hAnsi="Times New Roman"/>
          <w:sz w:val="28"/>
          <w:szCs w:val="28"/>
        </w:rPr>
        <w:t>,</w:t>
      </w:r>
      <w:r w:rsidR="00516197">
        <w:rPr>
          <w:rFonts w:ascii="Times New Roman" w:hAnsi="Times New Roman"/>
          <w:sz w:val="28"/>
          <w:szCs w:val="28"/>
        </w:rPr>
        <w:t xml:space="preserve"> а отже між ними не може бути </w:t>
      </w:r>
      <w:r w:rsidR="00857741">
        <w:rPr>
          <w:rFonts w:ascii="Times New Roman" w:hAnsi="Times New Roman"/>
          <w:sz w:val="28"/>
          <w:szCs w:val="28"/>
        </w:rPr>
        <w:t xml:space="preserve">правової </w:t>
      </w:r>
      <w:r w:rsidR="00516197">
        <w:rPr>
          <w:rFonts w:ascii="Times New Roman" w:hAnsi="Times New Roman"/>
          <w:sz w:val="28"/>
          <w:szCs w:val="28"/>
        </w:rPr>
        <w:t xml:space="preserve">ієрархії. </w:t>
      </w:r>
      <w:r w:rsidR="00FB524A">
        <w:rPr>
          <w:rFonts w:ascii="Times New Roman" w:hAnsi="Times New Roman"/>
          <w:sz w:val="28"/>
          <w:szCs w:val="28"/>
        </w:rPr>
        <w:t xml:space="preserve">Сумнівним також </w:t>
      </w:r>
      <w:r w:rsidR="00CC5DD0">
        <w:rPr>
          <w:rFonts w:ascii="Times New Roman" w:hAnsi="Times New Roman"/>
          <w:sz w:val="28"/>
          <w:szCs w:val="28"/>
        </w:rPr>
        <w:t xml:space="preserve">є і </w:t>
      </w:r>
      <w:r w:rsidR="00FB524A">
        <w:rPr>
          <w:rFonts w:ascii="Times New Roman" w:hAnsi="Times New Roman"/>
          <w:sz w:val="28"/>
          <w:szCs w:val="28"/>
        </w:rPr>
        <w:t xml:space="preserve">застосування </w:t>
      </w:r>
      <w:r w:rsidR="00857741">
        <w:rPr>
          <w:rFonts w:ascii="Times New Roman" w:hAnsi="Times New Roman"/>
          <w:sz w:val="28"/>
          <w:szCs w:val="28"/>
        </w:rPr>
        <w:t xml:space="preserve">хронологічного принципу </w:t>
      </w:r>
      <w:r w:rsidR="00CC5DD0">
        <w:rPr>
          <w:rFonts w:ascii="Times New Roman" w:hAnsi="Times New Roman"/>
          <w:sz w:val="28"/>
          <w:szCs w:val="28"/>
        </w:rPr>
        <w:t xml:space="preserve">для вирішення </w:t>
      </w:r>
      <w:r w:rsidR="0039657E">
        <w:rPr>
          <w:rFonts w:ascii="Times New Roman" w:hAnsi="Times New Roman"/>
          <w:sz w:val="28"/>
          <w:szCs w:val="28"/>
        </w:rPr>
        <w:t>даної</w:t>
      </w:r>
      <w:r w:rsidR="00CC5DD0">
        <w:rPr>
          <w:rFonts w:ascii="Times New Roman" w:hAnsi="Times New Roman"/>
          <w:sz w:val="28"/>
          <w:szCs w:val="28"/>
        </w:rPr>
        <w:t xml:space="preserve"> колізії</w:t>
      </w:r>
      <w:r w:rsidR="00293C85">
        <w:rPr>
          <w:rFonts w:ascii="Times New Roman" w:hAnsi="Times New Roman"/>
          <w:sz w:val="28"/>
          <w:szCs w:val="28"/>
        </w:rPr>
        <w:t xml:space="preserve">. З точки зору теорії права </w:t>
      </w:r>
      <w:r w:rsidR="0039657E">
        <w:rPr>
          <w:rFonts w:ascii="Times New Roman" w:hAnsi="Times New Roman"/>
          <w:sz w:val="28"/>
          <w:szCs w:val="28"/>
        </w:rPr>
        <w:t>хронологічний</w:t>
      </w:r>
      <w:r w:rsidR="00985AF6">
        <w:rPr>
          <w:rFonts w:ascii="Times New Roman" w:hAnsi="Times New Roman"/>
          <w:sz w:val="28"/>
          <w:szCs w:val="28"/>
        </w:rPr>
        <w:t xml:space="preserve"> принцип</w:t>
      </w:r>
      <w:r w:rsidR="009212B9">
        <w:rPr>
          <w:rFonts w:ascii="Times New Roman" w:hAnsi="Times New Roman"/>
          <w:sz w:val="28"/>
          <w:szCs w:val="28"/>
        </w:rPr>
        <w:t xml:space="preserve"> може </w:t>
      </w:r>
      <w:r w:rsidR="00293C85">
        <w:rPr>
          <w:rFonts w:ascii="Times New Roman" w:hAnsi="Times New Roman"/>
          <w:sz w:val="28"/>
          <w:szCs w:val="28"/>
        </w:rPr>
        <w:t>бути використаний</w:t>
      </w:r>
      <w:r w:rsidR="009212B9">
        <w:rPr>
          <w:rFonts w:ascii="Times New Roman" w:hAnsi="Times New Roman"/>
          <w:sz w:val="28"/>
          <w:szCs w:val="28"/>
        </w:rPr>
        <w:t xml:space="preserve"> лише у разі </w:t>
      </w:r>
      <w:r w:rsidR="00E16BB1">
        <w:rPr>
          <w:rFonts w:ascii="Times New Roman" w:hAnsi="Times New Roman"/>
          <w:sz w:val="28"/>
          <w:szCs w:val="28"/>
        </w:rPr>
        <w:t xml:space="preserve">прямого </w:t>
      </w:r>
      <w:r w:rsidR="009212B9">
        <w:rPr>
          <w:rFonts w:ascii="Times New Roman" w:hAnsi="Times New Roman"/>
          <w:sz w:val="28"/>
          <w:szCs w:val="28"/>
        </w:rPr>
        <w:t>конфлікту в регулюванні, якого в даному випадку немає. Оскільки</w:t>
      </w:r>
      <w:r w:rsidR="00DA10CD">
        <w:rPr>
          <w:rFonts w:ascii="Times New Roman" w:hAnsi="Times New Roman"/>
          <w:sz w:val="28"/>
          <w:szCs w:val="28"/>
        </w:rPr>
        <w:t xml:space="preserve"> ст. 11 нового Закону не виключає можливість визначення </w:t>
      </w:r>
      <w:r w:rsidR="00442C7A">
        <w:rPr>
          <w:rFonts w:ascii="Times New Roman" w:hAnsi="Times New Roman"/>
          <w:sz w:val="28"/>
          <w:szCs w:val="28"/>
        </w:rPr>
        <w:t xml:space="preserve">вимог до статуту в інших законодавчих актах, </w:t>
      </w:r>
      <w:r w:rsidR="00DE3A93">
        <w:rPr>
          <w:rFonts w:ascii="Times New Roman" w:hAnsi="Times New Roman"/>
          <w:sz w:val="28"/>
          <w:szCs w:val="28"/>
        </w:rPr>
        <w:t xml:space="preserve">норми Господарського кодексу не конфліктують з новим Законом, а </w:t>
      </w:r>
      <w:r w:rsidR="007047D8">
        <w:rPr>
          <w:rFonts w:ascii="Times New Roman" w:hAnsi="Times New Roman"/>
          <w:sz w:val="28"/>
          <w:szCs w:val="28"/>
        </w:rPr>
        <w:t xml:space="preserve">лише </w:t>
      </w:r>
      <w:r w:rsidR="00DE3A93">
        <w:rPr>
          <w:rFonts w:ascii="Times New Roman" w:hAnsi="Times New Roman"/>
          <w:sz w:val="28"/>
          <w:szCs w:val="28"/>
        </w:rPr>
        <w:t>доповнюють його.</w:t>
      </w:r>
    </w:p>
    <w:p w14:paraId="4A11C4D8" w14:textId="4665E1CB" w:rsidR="00491ED0" w:rsidRDefault="007047D8" w:rsidP="009E197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</w:t>
      </w:r>
      <w:r w:rsidR="00E4643B">
        <w:rPr>
          <w:rFonts w:ascii="Times New Roman" w:hAnsi="Times New Roman"/>
          <w:sz w:val="28"/>
          <w:szCs w:val="28"/>
        </w:rPr>
        <w:t xml:space="preserve">, </w:t>
      </w:r>
      <w:r w:rsidR="003812C2">
        <w:rPr>
          <w:rFonts w:ascii="Times New Roman" w:hAnsi="Times New Roman"/>
          <w:sz w:val="28"/>
          <w:szCs w:val="28"/>
        </w:rPr>
        <w:t>на даний момент у господарському законодавстві існує</w:t>
      </w:r>
      <w:r w:rsidR="009B39A1">
        <w:rPr>
          <w:rFonts w:ascii="Times New Roman" w:hAnsi="Times New Roman"/>
          <w:sz w:val="28"/>
          <w:szCs w:val="28"/>
        </w:rPr>
        <w:t xml:space="preserve"> колізія</w:t>
      </w:r>
      <w:r w:rsidR="003812C2">
        <w:rPr>
          <w:rFonts w:ascii="Times New Roman" w:hAnsi="Times New Roman"/>
          <w:sz w:val="28"/>
          <w:szCs w:val="28"/>
        </w:rPr>
        <w:t>,</w:t>
      </w:r>
      <w:r w:rsidR="00CC4A10">
        <w:rPr>
          <w:rFonts w:ascii="Times New Roman" w:hAnsi="Times New Roman"/>
          <w:sz w:val="28"/>
          <w:szCs w:val="28"/>
        </w:rPr>
        <w:t xml:space="preserve"> </w:t>
      </w:r>
      <w:r w:rsidR="008369F5">
        <w:rPr>
          <w:rFonts w:ascii="Times New Roman" w:hAnsi="Times New Roman"/>
          <w:sz w:val="28"/>
          <w:szCs w:val="28"/>
        </w:rPr>
        <w:t>що</w:t>
      </w:r>
      <w:r w:rsidR="009B39A1">
        <w:rPr>
          <w:rFonts w:ascii="Times New Roman" w:hAnsi="Times New Roman"/>
          <w:sz w:val="28"/>
          <w:szCs w:val="28"/>
        </w:rPr>
        <w:t xml:space="preserve"> суперечить принципу правової визначеності та </w:t>
      </w:r>
      <w:r w:rsidR="00372261">
        <w:rPr>
          <w:rFonts w:ascii="Times New Roman" w:hAnsi="Times New Roman"/>
          <w:sz w:val="28"/>
          <w:szCs w:val="28"/>
        </w:rPr>
        <w:t>породжує</w:t>
      </w:r>
      <w:r w:rsidR="009B39A1">
        <w:rPr>
          <w:rFonts w:ascii="Times New Roman" w:hAnsi="Times New Roman"/>
          <w:sz w:val="28"/>
          <w:szCs w:val="28"/>
        </w:rPr>
        <w:t xml:space="preserve"> проблеми </w:t>
      </w:r>
      <w:r w:rsidR="00372261">
        <w:rPr>
          <w:rFonts w:ascii="Times New Roman" w:hAnsi="Times New Roman"/>
          <w:sz w:val="28"/>
          <w:szCs w:val="28"/>
        </w:rPr>
        <w:t>у діяльності</w:t>
      </w:r>
      <w:r w:rsidR="009B39A1">
        <w:rPr>
          <w:rFonts w:ascii="Times New Roman" w:hAnsi="Times New Roman"/>
          <w:sz w:val="28"/>
          <w:szCs w:val="28"/>
        </w:rPr>
        <w:t xml:space="preserve"> </w:t>
      </w:r>
      <w:r w:rsidR="00187736">
        <w:rPr>
          <w:rFonts w:ascii="Times New Roman" w:hAnsi="Times New Roman"/>
          <w:sz w:val="28"/>
          <w:szCs w:val="28"/>
        </w:rPr>
        <w:t xml:space="preserve">суб’єктів господарювання. </w:t>
      </w:r>
      <w:r w:rsidR="009E197E">
        <w:rPr>
          <w:rFonts w:ascii="Times New Roman" w:hAnsi="Times New Roman"/>
          <w:sz w:val="28"/>
          <w:szCs w:val="28"/>
        </w:rPr>
        <w:t>Цей</w:t>
      </w:r>
      <w:r w:rsidR="005F0D8A" w:rsidRPr="00A94F1F">
        <w:rPr>
          <w:rFonts w:ascii="Times New Roman" w:hAnsi="Times New Roman"/>
          <w:sz w:val="28"/>
          <w:szCs w:val="28"/>
        </w:rPr>
        <w:t xml:space="preserve"> законопро</w:t>
      </w:r>
      <w:r w:rsidR="001C277D" w:rsidRPr="00A94F1F">
        <w:rPr>
          <w:rFonts w:ascii="Times New Roman" w:hAnsi="Times New Roman"/>
          <w:sz w:val="28"/>
          <w:szCs w:val="28"/>
        </w:rPr>
        <w:t>є</w:t>
      </w:r>
      <w:r w:rsidR="005F0D8A" w:rsidRPr="00A94F1F">
        <w:rPr>
          <w:rFonts w:ascii="Times New Roman" w:hAnsi="Times New Roman"/>
          <w:sz w:val="28"/>
          <w:szCs w:val="28"/>
        </w:rPr>
        <w:t xml:space="preserve">кт покликаний </w:t>
      </w:r>
      <w:r w:rsidR="00405D92" w:rsidRPr="00A94F1F">
        <w:rPr>
          <w:rFonts w:ascii="Times New Roman" w:hAnsi="Times New Roman"/>
          <w:sz w:val="28"/>
          <w:szCs w:val="28"/>
        </w:rPr>
        <w:t>усунути</w:t>
      </w:r>
      <w:r w:rsidR="005F0D8A" w:rsidRPr="00A94F1F">
        <w:rPr>
          <w:rFonts w:ascii="Times New Roman" w:hAnsi="Times New Roman"/>
          <w:sz w:val="28"/>
          <w:szCs w:val="28"/>
        </w:rPr>
        <w:t xml:space="preserve"> </w:t>
      </w:r>
      <w:r w:rsidR="00D52110" w:rsidRPr="00A94F1F">
        <w:rPr>
          <w:rFonts w:ascii="Times New Roman" w:hAnsi="Times New Roman"/>
          <w:sz w:val="28"/>
          <w:szCs w:val="28"/>
        </w:rPr>
        <w:t xml:space="preserve">існуючі протиріччя </w:t>
      </w:r>
      <w:r w:rsidR="00491ED0">
        <w:rPr>
          <w:rFonts w:ascii="Times New Roman" w:hAnsi="Times New Roman"/>
          <w:sz w:val="28"/>
          <w:szCs w:val="28"/>
        </w:rPr>
        <w:t xml:space="preserve">та </w:t>
      </w:r>
      <w:r w:rsidR="008D7FA1">
        <w:rPr>
          <w:rFonts w:ascii="Times New Roman" w:hAnsi="Times New Roman"/>
          <w:sz w:val="28"/>
          <w:szCs w:val="28"/>
        </w:rPr>
        <w:t>однозначно визначити, що перелік обов’язкових вимог до статут</w:t>
      </w:r>
      <w:r w:rsidR="00372261">
        <w:rPr>
          <w:rFonts w:ascii="Times New Roman" w:hAnsi="Times New Roman"/>
          <w:sz w:val="28"/>
          <w:szCs w:val="28"/>
        </w:rPr>
        <w:t>ів</w:t>
      </w:r>
      <w:r w:rsidR="008D7FA1">
        <w:rPr>
          <w:rFonts w:ascii="Times New Roman" w:hAnsi="Times New Roman"/>
          <w:sz w:val="28"/>
          <w:szCs w:val="28"/>
        </w:rPr>
        <w:t xml:space="preserve"> ТОВ і ТДВ визначається виключно </w:t>
      </w:r>
      <w:r w:rsidR="00372261">
        <w:rPr>
          <w:rFonts w:ascii="Times New Roman" w:hAnsi="Times New Roman"/>
          <w:sz w:val="28"/>
          <w:szCs w:val="28"/>
        </w:rPr>
        <w:t>у</w:t>
      </w:r>
      <w:r w:rsidR="008D7FA1">
        <w:rPr>
          <w:rFonts w:ascii="Times New Roman" w:hAnsi="Times New Roman"/>
          <w:sz w:val="28"/>
          <w:szCs w:val="28"/>
        </w:rPr>
        <w:t xml:space="preserve"> профільному Законі </w:t>
      </w:r>
      <w:r w:rsidR="00E16BB1">
        <w:rPr>
          <w:rFonts w:ascii="Times New Roman" w:hAnsi="Times New Roman"/>
          <w:sz w:val="28"/>
          <w:szCs w:val="28"/>
        </w:rPr>
        <w:t xml:space="preserve">України </w:t>
      </w:r>
      <w:r w:rsidR="008D7FA1">
        <w:rPr>
          <w:rFonts w:ascii="Times New Roman" w:hAnsi="Times New Roman"/>
          <w:sz w:val="28"/>
          <w:szCs w:val="28"/>
        </w:rPr>
        <w:t xml:space="preserve">"Про товариства з обмеженою та додатковою відповідальністю".  </w:t>
      </w:r>
    </w:p>
    <w:p w14:paraId="5A9D1A55" w14:textId="77777777" w:rsidR="00C03AFF" w:rsidRPr="00A94F1F" w:rsidRDefault="00C03AFF" w:rsidP="002D142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56" w14:textId="77777777" w:rsidR="00262BF4" w:rsidRPr="00A94F1F" w:rsidRDefault="002D1424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4F1F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>Цілі та завдання законопро</w:t>
      </w:r>
      <w:r w:rsidR="004E4698" w:rsidRPr="00A94F1F">
        <w:rPr>
          <w:rFonts w:ascii="Times New Roman" w:hAnsi="Times New Roman"/>
          <w:b/>
          <w:bCs/>
          <w:sz w:val="28"/>
          <w:szCs w:val="28"/>
        </w:rPr>
        <w:t>є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>кту</w:t>
      </w:r>
    </w:p>
    <w:p w14:paraId="01BB92BA" w14:textId="5AB80734" w:rsidR="00BF5C94" w:rsidRPr="00A94F1F" w:rsidRDefault="002B5C66" w:rsidP="00A003E5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>Ціллю прийняття</w:t>
      </w:r>
      <w:r w:rsidR="00262BF4" w:rsidRPr="00A94F1F">
        <w:rPr>
          <w:rFonts w:ascii="Times New Roman" w:hAnsi="Times New Roman"/>
          <w:sz w:val="28"/>
          <w:szCs w:val="28"/>
        </w:rPr>
        <w:t xml:space="preserve"> </w:t>
      </w:r>
      <w:r w:rsidR="00AE18BF" w:rsidRPr="00A94F1F">
        <w:rPr>
          <w:rFonts w:ascii="Times New Roman" w:hAnsi="Times New Roman"/>
          <w:sz w:val="28"/>
          <w:szCs w:val="28"/>
        </w:rPr>
        <w:t>цього законопроєкту</w:t>
      </w:r>
      <w:r w:rsidR="00262BF4" w:rsidRPr="00A94F1F">
        <w:rPr>
          <w:rFonts w:ascii="Times New Roman" w:hAnsi="Times New Roman"/>
          <w:sz w:val="28"/>
          <w:szCs w:val="28"/>
        </w:rPr>
        <w:t xml:space="preserve"> є </w:t>
      </w:r>
      <w:r w:rsidR="004C2A52" w:rsidRPr="00A94F1F">
        <w:rPr>
          <w:rFonts w:ascii="Times New Roman" w:hAnsi="Times New Roman"/>
          <w:sz w:val="28"/>
          <w:szCs w:val="28"/>
        </w:rPr>
        <w:t>вирішення існуюч</w:t>
      </w:r>
      <w:r w:rsidR="00926062">
        <w:rPr>
          <w:rFonts w:ascii="Times New Roman" w:hAnsi="Times New Roman"/>
          <w:sz w:val="28"/>
          <w:szCs w:val="28"/>
        </w:rPr>
        <w:t>ої</w:t>
      </w:r>
      <w:r w:rsidR="004C2A52" w:rsidRPr="00A94F1F">
        <w:rPr>
          <w:rFonts w:ascii="Times New Roman" w:hAnsi="Times New Roman"/>
          <w:sz w:val="28"/>
          <w:szCs w:val="28"/>
        </w:rPr>
        <w:t xml:space="preserve"> </w:t>
      </w:r>
      <w:r w:rsidR="008D7FA1">
        <w:rPr>
          <w:rFonts w:ascii="Times New Roman" w:hAnsi="Times New Roman"/>
          <w:sz w:val="28"/>
          <w:szCs w:val="28"/>
        </w:rPr>
        <w:t>колізі</w:t>
      </w:r>
      <w:r w:rsidR="00926062">
        <w:rPr>
          <w:rFonts w:ascii="Times New Roman" w:hAnsi="Times New Roman"/>
          <w:sz w:val="28"/>
          <w:szCs w:val="28"/>
        </w:rPr>
        <w:t>ї</w:t>
      </w:r>
      <w:r w:rsidR="004C2A52" w:rsidRPr="00A94F1F">
        <w:rPr>
          <w:rFonts w:ascii="Times New Roman" w:hAnsi="Times New Roman"/>
          <w:sz w:val="28"/>
          <w:szCs w:val="28"/>
        </w:rPr>
        <w:t xml:space="preserve"> між Законом України "</w:t>
      </w:r>
      <w:r w:rsidR="008D7FA1">
        <w:rPr>
          <w:rFonts w:ascii="Times New Roman" w:hAnsi="Times New Roman"/>
          <w:sz w:val="28"/>
          <w:szCs w:val="28"/>
        </w:rPr>
        <w:t>Про товариства з обмеженою та додатковою відповідальністю</w:t>
      </w:r>
      <w:r w:rsidR="004C2A52" w:rsidRPr="00A94F1F">
        <w:rPr>
          <w:rFonts w:ascii="Times New Roman" w:hAnsi="Times New Roman"/>
          <w:sz w:val="28"/>
          <w:szCs w:val="28"/>
        </w:rPr>
        <w:t xml:space="preserve">" </w:t>
      </w:r>
      <w:r w:rsidR="00926062">
        <w:rPr>
          <w:rFonts w:ascii="Times New Roman" w:hAnsi="Times New Roman"/>
          <w:sz w:val="28"/>
          <w:szCs w:val="28"/>
        </w:rPr>
        <w:t>і</w:t>
      </w:r>
      <w:r w:rsidR="004C2A52" w:rsidRPr="00A94F1F">
        <w:rPr>
          <w:rFonts w:ascii="Times New Roman" w:hAnsi="Times New Roman"/>
          <w:sz w:val="28"/>
          <w:szCs w:val="28"/>
        </w:rPr>
        <w:t xml:space="preserve"> </w:t>
      </w:r>
      <w:r w:rsidR="008D7FA1">
        <w:rPr>
          <w:rFonts w:ascii="Times New Roman" w:hAnsi="Times New Roman"/>
          <w:sz w:val="28"/>
          <w:szCs w:val="28"/>
        </w:rPr>
        <w:t>Господарським кодексом України</w:t>
      </w:r>
      <w:r w:rsidR="00926062">
        <w:rPr>
          <w:rFonts w:ascii="Times New Roman" w:hAnsi="Times New Roman"/>
          <w:sz w:val="28"/>
          <w:szCs w:val="28"/>
        </w:rPr>
        <w:t xml:space="preserve"> в частині </w:t>
      </w:r>
      <w:r w:rsidR="00A003E5">
        <w:rPr>
          <w:rFonts w:ascii="Times New Roman" w:hAnsi="Times New Roman"/>
          <w:sz w:val="28"/>
          <w:szCs w:val="28"/>
        </w:rPr>
        <w:t>обов’язкових вимог до статут</w:t>
      </w:r>
      <w:r w:rsidR="002D17CC">
        <w:rPr>
          <w:rFonts w:ascii="Times New Roman" w:hAnsi="Times New Roman"/>
          <w:sz w:val="28"/>
          <w:szCs w:val="28"/>
        </w:rPr>
        <w:t>ів</w:t>
      </w:r>
      <w:r w:rsidR="00A003E5">
        <w:rPr>
          <w:rFonts w:ascii="Times New Roman" w:hAnsi="Times New Roman"/>
          <w:sz w:val="28"/>
          <w:szCs w:val="28"/>
        </w:rPr>
        <w:t xml:space="preserve"> ТОВ і ТДВ. </w:t>
      </w:r>
    </w:p>
    <w:p w14:paraId="5A9D1A58" w14:textId="77777777" w:rsidR="00862063" w:rsidRPr="00A94F1F" w:rsidRDefault="00862063" w:rsidP="002D142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59" w14:textId="77777777" w:rsidR="002A6557" w:rsidRPr="00A94F1F" w:rsidRDefault="002D1424" w:rsidP="00A003E5">
      <w:pPr>
        <w:keepNext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4F1F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>Загальна характеристика та основні положення законопро</w:t>
      </w:r>
      <w:r w:rsidR="00EF37A1" w:rsidRPr="00A94F1F">
        <w:rPr>
          <w:rFonts w:ascii="Times New Roman" w:hAnsi="Times New Roman"/>
          <w:b/>
          <w:bCs/>
          <w:sz w:val="28"/>
          <w:szCs w:val="28"/>
        </w:rPr>
        <w:t>є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>кту</w:t>
      </w:r>
    </w:p>
    <w:p w14:paraId="5A9D1A5A" w14:textId="0FD5F977" w:rsidR="0055438A" w:rsidRPr="00A94F1F" w:rsidRDefault="00AE18BF" w:rsidP="00A003E5">
      <w:pPr>
        <w:keepNext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>Законопро</w:t>
      </w:r>
      <w:r w:rsidR="001C277D" w:rsidRPr="00A94F1F">
        <w:rPr>
          <w:rFonts w:ascii="Times New Roman" w:hAnsi="Times New Roman"/>
          <w:sz w:val="28"/>
          <w:szCs w:val="28"/>
        </w:rPr>
        <w:t>є</w:t>
      </w:r>
      <w:r w:rsidRPr="00A94F1F">
        <w:rPr>
          <w:rFonts w:ascii="Times New Roman" w:hAnsi="Times New Roman"/>
          <w:sz w:val="28"/>
          <w:szCs w:val="28"/>
        </w:rPr>
        <w:t>кт пропонує</w:t>
      </w:r>
      <w:r w:rsidR="0055438A" w:rsidRPr="00A94F1F">
        <w:rPr>
          <w:rFonts w:ascii="Times New Roman" w:hAnsi="Times New Roman"/>
          <w:sz w:val="28"/>
          <w:szCs w:val="28"/>
        </w:rPr>
        <w:t xml:space="preserve">: </w:t>
      </w:r>
    </w:p>
    <w:p w14:paraId="79537B45" w14:textId="4EAE8A53" w:rsidR="00937A5C" w:rsidRPr="00A94F1F" w:rsidRDefault="00F942BE" w:rsidP="00A003E5">
      <w:pPr>
        <w:pStyle w:val="a7"/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4F1F">
        <w:rPr>
          <w:sz w:val="28"/>
          <w:szCs w:val="28"/>
        </w:rPr>
        <w:t xml:space="preserve">виключити з Господарського кодексу України положення про необхідність визначення в </w:t>
      </w:r>
      <w:r w:rsidR="002D17CC">
        <w:rPr>
          <w:sz w:val="28"/>
          <w:szCs w:val="28"/>
        </w:rPr>
        <w:t>статуті</w:t>
      </w:r>
      <w:r w:rsidRPr="00A94F1F">
        <w:rPr>
          <w:sz w:val="28"/>
          <w:szCs w:val="28"/>
        </w:rPr>
        <w:t xml:space="preserve"> часток учасників ТОВ і ТДВ; </w:t>
      </w:r>
    </w:p>
    <w:p w14:paraId="5A9D1A5B" w14:textId="54D9310F" w:rsidR="0055438A" w:rsidRPr="00A94F1F" w:rsidRDefault="002F52F9" w:rsidP="0055438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4F1F">
        <w:rPr>
          <w:sz w:val="28"/>
          <w:szCs w:val="28"/>
        </w:rPr>
        <w:t>визначити, що перелік обов’язкових вимог до статут</w:t>
      </w:r>
      <w:r w:rsidR="002D17CC">
        <w:rPr>
          <w:sz w:val="28"/>
          <w:szCs w:val="28"/>
        </w:rPr>
        <w:t>ів</w:t>
      </w:r>
      <w:r w:rsidRPr="00A94F1F">
        <w:rPr>
          <w:sz w:val="28"/>
          <w:szCs w:val="28"/>
        </w:rPr>
        <w:t xml:space="preserve"> ТОВ і ТДВ визначається виключно Законом України "Про товариства з обмеженою та додатковою відповідальністю".</w:t>
      </w:r>
    </w:p>
    <w:p w14:paraId="5A9D1A5E" w14:textId="77777777" w:rsidR="0055438A" w:rsidRPr="00A94F1F" w:rsidRDefault="0055438A" w:rsidP="002D142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9D1A5F" w14:textId="77777777" w:rsidR="00C03AFF" w:rsidRPr="00A94F1F" w:rsidRDefault="002D1424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4F1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 xml:space="preserve">Стан нормативно-правової бази </w:t>
      </w:r>
    </w:p>
    <w:p w14:paraId="5A9D1A60" w14:textId="56AA99B3" w:rsidR="002D1424" w:rsidRPr="00A94F1F" w:rsidRDefault="00262BF4" w:rsidP="002D142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F1F">
        <w:rPr>
          <w:rFonts w:ascii="Times New Roman" w:hAnsi="Times New Roman"/>
          <w:sz w:val="28"/>
          <w:szCs w:val="28"/>
        </w:rPr>
        <w:t xml:space="preserve">Основними нормативно-правовими актами </w:t>
      </w:r>
      <w:r w:rsidR="00C03AFF" w:rsidRPr="00A94F1F">
        <w:rPr>
          <w:rFonts w:ascii="Times New Roman" w:hAnsi="Times New Roman"/>
          <w:sz w:val="28"/>
          <w:szCs w:val="28"/>
        </w:rPr>
        <w:t>у цій сфері є</w:t>
      </w:r>
      <w:r w:rsidR="002D1424" w:rsidRPr="00A94F1F">
        <w:rPr>
          <w:rFonts w:ascii="Times New Roman" w:hAnsi="Times New Roman"/>
          <w:sz w:val="28"/>
          <w:szCs w:val="28"/>
        </w:rPr>
        <w:t xml:space="preserve"> </w:t>
      </w:r>
      <w:r w:rsidR="00744493" w:rsidRPr="00A94F1F">
        <w:rPr>
          <w:rFonts w:ascii="Times New Roman" w:hAnsi="Times New Roman"/>
          <w:sz w:val="28"/>
          <w:szCs w:val="28"/>
        </w:rPr>
        <w:t>Господарський кодекс України і Закон України "Про товариства з обмеженою та додатковою відповідальністю".</w:t>
      </w:r>
    </w:p>
    <w:p w14:paraId="5A9D1A61" w14:textId="6A25220F" w:rsidR="00A65064" w:rsidRPr="00A94F1F" w:rsidRDefault="00A65064" w:rsidP="002D142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9D1A62" w14:textId="77777777" w:rsidR="00E320CE" w:rsidRPr="00A94F1F" w:rsidRDefault="002D1424" w:rsidP="002D142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4F1F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>Фінансово-економічне обґрунтування</w:t>
      </w:r>
    </w:p>
    <w:p w14:paraId="5A9D1A63" w14:textId="7E1C5E23" w:rsidR="002D1424" w:rsidRPr="00A94F1F" w:rsidRDefault="002D1424" w:rsidP="002D1424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F1F">
        <w:rPr>
          <w:rFonts w:ascii="Times New Roman" w:hAnsi="Times New Roman"/>
          <w:sz w:val="28"/>
          <w:szCs w:val="28"/>
          <w:lang w:eastAsia="ru-RU"/>
        </w:rPr>
        <w:t xml:space="preserve">Прийняття </w:t>
      </w:r>
      <w:r w:rsidR="00EB248F" w:rsidRPr="00A94F1F">
        <w:rPr>
          <w:rFonts w:ascii="Times New Roman" w:hAnsi="Times New Roman"/>
          <w:sz w:val="28"/>
          <w:szCs w:val="28"/>
          <w:lang w:eastAsia="ru-RU"/>
        </w:rPr>
        <w:t>законопроєкту</w:t>
      </w:r>
      <w:r w:rsidRPr="00A94F1F">
        <w:rPr>
          <w:rFonts w:ascii="Times New Roman" w:hAnsi="Times New Roman"/>
          <w:sz w:val="28"/>
          <w:szCs w:val="28"/>
          <w:lang w:eastAsia="ru-RU"/>
        </w:rPr>
        <w:t xml:space="preserve"> не потребує додаткового фінансування </w:t>
      </w:r>
      <w:r w:rsidRPr="00A94F1F">
        <w:rPr>
          <w:rFonts w:ascii="Times New Roman" w:hAnsi="Times New Roman"/>
          <w:sz w:val="28"/>
          <w:szCs w:val="28"/>
        </w:rPr>
        <w:t>з Державного бюджету України.</w:t>
      </w:r>
    </w:p>
    <w:p w14:paraId="5A9D1A64" w14:textId="77777777" w:rsidR="002D1424" w:rsidRPr="00A94F1F" w:rsidRDefault="002D1424" w:rsidP="002D142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290DCB" w14:textId="75FF7055" w:rsidR="00A003E5" w:rsidRPr="00765C7B" w:rsidRDefault="002D1424" w:rsidP="00765C7B">
      <w:pPr>
        <w:keepNext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4F1F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262BF4" w:rsidRPr="00A94F1F">
        <w:rPr>
          <w:rFonts w:ascii="Times New Roman" w:hAnsi="Times New Roman"/>
          <w:b/>
          <w:bCs/>
          <w:sz w:val="28"/>
          <w:szCs w:val="28"/>
        </w:rPr>
        <w:t xml:space="preserve">Очікувані соціально-економічні, правові та інші наслідки </w:t>
      </w:r>
    </w:p>
    <w:p w14:paraId="500B820C" w14:textId="47314969" w:rsidR="00173C2B" w:rsidRPr="00D132F3" w:rsidRDefault="00FB0942" w:rsidP="00D132F3">
      <w:pPr>
        <w:pStyle w:val="a7"/>
        <w:keepNext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A94F1F">
        <w:rPr>
          <w:sz w:val="28"/>
          <w:szCs w:val="28"/>
        </w:rPr>
        <w:t>Прийняття цього законопро</w:t>
      </w:r>
      <w:r w:rsidR="001C277D" w:rsidRPr="00A94F1F">
        <w:rPr>
          <w:sz w:val="28"/>
          <w:szCs w:val="28"/>
        </w:rPr>
        <w:t>є</w:t>
      </w:r>
      <w:r w:rsidRPr="00A94F1F">
        <w:rPr>
          <w:sz w:val="28"/>
          <w:szCs w:val="28"/>
        </w:rPr>
        <w:t xml:space="preserve">кту дозволить усунути </w:t>
      </w:r>
      <w:r w:rsidR="00C0259D">
        <w:rPr>
          <w:sz w:val="28"/>
          <w:szCs w:val="28"/>
        </w:rPr>
        <w:t>законодавчу колізію</w:t>
      </w:r>
      <w:r w:rsidR="00ED1F80">
        <w:rPr>
          <w:sz w:val="28"/>
          <w:szCs w:val="28"/>
        </w:rPr>
        <w:t xml:space="preserve">, </w:t>
      </w:r>
      <w:r w:rsidR="00100531">
        <w:rPr>
          <w:sz w:val="28"/>
          <w:szCs w:val="28"/>
        </w:rPr>
        <w:t>що</w:t>
      </w:r>
      <w:r w:rsidR="003F2275">
        <w:rPr>
          <w:sz w:val="28"/>
          <w:szCs w:val="28"/>
        </w:rPr>
        <w:t xml:space="preserve"> безпосередньо</w:t>
      </w:r>
      <w:r w:rsidR="002F57E1">
        <w:rPr>
          <w:sz w:val="28"/>
          <w:szCs w:val="28"/>
        </w:rPr>
        <w:t xml:space="preserve"> стосується </w:t>
      </w:r>
      <w:r w:rsidR="00100531">
        <w:rPr>
          <w:sz w:val="28"/>
          <w:szCs w:val="28"/>
        </w:rPr>
        <w:t xml:space="preserve">понад </w:t>
      </w:r>
      <w:r w:rsidR="00F41997">
        <w:rPr>
          <w:sz w:val="28"/>
          <w:szCs w:val="28"/>
        </w:rPr>
        <w:t>68</w:t>
      </w:r>
      <w:r w:rsidR="008414B7">
        <w:rPr>
          <w:sz w:val="28"/>
          <w:szCs w:val="28"/>
        </w:rPr>
        <w:t>4</w:t>
      </w:r>
      <w:r w:rsidR="00675748">
        <w:rPr>
          <w:sz w:val="28"/>
          <w:szCs w:val="28"/>
        </w:rPr>
        <w:t xml:space="preserve"> тис. </w:t>
      </w:r>
      <w:r w:rsidR="00CC460B">
        <w:rPr>
          <w:sz w:val="28"/>
          <w:szCs w:val="28"/>
        </w:rPr>
        <w:t>суб’єктів господарювання</w:t>
      </w:r>
      <w:r w:rsidR="00CC460B">
        <w:rPr>
          <w:rStyle w:val="ad"/>
          <w:sz w:val="28"/>
          <w:szCs w:val="28"/>
        </w:rPr>
        <w:footnoteReference w:id="1"/>
      </w:r>
      <w:r w:rsidR="00675748">
        <w:rPr>
          <w:sz w:val="28"/>
          <w:szCs w:val="28"/>
        </w:rPr>
        <w:t xml:space="preserve">. </w:t>
      </w:r>
      <w:r w:rsidR="006A5DCE">
        <w:rPr>
          <w:sz w:val="28"/>
          <w:szCs w:val="28"/>
        </w:rPr>
        <w:t xml:space="preserve">Це </w:t>
      </w:r>
      <w:r w:rsidR="00EE7652">
        <w:rPr>
          <w:sz w:val="28"/>
          <w:szCs w:val="28"/>
        </w:rPr>
        <w:t>сприятиме</w:t>
      </w:r>
      <w:r w:rsidR="0016663A">
        <w:rPr>
          <w:sz w:val="28"/>
          <w:szCs w:val="28"/>
        </w:rPr>
        <w:t xml:space="preserve"> подальшому</w:t>
      </w:r>
      <w:r w:rsidR="00EE7652">
        <w:rPr>
          <w:sz w:val="28"/>
          <w:szCs w:val="28"/>
        </w:rPr>
        <w:t xml:space="preserve"> утвердженню принципу правової визначеності </w:t>
      </w:r>
      <w:r w:rsidR="0016663A">
        <w:rPr>
          <w:sz w:val="28"/>
          <w:szCs w:val="28"/>
        </w:rPr>
        <w:t>в підприємницькій діяльності</w:t>
      </w:r>
      <w:r w:rsidR="00D132F3">
        <w:rPr>
          <w:sz w:val="28"/>
          <w:szCs w:val="28"/>
        </w:rPr>
        <w:t xml:space="preserve"> та зменшить кількість проблем, з якими вимушений стикатись </w:t>
      </w:r>
      <w:r w:rsidR="00B362F1">
        <w:rPr>
          <w:sz w:val="28"/>
          <w:szCs w:val="28"/>
        </w:rPr>
        <w:t>український</w:t>
      </w:r>
      <w:r w:rsidR="00D132F3">
        <w:rPr>
          <w:sz w:val="28"/>
          <w:szCs w:val="28"/>
        </w:rPr>
        <w:t xml:space="preserve"> бізнес у своїй повсякденній роботі. </w:t>
      </w:r>
    </w:p>
    <w:p w14:paraId="5A9D1A68" w14:textId="4D226376" w:rsidR="00F3339A" w:rsidRDefault="00F3339A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4E851A" w14:textId="77777777" w:rsidR="00D132F3" w:rsidRPr="00A94F1F" w:rsidRDefault="00D132F3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2D1424" w:rsidRPr="00A94F1F" w14:paraId="5A9D1A6B" w14:textId="77777777" w:rsidTr="00445F40">
        <w:trPr>
          <w:trHeight w:val="194"/>
        </w:trPr>
        <w:tc>
          <w:tcPr>
            <w:tcW w:w="4394" w:type="dxa"/>
          </w:tcPr>
          <w:p w14:paraId="5A9D1A69" w14:textId="77777777" w:rsidR="002D1424" w:rsidRPr="00A94F1F" w:rsidRDefault="002D1424" w:rsidP="002D1424">
            <w:pPr>
              <w:adjustRightInd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F1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Народний депутат України</w:t>
            </w:r>
          </w:p>
        </w:tc>
        <w:tc>
          <w:tcPr>
            <w:tcW w:w="4536" w:type="dxa"/>
          </w:tcPr>
          <w:p w14:paraId="5A9D1A6A" w14:textId="77777777" w:rsidR="002D1424" w:rsidRPr="00A94F1F" w:rsidRDefault="002D1424" w:rsidP="002D14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4F1F">
              <w:rPr>
                <w:rFonts w:ascii="Times New Roman" w:hAnsi="Times New Roman"/>
                <w:b/>
                <w:bCs/>
                <w:sz w:val="28"/>
                <w:szCs w:val="28"/>
              </w:rPr>
              <w:t>Макаров О.А. (посв. №214)</w:t>
            </w:r>
          </w:p>
        </w:tc>
      </w:tr>
      <w:tr w:rsidR="00445F40" w:rsidRPr="00A94F1F" w14:paraId="5A9D1A6F" w14:textId="77777777" w:rsidTr="00445F40">
        <w:trPr>
          <w:trHeight w:val="194"/>
        </w:trPr>
        <w:tc>
          <w:tcPr>
            <w:tcW w:w="4394" w:type="dxa"/>
          </w:tcPr>
          <w:p w14:paraId="5A9D1A6C" w14:textId="77777777" w:rsidR="00445F40" w:rsidRPr="00A94F1F" w:rsidRDefault="00445F40" w:rsidP="002D1424">
            <w:pPr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5A9D1A6D" w14:textId="77777777" w:rsidR="00445F40" w:rsidRPr="00A94F1F" w:rsidRDefault="00445F40" w:rsidP="002D1424">
            <w:pPr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94F1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Інші народні депутати України</w:t>
            </w:r>
          </w:p>
        </w:tc>
        <w:tc>
          <w:tcPr>
            <w:tcW w:w="4536" w:type="dxa"/>
          </w:tcPr>
          <w:p w14:paraId="5A9D1A6E" w14:textId="77777777" w:rsidR="00445F40" w:rsidRPr="00A94F1F" w:rsidRDefault="00445F40" w:rsidP="002D14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A9D1A70" w14:textId="77777777" w:rsidR="00052DC3" w:rsidRPr="00A94F1F" w:rsidRDefault="00052DC3" w:rsidP="002D142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</w:pPr>
    </w:p>
    <w:sectPr w:rsidR="00052DC3" w:rsidRPr="00A94F1F" w:rsidSect="00266F71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09BA" w14:textId="77777777" w:rsidR="00DC63CE" w:rsidRDefault="00DC63CE" w:rsidP="009221E6">
      <w:pPr>
        <w:spacing w:after="0" w:line="240" w:lineRule="auto"/>
      </w:pPr>
      <w:r>
        <w:separator/>
      </w:r>
    </w:p>
  </w:endnote>
  <w:endnote w:type="continuationSeparator" w:id="0">
    <w:p w14:paraId="22155CBA" w14:textId="77777777" w:rsidR="00DC63CE" w:rsidRDefault="00DC63CE" w:rsidP="0092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FAB7" w14:textId="77777777" w:rsidR="00352F00" w:rsidRDefault="00352F00">
    <w:pPr>
      <w:pStyle w:val="a5"/>
      <w:jc w:val="center"/>
      <w:rPr>
        <w:rFonts w:ascii="Times New Roman" w:hAnsi="Times New Roman"/>
        <w:sz w:val="24"/>
      </w:rPr>
    </w:pPr>
  </w:p>
  <w:p w14:paraId="5A9D1A75" w14:textId="3C943007" w:rsidR="009221E6" w:rsidRPr="009221E6" w:rsidRDefault="009221E6">
    <w:pPr>
      <w:pStyle w:val="a5"/>
      <w:jc w:val="center"/>
      <w:rPr>
        <w:rFonts w:ascii="Times New Roman" w:hAnsi="Times New Roman"/>
        <w:sz w:val="24"/>
      </w:rPr>
    </w:pPr>
    <w:r w:rsidRPr="009221E6">
      <w:rPr>
        <w:rFonts w:ascii="Times New Roman" w:hAnsi="Times New Roman"/>
        <w:sz w:val="24"/>
      </w:rPr>
      <w:fldChar w:fldCharType="begin"/>
    </w:r>
    <w:r w:rsidRPr="009221E6">
      <w:rPr>
        <w:rFonts w:ascii="Times New Roman" w:hAnsi="Times New Roman"/>
        <w:sz w:val="24"/>
      </w:rPr>
      <w:instrText>PAGE   \* MERGEFORMAT</w:instrText>
    </w:r>
    <w:r w:rsidRPr="009221E6">
      <w:rPr>
        <w:rFonts w:ascii="Times New Roman" w:hAnsi="Times New Roman"/>
        <w:sz w:val="24"/>
      </w:rPr>
      <w:fldChar w:fldCharType="separate"/>
    </w:r>
    <w:r w:rsidR="00A06935">
      <w:rPr>
        <w:rFonts w:ascii="Times New Roman" w:hAnsi="Times New Roman"/>
        <w:noProof/>
        <w:sz w:val="24"/>
      </w:rPr>
      <w:t>2</w:t>
    </w:r>
    <w:r w:rsidRPr="009221E6">
      <w:rPr>
        <w:rFonts w:ascii="Times New Roman" w:hAnsi="Times New Roman"/>
        <w:sz w:val="24"/>
      </w:rPr>
      <w:fldChar w:fldCharType="end"/>
    </w:r>
  </w:p>
  <w:p w14:paraId="5A9D1A76" w14:textId="77777777" w:rsidR="009221E6" w:rsidRPr="009221E6" w:rsidRDefault="009221E6">
    <w:pPr>
      <w:pStyle w:val="a5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0F713" w14:textId="77777777" w:rsidR="00DC63CE" w:rsidRDefault="00DC63CE" w:rsidP="009221E6">
      <w:pPr>
        <w:spacing w:after="0" w:line="240" w:lineRule="auto"/>
      </w:pPr>
      <w:r>
        <w:separator/>
      </w:r>
    </w:p>
  </w:footnote>
  <w:footnote w:type="continuationSeparator" w:id="0">
    <w:p w14:paraId="162A7AEC" w14:textId="77777777" w:rsidR="00DC63CE" w:rsidRDefault="00DC63CE" w:rsidP="009221E6">
      <w:pPr>
        <w:spacing w:after="0" w:line="240" w:lineRule="auto"/>
      </w:pPr>
      <w:r>
        <w:continuationSeparator/>
      </w:r>
    </w:p>
  </w:footnote>
  <w:footnote w:id="1">
    <w:p w14:paraId="6E274F5B" w14:textId="1AF7F36F" w:rsidR="00CC460B" w:rsidRPr="00956D5B" w:rsidRDefault="00CC460B" w:rsidP="00CD4829">
      <w:pPr>
        <w:pStyle w:val="ab"/>
        <w:jc w:val="both"/>
        <w:rPr>
          <w:rFonts w:ascii="Times New Roman" w:hAnsi="Times New Roman"/>
        </w:rPr>
      </w:pPr>
      <w:r w:rsidRPr="00956D5B">
        <w:rPr>
          <w:rStyle w:val="ad"/>
          <w:rFonts w:ascii="Times New Roman" w:hAnsi="Times New Roman"/>
        </w:rPr>
        <w:footnoteRef/>
      </w:r>
      <w:r w:rsidRPr="00956D5B">
        <w:rPr>
          <w:rFonts w:ascii="Times New Roman" w:hAnsi="Times New Roman"/>
        </w:rPr>
        <w:t xml:space="preserve"> </w:t>
      </w:r>
      <w:r w:rsidR="002E7CE7" w:rsidRPr="00956D5B">
        <w:rPr>
          <w:rFonts w:ascii="Times New Roman" w:hAnsi="Times New Roman"/>
        </w:rPr>
        <w:t xml:space="preserve">за даними </w:t>
      </w:r>
      <w:r w:rsidR="00CD4829" w:rsidRPr="00956D5B">
        <w:rPr>
          <w:rFonts w:ascii="Times New Roman" w:hAnsi="Times New Roman"/>
        </w:rPr>
        <w:t>Держстату</w:t>
      </w:r>
      <w:r w:rsidR="002E7CE7" w:rsidRPr="00956D5B">
        <w:rPr>
          <w:rFonts w:ascii="Times New Roman" w:hAnsi="Times New Roman"/>
        </w:rPr>
        <w:t xml:space="preserve"> станом на </w:t>
      </w:r>
      <w:r w:rsidR="00F41997" w:rsidRPr="00956D5B">
        <w:rPr>
          <w:rFonts w:ascii="Times New Roman" w:hAnsi="Times New Roman"/>
        </w:rPr>
        <w:t xml:space="preserve">01.04.2020 р. в Україні зареєстровано </w:t>
      </w:r>
      <w:r w:rsidR="00CD4829" w:rsidRPr="00956D5B">
        <w:rPr>
          <w:rFonts w:ascii="Times New Roman" w:hAnsi="Times New Roman"/>
        </w:rPr>
        <w:t>683 188 ТОВ і 1 512 ТДВ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61C"/>
    <w:multiLevelType w:val="hybridMultilevel"/>
    <w:tmpl w:val="ECCCF6B8"/>
    <w:lvl w:ilvl="0" w:tplc="8B34E3C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C445F"/>
    <w:multiLevelType w:val="hybridMultilevel"/>
    <w:tmpl w:val="BDEA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6B7F"/>
    <w:multiLevelType w:val="hybridMultilevel"/>
    <w:tmpl w:val="9A54FEAA"/>
    <w:lvl w:ilvl="0" w:tplc="FE1063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7115D8"/>
    <w:multiLevelType w:val="hybridMultilevel"/>
    <w:tmpl w:val="DDC6ADFA"/>
    <w:lvl w:ilvl="0" w:tplc="B6264D2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4"/>
    <w:rsid w:val="00040F5B"/>
    <w:rsid w:val="00047356"/>
    <w:rsid w:val="00052536"/>
    <w:rsid w:val="00052DC3"/>
    <w:rsid w:val="000542B4"/>
    <w:rsid w:val="0006039D"/>
    <w:rsid w:val="000608B2"/>
    <w:rsid w:val="00067447"/>
    <w:rsid w:val="000C258A"/>
    <w:rsid w:val="000D70CA"/>
    <w:rsid w:val="000E2BC4"/>
    <w:rsid w:val="000F6EDC"/>
    <w:rsid w:val="00100531"/>
    <w:rsid w:val="001041B2"/>
    <w:rsid w:val="00107336"/>
    <w:rsid w:val="001237F8"/>
    <w:rsid w:val="00140AB4"/>
    <w:rsid w:val="0014522D"/>
    <w:rsid w:val="00155195"/>
    <w:rsid w:val="00166014"/>
    <w:rsid w:val="0016663A"/>
    <w:rsid w:val="00173C2B"/>
    <w:rsid w:val="00182181"/>
    <w:rsid w:val="00187736"/>
    <w:rsid w:val="0019206F"/>
    <w:rsid w:val="00192D92"/>
    <w:rsid w:val="001A7C3D"/>
    <w:rsid w:val="001B1FB8"/>
    <w:rsid w:val="001C277D"/>
    <w:rsid w:val="001F799E"/>
    <w:rsid w:val="00204258"/>
    <w:rsid w:val="00217DD8"/>
    <w:rsid w:val="00220E2B"/>
    <w:rsid w:val="00233CA5"/>
    <w:rsid w:val="00241241"/>
    <w:rsid w:val="00251CBC"/>
    <w:rsid w:val="002543A4"/>
    <w:rsid w:val="002625D4"/>
    <w:rsid w:val="00262BF4"/>
    <w:rsid w:val="00263CAC"/>
    <w:rsid w:val="002656B0"/>
    <w:rsid w:val="00266F71"/>
    <w:rsid w:val="00274A62"/>
    <w:rsid w:val="0028195C"/>
    <w:rsid w:val="00293C85"/>
    <w:rsid w:val="002A3128"/>
    <w:rsid w:val="002A6557"/>
    <w:rsid w:val="002A6575"/>
    <w:rsid w:val="002A7321"/>
    <w:rsid w:val="002B5C66"/>
    <w:rsid w:val="002B676B"/>
    <w:rsid w:val="002C2CA6"/>
    <w:rsid w:val="002D1424"/>
    <w:rsid w:val="002D17CC"/>
    <w:rsid w:val="002E1836"/>
    <w:rsid w:val="002E7CE7"/>
    <w:rsid w:val="002F0A7F"/>
    <w:rsid w:val="002F52F9"/>
    <w:rsid w:val="002F5413"/>
    <w:rsid w:val="002F57E1"/>
    <w:rsid w:val="00302024"/>
    <w:rsid w:val="00302694"/>
    <w:rsid w:val="0030457D"/>
    <w:rsid w:val="0030760D"/>
    <w:rsid w:val="003223E7"/>
    <w:rsid w:val="00330B83"/>
    <w:rsid w:val="00334B35"/>
    <w:rsid w:val="00352092"/>
    <w:rsid w:val="00352F00"/>
    <w:rsid w:val="00356B9F"/>
    <w:rsid w:val="00363EE4"/>
    <w:rsid w:val="0036419E"/>
    <w:rsid w:val="00364F4A"/>
    <w:rsid w:val="00372261"/>
    <w:rsid w:val="00374DE6"/>
    <w:rsid w:val="003812C2"/>
    <w:rsid w:val="00385E56"/>
    <w:rsid w:val="003912A6"/>
    <w:rsid w:val="00392E0E"/>
    <w:rsid w:val="003935FD"/>
    <w:rsid w:val="0039657E"/>
    <w:rsid w:val="003A6702"/>
    <w:rsid w:val="003E4434"/>
    <w:rsid w:val="003F2275"/>
    <w:rsid w:val="003F5BF9"/>
    <w:rsid w:val="00405D92"/>
    <w:rsid w:val="00426754"/>
    <w:rsid w:val="00431317"/>
    <w:rsid w:val="004335D8"/>
    <w:rsid w:val="004403A5"/>
    <w:rsid w:val="00442C7A"/>
    <w:rsid w:val="00445F40"/>
    <w:rsid w:val="00446AE6"/>
    <w:rsid w:val="00450B91"/>
    <w:rsid w:val="0045331D"/>
    <w:rsid w:val="00457AFC"/>
    <w:rsid w:val="004643D3"/>
    <w:rsid w:val="0047393B"/>
    <w:rsid w:val="00483884"/>
    <w:rsid w:val="004916A0"/>
    <w:rsid w:val="00491ED0"/>
    <w:rsid w:val="00495FE2"/>
    <w:rsid w:val="004A125D"/>
    <w:rsid w:val="004A1E71"/>
    <w:rsid w:val="004C2A52"/>
    <w:rsid w:val="004D089D"/>
    <w:rsid w:val="004E4698"/>
    <w:rsid w:val="004F44F3"/>
    <w:rsid w:val="005147D7"/>
    <w:rsid w:val="00515C0E"/>
    <w:rsid w:val="00516197"/>
    <w:rsid w:val="00516DF2"/>
    <w:rsid w:val="0053559B"/>
    <w:rsid w:val="00536078"/>
    <w:rsid w:val="005535D6"/>
    <w:rsid w:val="0055438A"/>
    <w:rsid w:val="00557B0F"/>
    <w:rsid w:val="00561525"/>
    <w:rsid w:val="00580228"/>
    <w:rsid w:val="005808B4"/>
    <w:rsid w:val="00595B97"/>
    <w:rsid w:val="005A317B"/>
    <w:rsid w:val="005B2EF8"/>
    <w:rsid w:val="005B2F53"/>
    <w:rsid w:val="005B4FC6"/>
    <w:rsid w:val="005D390B"/>
    <w:rsid w:val="005E3E7A"/>
    <w:rsid w:val="005F0D8A"/>
    <w:rsid w:val="00601A0D"/>
    <w:rsid w:val="00612680"/>
    <w:rsid w:val="00613F76"/>
    <w:rsid w:val="006167F0"/>
    <w:rsid w:val="0063236B"/>
    <w:rsid w:val="0063550A"/>
    <w:rsid w:val="0063689A"/>
    <w:rsid w:val="006524E6"/>
    <w:rsid w:val="00653CC2"/>
    <w:rsid w:val="0066037A"/>
    <w:rsid w:val="00666D77"/>
    <w:rsid w:val="00667482"/>
    <w:rsid w:val="0067388E"/>
    <w:rsid w:val="00675748"/>
    <w:rsid w:val="00686D1B"/>
    <w:rsid w:val="006A5DCE"/>
    <w:rsid w:val="006B1217"/>
    <w:rsid w:val="006C10F2"/>
    <w:rsid w:val="006C49CD"/>
    <w:rsid w:val="006C5724"/>
    <w:rsid w:val="006D1104"/>
    <w:rsid w:val="006E26F5"/>
    <w:rsid w:val="006F1B12"/>
    <w:rsid w:val="006F4FE0"/>
    <w:rsid w:val="006F5E46"/>
    <w:rsid w:val="006F696A"/>
    <w:rsid w:val="007002A2"/>
    <w:rsid w:val="007047D8"/>
    <w:rsid w:val="007168BC"/>
    <w:rsid w:val="007216D4"/>
    <w:rsid w:val="007239A3"/>
    <w:rsid w:val="00727C64"/>
    <w:rsid w:val="007323D5"/>
    <w:rsid w:val="00740EA5"/>
    <w:rsid w:val="00744493"/>
    <w:rsid w:val="007449CD"/>
    <w:rsid w:val="00747115"/>
    <w:rsid w:val="00750890"/>
    <w:rsid w:val="00756C28"/>
    <w:rsid w:val="007577A8"/>
    <w:rsid w:val="00757EE4"/>
    <w:rsid w:val="00763AB9"/>
    <w:rsid w:val="0076466D"/>
    <w:rsid w:val="00765C7B"/>
    <w:rsid w:val="00770C00"/>
    <w:rsid w:val="00786EDA"/>
    <w:rsid w:val="007A18C9"/>
    <w:rsid w:val="007B007B"/>
    <w:rsid w:val="007B2C38"/>
    <w:rsid w:val="007C16E9"/>
    <w:rsid w:val="007C23C8"/>
    <w:rsid w:val="007C6F0B"/>
    <w:rsid w:val="007D2666"/>
    <w:rsid w:val="007D522A"/>
    <w:rsid w:val="007D70F1"/>
    <w:rsid w:val="007E557B"/>
    <w:rsid w:val="007F5887"/>
    <w:rsid w:val="007F61F2"/>
    <w:rsid w:val="008003D6"/>
    <w:rsid w:val="00817441"/>
    <w:rsid w:val="00820422"/>
    <w:rsid w:val="0082118D"/>
    <w:rsid w:val="00823FBC"/>
    <w:rsid w:val="00825A1B"/>
    <w:rsid w:val="008369F5"/>
    <w:rsid w:val="00837320"/>
    <w:rsid w:val="00840454"/>
    <w:rsid w:val="008414B7"/>
    <w:rsid w:val="00855B5A"/>
    <w:rsid w:val="00857741"/>
    <w:rsid w:val="00862063"/>
    <w:rsid w:val="00884067"/>
    <w:rsid w:val="00890A4F"/>
    <w:rsid w:val="00891C3C"/>
    <w:rsid w:val="00891CD5"/>
    <w:rsid w:val="00894BA2"/>
    <w:rsid w:val="008A649A"/>
    <w:rsid w:val="008A77CE"/>
    <w:rsid w:val="008C3BB6"/>
    <w:rsid w:val="008D2BB3"/>
    <w:rsid w:val="008D4931"/>
    <w:rsid w:val="008D7FA1"/>
    <w:rsid w:val="008E49CF"/>
    <w:rsid w:val="008F33D1"/>
    <w:rsid w:val="009032B7"/>
    <w:rsid w:val="00916F6B"/>
    <w:rsid w:val="009212B9"/>
    <w:rsid w:val="009221E6"/>
    <w:rsid w:val="00923F61"/>
    <w:rsid w:val="009252E6"/>
    <w:rsid w:val="00926062"/>
    <w:rsid w:val="00931CF5"/>
    <w:rsid w:val="009321F8"/>
    <w:rsid w:val="0093534F"/>
    <w:rsid w:val="00937A5C"/>
    <w:rsid w:val="009412AB"/>
    <w:rsid w:val="009549CE"/>
    <w:rsid w:val="00956D5B"/>
    <w:rsid w:val="00962BE3"/>
    <w:rsid w:val="0097223D"/>
    <w:rsid w:val="00977CA7"/>
    <w:rsid w:val="00985AF6"/>
    <w:rsid w:val="00994C86"/>
    <w:rsid w:val="009A16EB"/>
    <w:rsid w:val="009A4AC2"/>
    <w:rsid w:val="009A7E3D"/>
    <w:rsid w:val="009B15AE"/>
    <w:rsid w:val="009B39A1"/>
    <w:rsid w:val="009B7C79"/>
    <w:rsid w:val="009D225E"/>
    <w:rsid w:val="009D5995"/>
    <w:rsid w:val="009E197E"/>
    <w:rsid w:val="009E6FD4"/>
    <w:rsid w:val="009F29CD"/>
    <w:rsid w:val="009F7CBC"/>
    <w:rsid w:val="00A003E5"/>
    <w:rsid w:val="00A00B80"/>
    <w:rsid w:val="00A017B6"/>
    <w:rsid w:val="00A06935"/>
    <w:rsid w:val="00A07633"/>
    <w:rsid w:val="00A110AB"/>
    <w:rsid w:val="00A11641"/>
    <w:rsid w:val="00A175E3"/>
    <w:rsid w:val="00A22B1E"/>
    <w:rsid w:val="00A26616"/>
    <w:rsid w:val="00A30375"/>
    <w:rsid w:val="00A362AE"/>
    <w:rsid w:val="00A42DF7"/>
    <w:rsid w:val="00A5505F"/>
    <w:rsid w:val="00A65064"/>
    <w:rsid w:val="00A74E30"/>
    <w:rsid w:val="00A7732D"/>
    <w:rsid w:val="00A83FE7"/>
    <w:rsid w:val="00A92CC6"/>
    <w:rsid w:val="00A94F1F"/>
    <w:rsid w:val="00AA24D0"/>
    <w:rsid w:val="00AA7666"/>
    <w:rsid w:val="00AB1840"/>
    <w:rsid w:val="00AD2DD8"/>
    <w:rsid w:val="00AD3AF8"/>
    <w:rsid w:val="00AD45A5"/>
    <w:rsid w:val="00AE18BF"/>
    <w:rsid w:val="00AE437F"/>
    <w:rsid w:val="00AE60D1"/>
    <w:rsid w:val="00AE7FB8"/>
    <w:rsid w:val="00AF3255"/>
    <w:rsid w:val="00AF3C25"/>
    <w:rsid w:val="00AF708C"/>
    <w:rsid w:val="00B05213"/>
    <w:rsid w:val="00B1424D"/>
    <w:rsid w:val="00B15F74"/>
    <w:rsid w:val="00B22000"/>
    <w:rsid w:val="00B22426"/>
    <w:rsid w:val="00B33FCB"/>
    <w:rsid w:val="00B362F1"/>
    <w:rsid w:val="00B405F1"/>
    <w:rsid w:val="00B451C6"/>
    <w:rsid w:val="00B54BB9"/>
    <w:rsid w:val="00B65F49"/>
    <w:rsid w:val="00B71E9D"/>
    <w:rsid w:val="00B741D8"/>
    <w:rsid w:val="00B77286"/>
    <w:rsid w:val="00B77623"/>
    <w:rsid w:val="00B966C6"/>
    <w:rsid w:val="00BA6B28"/>
    <w:rsid w:val="00BA6BCD"/>
    <w:rsid w:val="00BC78D7"/>
    <w:rsid w:val="00BE5473"/>
    <w:rsid w:val="00BF5C94"/>
    <w:rsid w:val="00C0259D"/>
    <w:rsid w:val="00C03AFF"/>
    <w:rsid w:val="00C10883"/>
    <w:rsid w:val="00C11CAB"/>
    <w:rsid w:val="00C2459A"/>
    <w:rsid w:val="00C24BDA"/>
    <w:rsid w:val="00C319CA"/>
    <w:rsid w:val="00C35676"/>
    <w:rsid w:val="00C473F3"/>
    <w:rsid w:val="00C61DEA"/>
    <w:rsid w:val="00C66A34"/>
    <w:rsid w:val="00C74215"/>
    <w:rsid w:val="00C81FEC"/>
    <w:rsid w:val="00C92DB9"/>
    <w:rsid w:val="00CA113A"/>
    <w:rsid w:val="00CB479B"/>
    <w:rsid w:val="00CC2CE8"/>
    <w:rsid w:val="00CC460B"/>
    <w:rsid w:val="00CC4A10"/>
    <w:rsid w:val="00CC4F14"/>
    <w:rsid w:val="00CC4FE6"/>
    <w:rsid w:val="00CC5DD0"/>
    <w:rsid w:val="00CC694C"/>
    <w:rsid w:val="00CD4829"/>
    <w:rsid w:val="00CD5F15"/>
    <w:rsid w:val="00CF3BF8"/>
    <w:rsid w:val="00D11849"/>
    <w:rsid w:val="00D132F3"/>
    <w:rsid w:val="00D506A9"/>
    <w:rsid w:val="00D52110"/>
    <w:rsid w:val="00D533EB"/>
    <w:rsid w:val="00D5651D"/>
    <w:rsid w:val="00D60F3C"/>
    <w:rsid w:val="00D64D89"/>
    <w:rsid w:val="00D75BA7"/>
    <w:rsid w:val="00D84768"/>
    <w:rsid w:val="00D870BE"/>
    <w:rsid w:val="00D95991"/>
    <w:rsid w:val="00DA10CD"/>
    <w:rsid w:val="00DB7800"/>
    <w:rsid w:val="00DC163B"/>
    <w:rsid w:val="00DC1C79"/>
    <w:rsid w:val="00DC63CE"/>
    <w:rsid w:val="00DC75BD"/>
    <w:rsid w:val="00DD4E0F"/>
    <w:rsid w:val="00DE3A93"/>
    <w:rsid w:val="00DE583C"/>
    <w:rsid w:val="00DF13C1"/>
    <w:rsid w:val="00DF32B2"/>
    <w:rsid w:val="00E11EF4"/>
    <w:rsid w:val="00E12B32"/>
    <w:rsid w:val="00E16BB1"/>
    <w:rsid w:val="00E23861"/>
    <w:rsid w:val="00E23C9D"/>
    <w:rsid w:val="00E26B3C"/>
    <w:rsid w:val="00E27C97"/>
    <w:rsid w:val="00E320CE"/>
    <w:rsid w:val="00E355B3"/>
    <w:rsid w:val="00E405BC"/>
    <w:rsid w:val="00E42AC9"/>
    <w:rsid w:val="00E4643B"/>
    <w:rsid w:val="00E4792B"/>
    <w:rsid w:val="00E57304"/>
    <w:rsid w:val="00E57D54"/>
    <w:rsid w:val="00E615F7"/>
    <w:rsid w:val="00E6398F"/>
    <w:rsid w:val="00E84CA4"/>
    <w:rsid w:val="00E853C9"/>
    <w:rsid w:val="00E90B39"/>
    <w:rsid w:val="00E9614B"/>
    <w:rsid w:val="00EA22C9"/>
    <w:rsid w:val="00EA5587"/>
    <w:rsid w:val="00EB248F"/>
    <w:rsid w:val="00EB49E7"/>
    <w:rsid w:val="00ED019E"/>
    <w:rsid w:val="00ED1F80"/>
    <w:rsid w:val="00ED76C6"/>
    <w:rsid w:val="00EE205B"/>
    <w:rsid w:val="00EE23AB"/>
    <w:rsid w:val="00EE7652"/>
    <w:rsid w:val="00EF37A1"/>
    <w:rsid w:val="00EF53BE"/>
    <w:rsid w:val="00F06E52"/>
    <w:rsid w:val="00F16A94"/>
    <w:rsid w:val="00F20293"/>
    <w:rsid w:val="00F3339A"/>
    <w:rsid w:val="00F41623"/>
    <w:rsid w:val="00F41997"/>
    <w:rsid w:val="00F42BC6"/>
    <w:rsid w:val="00F51AD9"/>
    <w:rsid w:val="00F54659"/>
    <w:rsid w:val="00F6288E"/>
    <w:rsid w:val="00F6391F"/>
    <w:rsid w:val="00F726BF"/>
    <w:rsid w:val="00F83239"/>
    <w:rsid w:val="00F85A21"/>
    <w:rsid w:val="00F85B39"/>
    <w:rsid w:val="00F867EB"/>
    <w:rsid w:val="00F90200"/>
    <w:rsid w:val="00F942BE"/>
    <w:rsid w:val="00F94487"/>
    <w:rsid w:val="00FB0942"/>
    <w:rsid w:val="00FB524A"/>
    <w:rsid w:val="00FB6989"/>
    <w:rsid w:val="00FC008C"/>
    <w:rsid w:val="00FD730B"/>
    <w:rsid w:val="00FE5E4C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D1A4D"/>
  <w14:defaultImageDpi w14:val="0"/>
  <w15:docId w15:val="{E87D1C95-2020-4913-8607-87D812A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F4"/>
    <w:pPr>
      <w:spacing w:line="256" w:lineRule="auto"/>
    </w:pPr>
    <w:rPr>
      <w:rFonts w:ascii="Calibri" w:hAnsi="Calibri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B142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9221E6"/>
    <w:rPr>
      <w:rFonts w:ascii="Calibri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22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9221E6"/>
    <w:rPr>
      <w:rFonts w:ascii="Calibri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9353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C6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601A0D"/>
    <w:pPr>
      <w:spacing w:after="0" w:line="240" w:lineRule="auto"/>
    </w:pPr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11EF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E11EF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1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46">
    <w:name w:val="rvts46"/>
    <w:basedOn w:val="a0"/>
    <w:rsid w:val="00E11EF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1424D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CC460B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CC460B"/>
    <w:rPr>
      <w:rFonts w:ascii="Calibri" w:hAnsi="Calibri" w:cs="Times New Roman"/>
      <w:sz w:val="20"/>
      <w:szCs w:val="20"/>
      <w:lang w:val="uk-UA" w:eastAsia="uk-UA"/>
    </w:rPr>
  </w:style>
  <w:style w:type="character" w:styleId="ad">
    <w:name w:val="footnote reference"/>
    <w:basedOn w:val="a0"/>
    <w:uiPriority w:val="99"/>
    <w:semiHidden/>
    <w:unhideWhenUsed/>
    <w:rsid w:val="00CC4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276A-DD41-4E7B-A2D0-12B17C48E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77D3E-9F1C-4019-9230-81A17F8F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7B8D6-738F-4FEE-87C8-3B5E76527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27D93-6AC1-4686-A632-0C6A2243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2020-05-18T11:37:00Z</dcterms:created>
  <dcterms:modified xsi:type="dcterms:W3CDTF">2020-05-18T11:37:00Z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