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00" w:rsidRPr="00813A9F" w:rsidRDefault="00915600" w:rsidP="000346F5">
      <w:pPr>
        <w:tabs>
          <w:tab w:val="left" w:pos="851"/>
          <w:tab w:val="left" w:pos="1134"/>
          <w:tab w:val="left" w:pos="1276"/>
        </w:tabs>
        <w:ind w:firstLine="709"/>
        <w:jc w:val="center"/>
        <w:rPr>
          <w:sz w:val="24"/>
          <w:lang w:val="en-US"/>
        </w:rPr>
      </w:pPr>
    </w:p>
    <w:p w:rsidR="00915600" w:rsidRPr="00E17B40" w:rsidRDefault="00915600" w:rsidP="000346F5">
      <w:pPr>
        <w:tabs>
          <w:tab w:val="left" w:pos="851"/>
          <w:tab w:val="left" w:pos="1134"/>
          <w:tab w:val="left" w:pos="1276"/>
        </w:tabs>
        <w:ind w:firstLine="709"/>
        <w:jc w:val="right"/>
        <w:rPr>
          <w:sz w:val="24"/>
        </w:rPr>
      </w:pPr>
    </w:p>
    <w:p w:rsidR="000930F4" w:rsidRPr="00E17B40" w:rsidRDefault="000930F4" w:rsidP="000346F5">
      <w:pPr>
        <w:tabs>
          <w:tab w:val="left" w:pos="851"/>
          <w:tab w:val="left" w:pos="1134"/>
          <w:tab w:val="left" w:pos="1276"/>
        </w:tabs>
        <w:ind w:firstLine="709"/>
        <w:rPr>
          <w:szCs w:val="28"/>
        </w:rPr>
      </w:pPr>
    </w:p>
    <w:p w:rsidR="000930F4" w:rsidRPr="00E17B40" w:rsidRDefault="000930F4" w:rsidP="000346F5">
      <w:pPr>
        <w:tabs>
          <w:tab w:val="left" w:pos="851"/>
          <w:tab w:val="left" w:pos="1134"/>
          <w:tab w:val="left" w:pos="1276"/>
        </w:tabs>
        <w:ind w:firstLine="709"/>
        <w:rPr>
          <w:szCs w:val="28"/>
        </w:rPr>
      </w:pPr>
    </w:p>
    <w:p w:rsidR="000930F4" w:rsidRDefault="000930F4" w:rsidP="000346F5">
      <w:pPr>
        <w:tabs>
          <w:tab w:val="left" w:pos="851"/>
          <w:tab w:val="left" w:pos="1134"/>
          <w:tab w:val="left" w:pos="1276"/>
        </w:tabs>
        <w:ind w:firstLine="709"/>
        <w:rPr>
          <w:szCs w:val="28"/>
        </w:rPr>
      </w:pPr>
    </w:p>
    <w:p w:rsidR="0027184A" w:rsidRDefault="0027184A" w:rsidP="000346F5">
      <w:pPr>
        <w:tabs>
          <w:tab w:val="left" w:pos="851"/>
          <w:tab w:val="left" w:pos="1134"/>
          <w:tab w:val="left" w:pos="1276"/>
        </w:tabs>
        <w:ind w:firstLine="709"/>
        <w:rPr>
          <w:szCs w:val="28"/>
        </w:rPr>
      </w:pPr>
    </w:p>
    <w:p w:rsidR="0027184A" w:rsidRDefault="0027184A" w:rsidP="000346F5">
      <w:pPr>
        <w:tabs>
          <w:tab w:val="left" w:pos="851"/>
          <w:tab w:val="left" w:pos="1134"/>
          <w:tab w:val="left" w:pos="1276"/>
        </w:tabs>
        <w:ind w:firstLine="709"/>
        <w:rPr>
          <w:szCs w:val="28"/>
        </w:rPr>
      </w:pPr>
    </w:p>
    <w:p w:rsidR="0001222B" w:rsidRPr="00E17B40" w:rsidRDefault="0001222B" w:rsidP="000346F5">
      <w:pPr>
        <w:tabs>
          <w:tab w:val="left" w:pos="851"/>
          <w:tab w:val="left" w:pos="1134"/>
          <w:tab w:val="left" w:pos="1276"/>
        </w:tabs>
        <w:ind w:firstLine="709"/>
        <w:rPr>
          <w:szCs w:val="28"/>
        </w:rPr>
      </w:pPr>
    </w:p>
    <w:p w:rsidR="000930F4" w:rsidRPr="00E17B40" w:rsidRDefault="000930F4" w:rsidP="000346F5">
      <w:pPr>
        <w:tabs>
          <w:tab w:val="left" w:pos="851"/>
          <w:tab w:val="left" w:pos="1134"/>
          <w:tab w:val="left" w:pos="1276"/>
        </w:tabs>
        <w:ind w:firstLine="709"/>
        <w:rPr>
          <w:szCs w:val="28"/>
        </w:rPr>
      </w:pPr>
    </w:p>
    <w:p w:rsidR="000930F4" w:rsidRPr="00E17B40" w:rsidRDefault="000930F4" w:rsidP="00B61F64">
      <w:pPr>
        <w:tabs>
          <w:tab w:val="left" w:pos="851"/>
          <w:tab w:val="left" w:pos="1134"/>
          <w:tab w:val="left" w:pos="1276"/>
        </w:tabs>
        <w:jc w:val="center"/>
        <w:rPr>
          <w:b/>
          <w:szCs w:val="28"/>
        </w:rPr>
      </w:pPr>
      <w:r w:rsidRPr="00E17B40">
        <w:rPr>
          <w:b/>
          <w:szCs w:val="28"/>
        </w:rPr>
        <w:t>ВИСНОВОК</w:t>
      </w:r>
    </w:p>
    <w:p w:rsidR="00B61F64" w:rsidRDefault="000930F4" w:rsidP="00B61F64">
      <w:pPr>
        <w:tabs>
          <w:tab w:val="left" w:pos="851"/>
          <w:tab w:val="left" w:pos="1134"/>
          <w:tab w:val="left" w:pos="1276"/>
          <w:tab w:val="center" w:pos="4677"/>
          <w:tab w:val="left" w:pos="8400"/>
        </w:tabs>
        <w:jc w:val="center"/>
        <w:rPr>
          <w:b/>
          <w:bCs/>
          <w:szCs w:val="28"/>
          <w:lang w:eastAsia="uk-UA"/>
        </w:rPr>
      </w:pPr>
      <w:r w:rsidRPr="00B61F64">
        <w:rPr>
          <w:b/>
          <w:bCs/>
          <w:szCs w:val="28"/>
          <w:lang w:eastAsia="uk-UA"/>
        </w:rPr>
        <w:t>на проект Закону України «</w:t>
      </w:r>
      <w:r w:rsidR="005B47A2" w:rsidRPr="00B61F64">
        <w:rPr>
          <w:b/>
          <w:bCs/>
          <w:szCs w:val="28"/>
          <w:lang w:eastAsia="uk-UA"/>
        </w:rPr>
        <w:t>Про внесення змін</w:t>
      </w:r>
      <w:r w:rsidRPr="00B61F64">
        <w:rPr>
          <w:b/>
          <w:bCs/>
          <w:szCs w:val="28"/>
          <w:lang w:eastAsia="uk-UA"/>
        </w:rPr>
        <w:t xml:space="preserve"> до </w:t>
      </w:r>
    </w:p>
    <w:p w:rsidR="000930F4" w:rsidRPr="00B61F64" w:rsidRDefault="000930F4" w:rsidP="00B61F64">
      <w:pPr>
        <w:tabs>
          <w:tab w:val="left" w:pos="851"/>
          <w:tab w:val="left" w:pos="1134"/>
          <w:tab w:val="left" w:pos="1276"/>
          <w:tab w:val="center" w:pos="4677"/>
          <w:tab w:val="left" w:pos="8400"/>
        </w:tabs>
        <w:jc w:val="center"/>
        <w:rPr>
          <w:b/>
          <w:bCs/>
          <w:szCs w:val="28"/>
          <w:lang w:eastAsia="uk-UA"/>
        </w:rPr>
      </w:pPr>
      <w:r w:rsidRPr="00B61F64">
        <w:rPr>
          <w:b/>
          <w:bCs/>
          <w:szCs w:val="28"/>
          <w:lang w:eastAsia="uk-UA"/>
        </w:rPr>
        <w:t>Бюджетного кодексу України»</w:t>
      </w:r>
    </w:p>
    <w:p w:rsidR="0001222B" w:rsidRPr="00E17B40" w:rsidRDefault="0001222B" w:rsidP="000346F5">
      <w:pPr>
        <w:tabs>
          <w:tab w:val="left" w:pos="851"/>
          <w:tab w:val="left" w:pos="1134"/>
          <w:tab w:val="left" w:pos="1276"/>
        </w:tabs>
        <w:ind w:firstLine="709"/>
        <w:jc w:val="center"/>
        <w:rPr>
          <w:bCs/>
          <w:szCs w:val="28"/>
          <w:lang w:eastAsia="uk-UA"/>
        </w:rPr>
      </w:pPr>
    </w:p>
    <w:p w:rsidR="00FB519B" w:rsidRPr="00E17B40" w:rsidRDefault="000930F4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 w:rsidRPr="00E17B40">
        <w:rPr>
          <w:szCs w:val="28"/>
        </w:rPr>
        <w:t>У зак</w:t>
      </w:r>
      <w:r w:rsidR="005B47A2" w:rsidRPr="00E17B40">
        <w:rPr>
          <w:szCs w:val="28"/>
        </w:rPr>
        <w:t xml:space="preserve">онопроекті </w:t>
      </w:r>
      <w:r w:rsidR="00480BA4" w:rsidRPr="00E17B40">
        <w:rPr>
          <w:szCs w:val="28"/>
        </w:rPr>
        <w:t xml:space="preserve">пропонується </w:t>
      </w:r>
      <w:r w:rsidR="00B92646" w:rsidRPr="00E17B40">
        <w:rPr>
          <w:szCs w:val="28"/>
        </w:rPr>
        <w:t xml:space="preserve">доповнити </w:t>
      </w:r>
      <w:r w:rsidR="00480BA4" w:rsidRPr="00E17B40">
        <w:rPr>
          <w:szCs w:val="28"/>
        </w:rPr>
        <w:t>ст</w:t>
      </w:r>
      <w:r w:rsidR="00B92646" w:rsidRPr="00E17B40">
        <w:rPr>
          <w:szCs w:val="28"/>
        </w:rPr>
        <w:t>.</w:t>
      </w:r>
      <w:r w:rsidR="00085B12">
        <w:rPr>
          <w:szCs w:val="28"/>
        </w:rPr>
        <w:t> </w:t>
      </w:r>
      <w:r w:rsidR="00B92646" w:rsidRPr="00E17B40">
        <w:rPr>
          <w:szCs w:val="28"/>
        </w:rPr>
        <w:t>ст.</w:t>
      </w:r>
      <w:r w:rsidR="00085B12">
        <w:rPr>
          <w:szCs w:val="28"/>
        </w:rPr>
        <w:t> </w:t>
      </w:r>
      <w:r w:rsidR="00480BA4" w:rsidRPr="00E17B40">
        <w:rPr>
          <w:szCs w:val="28"/>
        </w:rPr>
        <w:t>29</w:t>
      </w:r>
      <w:r w:rsidR="00B92646" w:rsidRPr="00E17B40">
        <w:rPr>
          <w:szCs w:val="28"/>
        </w:rPr>
        <w:t>, 30</w:t>
      </w:r>
      <w:r w:rsidRPr="00E17B40">
        <w:rPr>
          <w:szCs w:val="28"/>
        </w:rPr>
        <w:t xml:space="preserve"> Бюджетного кодексу України</w:t>
      </w:r>
      <w:r w:rsidR="00B92646" w:rsidRPr="00E17B40">
        <w:rPr>
          <w:szCs w:val="28"/>
        </w:rPr>
        <w:t xml:space="preserve"> (далі – БК)</w:t>
      </w:r>
      <w:r w:rsidR="00D97396" w:rsidRPr="00E17B40">
        <w:rPr>
          <w:szCs w:val="28"/>
        </w:rPr>
        <w:t xml:space="preserve"> новим</w:t>
      </w:r>
      <w:r w:rsidR="00AF3AC3" w:rsidRPr="00E17B40">
        <w:rPr>
          <w:szCs w:val="28"/>
        </w:rPr>
        <w:t>и</w:t>
      </w:r>
      <w:r w:rsidR="00D97396" w:rsidRPr="00E17B40">
        <w:rPr>
          <w:szCs w:val="28"/>
        </w:rPr>
        <w:t xml:space="preserve"> </w:t>
      </w:r>
      <w:r w:rsidR="00CD5985">
        <w:rPr>
          <w:szCs w:val="28"/>
        </w:rPr>
        <w:t>положеннями</w:t>
      </w:r>
      <w:r w:rsidR="00480BA4" w:rsidRPr="00E17B40">
        <w:rPr>
          <w:szCs w:val="28"/>
        </w:rPr>
        <w:t>, згідно з яким</w:t>
      </w:r>
      <w:r w:rsidR="00AF3AC3" w:rsidRPr="00E17B40">
        <w:rPr>
          <w:szCs w:val="28"/>
        </w:rPr>
        <w:t>и</w:t>
      </w:r>
      <w:r w:rsidR="00B1557F">
        <w:rPr>
          <w:szCs w:val="28"/>
        </w:rPr>
        <w:t xml:space="preserve"> </w:t>
      </w:r>
      <w:r w:rsidR="00085B12">
        <w:rPr>
          <w:szCs w:val="28"/>
        </w:rPr>
        <w:t>«</w:t>
      </w:r>
      <w:r w:rsidR="00B1557F" w:rsidRPr="00B1557F">
        <w:rPr>
          <w:szCs w:val="28"/>
        </w:rPr>
        <w:t>кошт</w:t>
      </w:r>
      <w:r w:rsidR="00B1557F">
        <w:rPr>
          <w:szCs w:val="28"/>
        </w:rPr>
        <w:t>и</w:t>
      </w:r>
      <w:r w:rsidR="00B1557F" w:rsidRPr="00B1557F">
        <w:rPr>
          <w:szCs w:val="28"/>
        </w:rPr>
        <w:t xml:space="preserve"> одержан</w:t>
      </w:r>
      <w:r w:rsidR="00B1557F">
        <w:rPr>
          <w:szCs w:val="28"/>
        </w:rPr>
        <w:t>і</w:t>
      </w:r>
      <w:r w:rsidR="00B1557F" w:rsidRPr="00B1557F">
        <w:rPr>
          <w:szCs w:val="28"/>
        </w:rPr>
        <w:t xml:space="preserve"> від продажу відповідно до Закону України «Про управління об'єктами державної власності» нерухомого майна Державної кримінально-виконавчої служби України, що безпосередньо не забезпечує виконання встановлених законодавством завдань і функцій</w:t>
      </w:r>
      <w:r w:rsidR="00085B12">
        <w:rPr>
          <w:szCs w:val="28"/>
        </w:rPr>
        <w:t>»</w:t>
      </w:r>
      <w:r w:rsidR="00B1557F">
        <w:rPr>
          <w:szCs w:val="28"/>
        </w:rPr>
        <w:t xml:space="preserve"> </w:t>
      </w:r>
      <w:r w:rsidR="00975E45">
        <w:rPr>
          <w:szCs w:val="28"/>
        </w:rPr>
        <w:t>зарахову</w:t>
      </w:r>
      <w:r w:rsidR="00D769DD">
        <w:rPr>
          <w:szCs w:val="28"/>
        </w:rPr>
        <w:t>ються</w:t>
      </w:r>
      <w:r w:rsidR="00975E45">
        <w:rPr>
          <w:szCs w:val="28"/>
        </w:rPr>
        <w:t xml:space="preserve"> до загального та спеціального фондів Державного бюджету України у такому співвідношенні</w:t>
      </w:r>
      <w:r w:rsidR="00B1557F">
        <w:rPr>
          <w:szCs w:val="28"/>
        </w:rPr>
        <w:t xml:space="preserve">: </w:t>
      </w:r>
      <w:r w:rsidR="00B1557F" w:rsidRPr="00975E45">
        <w:rPr>
          <w:i/>
          <w:iCs/>
          <w:szCs w:val="28"/>
          <w:u w:val="single"/>
        </w:rPr>
        <w:t>30</w:t>
      </w:r>
      <w:r w:rsidR="00B61F64">
        <w:rPr>
          <w:i/>
          <w:iCs/>
          <w:szCs w:val="28"/>
          <w:u w:val="single"/>
        </w:rPr>
        <w:t xml:space="preserve">% </w:t>
      </w:r>
      <w:r w:rsidR="00B1557F">
        <w:rPr>
          <w:szCs w:val="28"/>
        </w:rPr>
        <w:t xml:space="preserve"> – до </w:t>
      </w:r>
      <w:r w:rsidR="00975E45">
        <w:rPr>
          <w:szCs w:val="28"/>
        </w:rPr>
        <w:t xml:space="preserve">складу </w:t>
      </w:r>
      <w:r w:rsidR="00B1557F">
        <w:rPr>
          <w:szCs w:val="28"/>
        </w:rPr>
        <w:t xml:space="preserve">доходів загального фонду; </w:t>
      </w:r>
      <w:r w:rsidR="00B1557F" w:rsidRPr="00975E45">
        <w:rPr>
          <w:i/>
          <w:iCs/>
          <w:szCs w:val="28"/>
          <w:u w:val="single"/>
        </w:rPr>
        <w:t>70</w:t>
      </w:r>
      <w:r w:rsidR="00B61F64">
        <w:rPr>
          <w:i/>
          <w:iCs/>
          <w:szCs w:val="28"/>
          <w:u w:val="single"/>
        </w:rPr>
        <w:t>%</w:t>
      </w:r>
      <w:r w:rsidR="00B61F64" w:rsidRPr="00B61F64">
        <w:rPr>
          <w:szCs w:val="28"/>
        </w:rPr>
        <w:t xml:space="preserve"> </w:t>
      </w:r>
      <w:r w:rsidR="00887940">
        <w:rPr>
          <w:szCs w:val="28"/>
        </w:rPr>
        <w:t>–</w:t>
      </w:r>
      <w:r w:rsidR="00B1557F">
        <w:rPr>
          <w:szCs w:val="28"/>
        </w:rPr>
        <w:t xml:space="preserve"> д</w:t>
      </w:r>
      <w:r w:rsidR="00480BA4" w:rsidRPr="00E17B40">
        <w:rPr>
          <w:szCs w:val="28"/>
        </w:rPr>
        <w:t xml:space="preserve">о джерел формування </w:t>
      </w:r>
      <w:r w:rsidR="005B47A2" w:rsidRPr="00975E45">
        <w:rPr>
          <w:szCs w:val="28"/>
        </w:rPr>
        <w:t xml:space="preserve">спеціального фонду </w:t>
      </w:r>
      <w:r w:rsidR="00B61F64">
        <w:rPr>
          <w:szCs w:val="28"/>
        </w:rPr>
        <w:t xml:space="preserve">у </w:t>
      </w:r>
      <w:r w:rsidR="00480BA4" w:rsidRPr="00E17B40">
        <w:rPr>
          <w:szCs w:val="28"/>
        </w:rPr>
        <w:t xml:space="preserve">частині доходів </w:t>
      </w:r>
      <w:r w:rsidR="00B1557F">
        <w:rPr>
          <w:szCs w:val="28"/>
        </w:rPr>
        <w:t xml:space="preserve">та </w:t>
      </w:r>
      <w:r w:rsidR="00D769DD">
        <w:rPr>
          <w:szCs w:val="28"/>
        </w:rPr>
        <w:t xml:space="preserve">які </w:t>
      </w:r>
      <w:r w:rsidR="00B1557F">
        <w:rPr>
          <w:szCs w:val="28"/>
        </w:rPr>
        <w:t>спрямову</w:t>
      </w:r>
      <w:r w:rsidR="00D769DD">
        <w:rPr>
          <w:szCs w:val="28"/>
        </w:rPr>
        <w:t>ються</w:t>
      </w:r>
      <w:r w:rsidR="00975E45">
        <w:rPr>
          <w:szCs w:val="28"/>
        </w:rPr>
        <w:t xml:space="preserve"> на </w:t>
      </w:r>
      <w:r w:rsidR="00975E45">
        <w:rPr>
          <w:szCs w:val="22"/>
        </w:rPr>
        <w:t>проведення будівництва, реконструкції (реставрації) та капітального ремонту об’єктів Державної кримінально-виконавчої служби України</w:t>
      </w:r>
      <w:r w:rsidR="00D97396" w:rsidRPr="00E17B40">
        <w:rPr>
          <w:szCs w:val="28"/>
        </w:rPr>
        <w:t xml:space="preserve">. </w:t>
      </w:r>
    </w:p>
    <w:p w:rsidR="00496225" w:rsidRPr="000F0217" w:rsidRDefault="00496225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 w:rsidRPr="00E17B40">
        <w:rPr>
          <w:szCs w:val="28"/>
        </w:rPr>
        <w:t>Метою прийняття законопроекту, як зазначено у пояснювальн</w:t>
      </w:r>
      <w:r w:rsidR="00165A5C" w:rsidRPr="00E17B40">
        <w:rPr>
          <w:szCs w:val="28"/>
        </w:rPr>
        <w:t>ій записці</w:t>
      </w:r>
      <w:r w:rsidRPr="00E17B40">
        <w:rPr>
          <w:szCs w:val="28"/>
        </w:rPr>
        <w:t xml:space="preserve"> до нього, є </w:t>
      </w:r>
      <w:r w:rsidR="0097492C" w:rsidRPr="000F0217">
        <w:rPr>
          <w:szCs w:val="28"/>
        </w:rPr>
        <w:t>«</w:t>
      </w:r>
      <w:r w:rsidR="000F0217" w:rsidRPr="000F0217">
        <w:t>поліпшення умов тримання засуджених та осіб, узятих під варту, в установах виконання покарань та слідчих ізоляторах Державної кримінально-виконавчої служби України</w:t>
      </w:r>
      <w:r w:rsidR="0097492C" w:rsidRPr="000F0217">
        <w:rPr>
          <w:szCs w:val="28"/>
        </w:rPr>
        <w:t>»</w:t>
      </w:r>
      <w:r w:rsidRPr="000F0217">
        <w:rPr>
          <w:szCs w:val="28"/>
        </w:rPr>
        <w:t>.</w:t>
      </w:r>
    </w:p>
    <w:p w:rsidR="0027184A" w:rsidRDefault="00496225" w:rsidP="0027184A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 w:rsidRPr="00E17B40">
        <w:rPr>
          <w:szCs w:val="28"/>
        </w:rPr>
        <w:t>Головне управління</w:t>
      </w:r>
      <w:r w:rsidR="00A17DE7" w:rsidRPr="00E17B40">
        <w:rPr>
          <w:szCs w:val="28"/>
        </w:rPr>
        <w:t xml:space="preserve">, не </w:t>
      </w:r>
      <w:r w:rsidR="00085B12">
        <w:rPr>
          <w:szCs w:val="28"/>
        </w:rPr>
        <w:t>виключаючи</w:t>
      </w:r>
      <w:r w:rsidR="00A17DE7" w:rsidRPr="00E17B40">
        <w:rPr>
          <w:szCs w:val="28"/>
        </w:rPr>
        <w:t xml:space="preserve"> у цілому </w:t>
      </w:r>
      <w:r w:rsidR="00085B12">
        <w:rPr>
          <w:szCs w:val="28"/>
        </w:rPr>
        <w:t xml:space="preserve">можливості спрямування </w:t>
      </w:r>
      <w:r w:rsidR="000F0217">
        <w:rPr>
          <w:szCs w:val="28"/>
        </w:rPr>
        <w:t xml:space="preserve"> частини </w:t>
      </w:r>
      <w:r w:rsidR="00A17DE7" w:rsidRPr="00E17B40">
        <w:rPr>
          <w:szCs w:val="28"/>
        </w:rPr>
        <w:t xml:space="preserve">коштів </w:t>
      </w:r>
      <w:r w:rsidR="000F0217">
        <w:rPr>
          <w:szCs w:val="28"/>
        </w:rPr>
        <w:t xml:space="preserve">від </w:t>
      </w:r>
      <w:r w:rsidR="000F0217" w:rsidRPr="00B1557F">
        <w:rPr>
          <w:szCs w:val="28"/>
        </w:rPr>
        <w:t>продажу нерухомого майна Державної кримінально-виконавчої служби України</w:t>
      </w:r>
      <w:r w:rsidR="009955E8">
        <w:rPr>
          <w:szCs w:val="28"/>
        </w:rPr>
        <w:t xml:space="preserve"> на </w:t>
      </w:r>
      <w:r w:rsidR="009955E8">
        <w:rPr>
          <w:szCs w:val="22"/>
        </w:rPr>
        <w:t>проведення будівництва, реконструкції (реставрації) та капітального ремонту її об’єктів</w:t>
      </w:r>
      <w:r w:rsidR="000F0217" w:rsidRPr="00B1557F">
        <w:rPr>
          <w:szCs w:val="28"/>
        </w:rPr>
        <w:t xml:space="preserve">, </w:t>
      </w:r>
      <w:r w:rsidR="00A17DE7" w:rsidRPr="00E17B40">
        <w:rPr>
          <w:szCs w:val="28"/>
        </w:rPr>
        <w:t>водночас</w:t>
      </w:r>
      <w:r w:rsidRPr="00E17B40">
        <w:rPr>
          <w:szCs w:val="28"/>
        </w:rPr>
        <w:t xml:space="preserve"> вважає за доцільне </w:t>
      </w:r>
      <w:r w:rsidR="009955E8">
        <w:rPr>
          <w:szCs w:val="28"/>
        </w:rPr>
        <w:t>висловити такі міркування.</w:t>
      </w:r>
      <w:r w:rsidR="00975E45" w:rsidRPr="00975E45">
        <w:rPr>
          <w:szCs w:val="28"/>
        </w:rPr>
        <w:t xml:space="preserve"> </w:t>
      </w:r>
    </w:p>
    <w:p w:rsidR="00932E6D" w:rsidRPr="000F0217" w:rsidRDefault="0041276F" w:rsidP="00932E6D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 w:rsidRPr="0041276F">
        <w:rPr>
          <w:b/>
          <w:szCs w:val="28"/>
        </w:rPr>
        <w:t>1.</w:t>
      </w:r>
      <w:r>
        <w:rPr>
          <w:szCs w:val="28"/>
        </w:rPr>
        <w:t xml:space="preserve"> </w:t>
      </w:r>
      <w:r w:rsidR="00F82FEB">
        <w:rPr>
          <w:bCs/>
          <w:szCs w:val="28"/>
        </w:rPr>
        <w:t>Зауважимо, що в</w:t>
      </w:r>
      <w:r w:rsidR="00F82FEB" w:rsidRPr="005C4201">
        <w:rPr>
          <w:bCs/>
          <w:szCs w:val="28"/>
        </w:rPr>
        <w:t xml:space="preserve">ідповідно до ч. 1 ст. 24 Закону України </w:t>
      </w:r>
      <w:r w:rsidR="00F82FEB">
        <w:rPr>
          <w:bCs/>
          <w:szCs w:val="28"/>
        </w:rPr>
        <w:br/>
      </w:r>
      <w:r w:rsidR="00F82FEB" w:rsidRPr="005C4201">
        <w:rPr>
          <w:bCs/>
          <w:szCs w:val="28"/>
        </w:rPr>
        <w:t>«Про Державну кримінально-виконавчу службу України» фінансування діяльності Державної кримінально-виконавчої служби України здійсню</w:t>
      </w:r>
      <w:r w:rsidR="00F82FEB">
        <w:rPr>
          <w:bCs/>
          <w:szCs w:val="28"/>
        </w:rPr>
        <w:t>є</w:t>
      </w:r>
      <w:r w:rsidR="00F82FEB" w:rsidRPr="005C4201">
        <w:rPr>
          <w:bCs/>
          <w:szCs w:val="28"/>
        </w:rPr>
        <w:t xml:space="preserve">ться за рахунок коштів Державного бюджету України та інших джерел, передбачених законом. </w:t>
      </w:r>
      <w:r w:rsidR="00F82FEB">
        <w:rPr>
          <w:bCs/>
          <w:szCs w:val="28"/>
        </w:rPr>
        <w:t>У</w:t>
      </w:r>
      <w:r w:rsidR="00F82FEB" w:rsidRPr="005C4201">
        <w:rPr>
          <w:bCs/>
          <w:szCs w:val="28"/>
        </w:rPr>
        <w:t xml:space="preserve"> цьому аспекті викликають певні </w:t>
      </w:r>
      <w:r w:rsidR="00F82FEB">
        <w:rPr>
          <w:bCs/>
          <w:szCs w:val="28"/>
        </w:rPr>
        <w:t xml:space="preserve">сумніви щодо </w:t>
      </w:r>
      <w:r w:rsidR="00F82FEB" w:rsidRPr="005C4201">
        <w:rPr>
          <w:bCs/>
          <w:szCs w:val="28"/>
        </w:rPr>
        <w:t>доцільн</w:t>
      </w:r>
      <w:r w:rsidR="00F82FEB">
        <w:rPr>
          <w:bCs/>
          <w:szCs w:val="28"/>
        </w:rPr>
        <w:t>о</w:t>
      </w:r>
      <w:r w:rsidR="00F82FEB" w:rsidRPr="005C4201">
        <w:rPr>
          <w:bCs/>
          <w:szCs w:val="28"/>
        </w:rPr>
        <w:t>ст</w:t>
      </w:r>
      <w:r w:rsidR="00F82FEB">
        <w:rPr>
          <w:bCs/>
          <w:szCs w:val="28"/>
        </w:rPr>
        <w:t>і</w:t>
      </w:r>
      <w:r w:rsidR="00F82FEB" w:rsidRPr="005C4201">
        <w:rPr>
          <w:bCs/>
          <w:szCs w:val="28"/>
        </w:rPr>
        <w:t xml:space="preserve"> спрямування частини коштів від продажу майна Державної кримінально-виконавчої служби України</w:t>
      </w:r>
      <w:r w:rsidR="00F82FEB">
        <w:rPr>
          <w:bCs/>
          <w:szCs w:val="28"/>
        </w:rPr>
        <w:t xml:space="preserve"> до спеціального фонду бюджету</w:t>
      </w:r>
      <w:r w:rsidR="00F82FEB" w:rsidRPr="005C4201">
        <w:rPr>
          <w:bCs/>
          <w:szCs w:val="28"/>
        </w:rPr>
        <w:t>, зважаючи на,</w:t>
      </w:r>
      <w:r w:rsidR="00F82FEB">
        <w:rPr>
          <w:bCs/>
          <w:szCs w:val="28"/>
        </w:rPr>
        <w:t xml:space="preserve"> по суті, несистематичний (ситуативний) характер </w:t>
      </w:r>
      <w:r w:rsidR="00F82FEB" w:rsidRPr="005C4201">
        <w:rPr>
          <w:bCs/>
          <w:szCs w:val="28"/>
        </w:rPr>
        <w:t>пропонованого джерела доходів бюджету</w:t>
      </w:r>
      <w:r w:rsidR="00F82FEB">
        <w:rPr>
          <w:bCs/>
          <w:szCs w:val="28"/>
        </w:rPr>
        <w:t xml:space="preserve">, зокрема, </w:t>
      </w:r>
      <w:r w:rsidR="00F82FEB" w:rsidRPr="005C4201">
        <w:rPr>
          <w:bCs/>
          <w:szCs w:val="28"/>
        </w:rPr>
        <w:t>через обмеженість відповідного майна</w:t>
      </w:r>
      <w:r w:rsidR="00F82FEB">
        <w:rPr>
          <w:bCs/>
          <w:szCs w:val="28"/>
        </w:rPr>
        <w:t xml:space="preserve">, що, відповідно, обумовлюватиме </w:t>
      </w:r>
      <w:r w:rsidR="00F82FEB" w:rsidRPr="005C4201">
        <w:rPr>
          <w:bCs/>
          <w:szCs w:val="28"/>
        </w:rPr>
        <w:t>нерівномірн</w:t>
      </w:r>
      <w:r w:rsidR="00F82FEB">
        <w:rPr>
          <w:bCs/>
          <w:szCs w:val="28"/>
        </w:rPr>
        <w:t>ість</w:t>
      </w:r>
      <w:r w:rsidR="00F82FEB" w:rsidRPr="005C4201">
        <w:rPr>
          <w:bCs/>
          <w:szCs w:val="28"/>
        </w:rPr>
        <w:t xml:space="preserve"> надходжень таких коштів або ж в </w:t>
      </w:r>
      <w:r w:rsidR="00F82FEB" w:rsidRPr="00CF2B50">
        <w:rPr>
          <w:bCs/>
          <w:szCs w:val="28"/>
        </w:rPr>
        <w:t>цілому їх відсутність у певний, можливо</w:t>
      </w:r>
      <w:r w:rsidR="00813A9F" w:rsidRPr="00CF2B50">
        <w:rPr>
          <w:bCs/>
          <w:szCs w:val="28"/>
        </w:rPr>
        <w:t>,</w:t>
      </w:r>
      <w:r w:rsidR="00F82FEB" w:rsidRPr="00CF2B50">
        <w:rPr>
          <w:bCs/>
          <w:szCs w:val="28"/>
        </w:rPr>
        <w:t xml:space="preserve"> </w:t>
      </w:r>
      <w:r w:rsidR="00F82FEB" w:rsidRPr="00CF2B50">
        <w:rPr>
          <w:bCs/>
          <w:szCs w:val="28"/>
        </w:rPr>
        <w:lastRenderedPageBreak/>
        <w:t xml:space="preserve">тривалий, період. </w:t>
      </w:r>
      <w:r w:rsidR="00805C9E" w:rsidRPr="00CF2B50">
        <w:rPr>
          <w:bCs/>
          <w:szCs w:val="28"/>
        </w:rPr>
        <w:t xml:space="preserve">Тим </w:t>
      </w:r>
      <w:r w:rsidR="00813A9F" w:rsidRPr="00CF2B50">
        <w:rPr>
          <w:bCs/>
          <w:szCs w:val="28"/>
        </w:rPr>
        <w:t>паче</w:t>
      </w:r>
      <w:r w:rsidR="00805C9E" w:rsidRPr="00CF2B50">
        <w:rPr>
          <w:bCs/>
          <w:szCs w:val="28"/>
        </w:rPr>
        <w:t>, що й визначена мета використання відповідних коштів передбачає спрямування їх на видатки</w:t>
      </w:r>
      <w:r w:rsidR="00805C9E">
        <w:rPr>
          <w:bCs/>
          <w:szCs w:val="28"/>
        </w:rPr>
        <w:t>, які</w:t>
      </w:r>
      <w:r w:rsidR="00FD0919">
        <w:rPr>
          <w:bCs/>
          <w:szCs w:val="28"/>
        </w:rPr>
        <w:t>, власне,</w:t>
      </w:r>
      <w:r w:rsidR="00805C9E">
        <w:rPr>
          <w:bCs/>
          <w:szCs w:val="28"/>
        </w:rPr>
        <w:t xml:space="preserve"> не є постійними</w:t>
      </w:r>
      <w:r w:rsidR="00932E6D">
        <w:rPr>
          <w:bCs/>
          <w:szCs w:val="28"/>
        </w:rPr>
        <w:t xml:space="preserve"> – </w:t>
      </w:r>
      <w:r w:rsidR="00932E6D">
        <w:rPr>
          <w:szCs w:val="22"/>
        </w:rPr>
        <w:t>проведення будівництва, реконструкції (реставрації) та капітального ремонту об’єктів Державної кримінально-виконавчої служби України з метою «</w:t>
      </w:r>
      <w:r w:rsidR="00932E6D" w:rsidRPr="000F0217">
        <w:t>поліпшення умов тримання засуджених та осіб, узятих під варту, в установах виконання покарань та слідчих ізоляторах Державної кримінально-виконавчої служби України</w:t>
      </w:r>
      <w:r w:rsidR="00932E6D" w:rsidRPr="000F0217">
        <w:rPr>
          <w:szCs w:val="28"/>
        </w:rPr>
        <w:t>».</w:t>
      </w:r>
    </w:p>
    <w:p w:rsidR="00F82FEB" w:rsidRPr="00CF2B50" w:rsidRDefault="00F82FEB" w:rsidP="00F82FE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8"/>
        </w:rPr>
      </w:pPr>
      <w:r w:rsidRPr="005C4201">
        <w:rPr>
          <w:bCs/>
          <w:szCs w:val="28"/>
        </w:rPr>
        <w:t xml:space="preserve">У той же час, у супровідних до проекту документах відсутня інформація з відповідними розрахунками, зокрема, щодо: обсягу поточних та прогнозованих надходжень коштів від продажу такого майна, потреб у додатковому фінансуванні будівництва, реконструкції (реставрації), капітального ремонту об’єктів Державної кримінально-виконавчої служби України. Зауважимо, що належного фінансово-економічного обґрунтування (включаючи відповідні розрахунки), </w:t>
      </w:r>
      <w:r w:rsidRPr="00CF2B50">
        <w:rPr>
          <w:bCs/>
          <w:szCs w:val="28"/>
        </w:rPr>
        <w:t>відповідно до вимог ч. 3 ст. 91 Регламенту Верховної Ради України, ч.</w:t>
      </w:r>
      <w:r w:rsidRPr="00CF2B50">
        <w:rPr>
          <w:bCs/>
          <w:szCs w:val="28"/>
          <w:lang w:val="ru-RU"/>
        </w:rPr>
        <w:t> </w:t>
      </w:r>
      <w:r w:rsidRPr="00CF2B50">
        <w:rPr>
          <w:bCs/>
          <w:szCs w:val="28"/>
        </w:rPr>
        <w:t>1 ст.</w:t>
      </w:r>
      <w:r w:rsidRPr="00CF2B50">
        <w:rPr>
          <w:bCs/>
          <w:szCs w:val="28"/>
          <w:lang w:val="ru-RU"/>
        </w:rPr>
        <w:t> </w:t>
      </w:r>
      <w:r w:rsidRPr="00CF2B50">
        <w:rPr>
          <w:bCs/>
          <w:szCs w:val="28"/>
        </w:rPr>
        <w:t xml:space="preserve">27 </w:t>
      </w:r>
      <w:r w:rsidR="00813A9F" w:rsidRPr="00CF2B50">
        <w:rPr>
          <w:bCs/>
          <w:szCs w:val="28"/>
        </w:rPr>
        <w:t>БК</w:t>
      </w:r>
      <w:r w:rsidRPr="00CF2B50">
        <w:rPr>
          <w:bCs/>
          <w:szCs w:val="28"/>
        </w:rPr>
        <w:t xml:space="preserve">, до проекту не додано. </w:t>
      </w:r>
    </w:p>
    <w:p w:rsidR="00D66038" w:rsidRPr="00CF2B50" w:rsidRDefault="00932E6D" w:rsidP="002C58F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8"/>
        </w:rPr>
      </w:pPr>
      <w:r w:rsidRPr="00CF2B50">
        <w:rPr>
          <w:b/>
          <w:bCs/>
          <w:szCs w:val="28"/>
        </w:rPr>
        <w:t>2.</w:t>
      </w:r>
      <w:r w:rsidRPr="00CF2B50">
        <w:rPr>
          <w:bCs/>
          <w:szCs w:val="28"/>
        </w:rPr>
        <w:t xml:space="preserve"> </w:t>
      </w:r>
      <w:r w:rsidR="002C58FB" w:rsidRPr="00CF2B50">
        <w:rPr>
          <w:bCs/>
          <w:szCs w:val="28"/>
        </w:rPr>
        <w:t>Відповідно до нового п. 6</w:t>
      </w:r>
      <w:r w:rsidR="002C58FB" w:rsidRPr="00CF2B50">
        <w:rPr>
          <w:bCs/>
          <w:szCs w:val="28"/>
          <w:vertAlign w:val="superscript"/>
        </w:rPr>
        <w:t>3</w:t>
      </w:r>
      <w:r w:rsidR="002C58FB" w:rsidRPr="00CF2B50">
        <w:rPr>
          <w:bCs/>
          <w:szCs w:val="28"/>
        </w:rPr>
        <w:t xml:space="preserve"> ч. 4 ст.</w:t>
      </w:r>
      <w:r w:rsidR="002C58FB" w:rsidRPr="0027184A">
        <w:rPr>
          <w:bCs/>
          <w:szCs w:val="28"/>
        </w:rPr>
        <w:t xml:space="preserve"> 30 БК кошти, отримані до спеціального фонду Державного бюджету України</w:t>
      </w:r>
      <w:r w:rsidR="002C58FB">
        <w:rPr>
          <w:bCs/>
          <w:szCs w:val="28"/>
        </w:rPr>
        <w:t>,</w:t>
      </w:r>
      <w:r w:rsidR="002C58FB" w:rsidRPr="0027184A">
        <w:rPr>
          <w:bCs/>
          <w:szCs w:val="28"/>
        </w:rPr>
        <w:t xml:space="preserve"> спрямовуються на проведення будівництва, реконструкції (реставрації) та капітального ремонту об’єктів Державної кримінально-виконавчої служби України. </w:t>
      </w:r>
      <w:r w:rsidR="002C58FB">
        <w:rPr>
          <w:bCs/>
          <w:szCs w:val="28"/>
        </w:rPr>
        <w:t xml:space="preserve">За такого підходу </w:t>
      </w:r>
      <w:r w:rsidR="002C58FB" w:rsidRPr="0027184A">
        <w:rPr>
          <w:bCs/>
          <w:szCs w:val="28"/>
        </w:rPr>
        <w:t>існує ризик фінансування</w:t>
      </w:r>
      <w:r w:rsidR="00AA6E1B">
        <w:rPr>
          <w:bCs/>
          <w:szCs w:val="28"/>
        </w:rPr>
        <w:t xml:space="preserve">, у тому числі, й </w:t>
      </w:r>
      <w:r w:rsidR="002C58FB" w:rsidRPr="0027184A">
        <w:rPr>
          <w:bCs/>
          <w:szCs w:val="28"/>
        </w:rPr>
        <w:t>об’єктів Державної кримінально-виконавчої служби України, які безпосередньо не забезпечують виконання встановлених законодавством завдань і функцій, що</w:t>
      </w:r>
      <w:r w:rsidR="00AA6E1B">
        <w:rPr>
          <w:bCs/>
          <w:szCs w:val="28"/>
        </w:rPr>
        <w:t xml:space="preserve"> </w:t>
      </w:r>
      <w:r w:rsidR="002C58FB" w:rsidRPr="0027184A">
        <w:rPr>
          <w:bCs/>
          <w:szCs w:val="28"/>
        </w:rPr>
        <w:t>не відповідає меті проекту, який, за змістом пояснювальної записки</w:t>
      </w:r>
      <w:r w:rsidR="00D66038">
        <w:rPr>
          <w:bCs/>
          <w:szCs w:val="28"/>
        </w:rPr>
        <w:t>,</w:t>
      </w:r>
      <w:r w:rsidR="002C58FB" w:rsidRPr="0027184A">
        <w:rPr>
          <w:bCs/>
          <w:szCs w:val="28"/>
        </w:rPr>
        <w:t xml:space="preserve"> спрямований на </w:t>
      </w:r>
      <w:r w:rsidR="002C58FB">
        <w:rPr>
          <w:bCs/>
          <w:szCs w:val="28"/>
        </w:rPr>
        <w:t xml:space="preserve">поліпшення </w:t>
      </w:r>
      <w:r w:rsidR="002C58FB" w:rsidRPr="0027184A">
        <w:rPr>
          <w:bCs/>
          <w:szCs w:val="28"/>
        </w:rPr>
        <w:t xml:space="preserve">умов саме в установах </w:t>
      </w:r>
      <w:r w:rsidR="002C58FB" w:rsidRPr="00CF2B50">
        <w:rPr>
          <w:bCs/>
          <w:szCs w:val="28"/>
        </w:rPr>
        <w:t xml:space="preserve">виконання покарань та слідчих ізоляторах. </w:t>
      </w:r>
    </w:p>
    <w:p w:rsidR="001A6C8C" w:rsidRDefault="00D66038" w:rsidP="0001418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8"/>
        </w:rPr>
      </w:pPr>
      <w:r w:rsidRPr="00CF2B50">
        <w:rPr>
          <w:b/>
          <w:bCs/>
          <w:szCs w:val="28"/>
        </w:rPr>
        <w:t>3.</w:t>
      </w:r>
      <w:r w:rsidR="00932E6D" w:rsidRPr="00CF2B50">
        <w:rPr>
          <w:b/>
          <w:bCs/>
          <w:szCs w:val="28"/>
        </w:rPr>
        <w:t xml:space="preserve"> </w:t>
      </w:r>
      <w:r w:rsidR="001A42EC" w:rsidRPr="00CF2B50">
        <w:rPr>
          <w:bCs/>
          <w:szCs w:val="28"/>
        </w:rPr>
        <w:t xml:space="preserve">Виглядає зайвим </w:t>
      </w:r>
      <w:r w:rsidR="001A6C8C" w:rsidRPr="00CF2B50">
        <w:rPr>
          <w:bCs/>
          <w:szCs w:val="28"/>
        </w:rPr>
        <w:t>посилання у нових п. 24</w:t>
      </w:r>
      <w:r w:rsidR="001A6C8C" w:rsidRPr="00CF2B50">
        <w:rPr>
          <w:bCs/>
          <w:szCs w:val="28"/>
          <w:vertAlign w:val="superscript"/>
        </w:rPr>
        <w:t>5</w:t>
      </w:r>
      <w:r w:rsidR="001A6C8C" w:rsidRPr="00CF2B50">
        <w:rPr>
          <w:bCs/>
          <w:szCs w:val="28"/>
        </w:rPr>
        <w:t xml:space="preserve"> ч. 2, </w:t>
      </w:r>
      <w:r w:rsidR="00813A9F" w:rsidRPr="00CF2B50">
        <w:rPr>
          <w:bCs/>
          <w:szCs w:val="28"/>
        </w:rPr>
        <w:t>п.</w:t>
      </w:r>
      <w:r w:rsidR="001A6C8C" w:rsidRPr="00CF2B50">
        <w:rPr>
          <w:bCs/>
          <w:szCs w:val="28"/>
        </w:rPr>
        <w:t xml:space="preserve"> 7</w:t>
      </w:r>
      <w:r w:rsidR="001A6C8C" w:rsidRPr="00CF2B50">
        <w:rPr>
          <w:bCs/>
          <w:szCs w:val="28"/>
          <w:vertAlign w:val="superscript"/>
        </w:rPr>
        <w:t>5</w:t>
      </w:r>
      <w:r w:rsidR="001A6C8C" w:rsidRPr="00CF2B50">
        <w:rPr>
          <w:bCs/>
          <w:szCs w:val="28"/>
        </w:rPr>
        <w:t xml:space="preserve"> ч. 3 ст. 29 БК на Закон України «Про управління об'єктами державної</w:t>
      </w:r>
      <w:r w:rsidR="001A6C8C" w:rsidRPr="001A6C8C">
        <w:rPr>
          <w:bCs/>
          <w:szCs w:val="28"/>
        </w:rPr>
        <w:t xml:space="preserve"> власності»</w:t>
      </w:r>
      <w:r w:rsidR="001A6C8C">
        <w:rPr>
          <w:bCs/>
          <w:szCs w:val="28"/>
        </w:rPr>
        <w:t>, оскільки</w:t>
      </w:r>
      <w:r w:rsidR="00B64AAA">
        <w:rPr>
          <w:bCs/>
          <w:szCs w:val="28"/>
        </w:rPr>
        <w:t xml:space="preserve"> таке</w:t>
      </w:r>
      <w:r w:rsidR="001A6C8C">
        <w:rPr>
          <w:bCs/>
          <w:szCs w:val="28"/>
        </w:rPr>
        <w:t>, на наш погляд, не несе додаткового нормативного навантаження.</w:t>
      </w:r>
    </w:p>
    <w:p w:rsidR="00F82FEB" w:rsidRDefault="00F82FEB" w:rsidP="00F82FEB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Style w:val="rvts0"/>
        </w:rPr>
      </w:pPr>
      <w:r>
        <w:rPr>
          <w:szCs w:val="28"/>
        </w:rPr>
        <w:t>Принагідно звертаємо увагу на те, що з</w:t>
      </w:r>
      <w:r w:rsidRPr="000550B9">
        <w:rPr>
          <w:bCs/>
          <w:szCs w:val="28"/>
        </w:rPr>
        <w:t>гідно з ч.</w:t>
      </w:r>
      <w:r>
        <w:rPr>
          <w:bCs/>
          <w:szCs w:val="28"/>
          <w:lang w:val="ru-RU"/>
        </w:rPr>
        <w:t> </w:t>
      </w:r>
      <w:r w:rsidRPr="000550B9">
        <w:rPr>
          <w:bCs/>
          <w:szCs w:val="28"/>
        </w:rPr>
        <w:t>2 ст.</w:t>
      </w:r>
      <w:r>
        <w:rPr>
          <w:bCs/>
          <w:szCs w:val="28"/>
          <w:lang w:val="ru-RU"/>
        </w:rPr>
        <w:t> </w:t>
      </w:r>
      <w:r w:rsidRPr="000550B9">
        <w:rPr>
          <w:bCs/>
          <w:szCs w:val="28"/>
        </w:rPr>
        <w:t xml:space="preserve">4 Закону України «Про приватизацію державного і комунального майна» приватизації не підлягає майно Державної кримінально-виконавчої служби України, яке безпосередньо забезпечує виконання встановлених законодавством завдань і функцій. Разом </w:t>
      </w:r>
      <w:r>
        <w:rPr>
          <w:bCs/>
          <w:szCs w:val="28"/>
        </w:rPr>
        <w:t>і</w:t>
      </w:r>
      <w:r w:rsidRPr="000550B9">
        <w:rPr>
          <w:bCs/>
          <w:szCs w:val="28"/>
        </w:rPr>
        <w:t xml:space="preserve">з тим, згідно з </w:t>
      </w:r>
      <w:proofErr w:type="spellStart"/>
      <w:r w:rsidRPr="000550B9">
        <w:rPr>
          <w:bCs/>
          <w:szCs w:val="28"/>
        </w:rPr>
        <w:t>абз</w:t>
      </w:r>
      <w:proofErr w:type="spellEnd"/>
      <w:r w:rsidRPr="000550B9">
        <w:rPr>
          <w:bCs/>
          <w:szCs w:val="28"/>
        </w:rPr>
        <w:t>. 1 ч. 3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ст</w:t>
      </w:r>
      <w:proofErr w:type="spellEnd"/>
      <w:r>
        <w:rPr>
          <w:bCs/>
          <w:szCs w:val="28"/>
          <w:lang w:val="ru-RU"/>
        </w:rPr>
        <w:t>. 4</w:t>
      </w:r>
      <w:r w:rsidRPr="000550B9">
        <w:rPr>
          <w:bCs/>
          <w:szCs w:val="28"/>
        </w:rPr>
        <w:t xml:space="preserve"> цього Закону у разі</w:t>
      </w:r>
      <w:r>
        <w:rPr>
          <w:bCs/>
          <w:szCs w:val="28"/>
        </w:rPr>
        <w:t>,</w:t>
      </w:r>
      <w:r w:rsidRPr="000550B9">
        <w:rPr>
          <w:bCs/>
          <w:szCs w:val="28"/>
        </w:rPr>
        <w:t xml:space="preserve"> якщо майно Державної кримінально-виконавчої служби України не забезпечує виконання зазначеними органами встановлених законодавством завдань, таке майно є об’єктами, що підлягають приватизації. </w:t>
      </w:r>
      <w:r>
        <w:rPr>
          <w:bCs/>
          <w:szCs w:val="28"/>
        </w:rPr>
        <w:t xml:space="preserve">Цим же Законом визначаються </w:t>
      </w:r>
      <w:r w:rsidRPr="000550B9">
        <w:rPr>
          <w:bCs/>
          <w:szCs w:val="28"/>
        </w:rPr>
        <w:t>порядок платного відчуження майна, що перебуває у державній власності</w:t>
      </w:r>
      <w:r>
        <w:rPr>
          <w:bCs/>
          <w:szCs w:val="28"/>
        </w:rPr>
        <w:t>,</w:t>
      </w:r>
      <w:r w:rsidRPr="000550B9">
        <w:rPr>
          <w:bCs/>
          <w:szCs w:val="28"/>
        </w:rPr>
        <w:t xml:space="preserve"> та зарахування коштів від приватизації до Державного бюджету України</w:t>
      </w:r>
      <w:r>
        <w:rPr>
          <w:bCs/>
          <w:szCs w:val="28"/>
        </w:rPr>
        <w:t xml:space="preserve">. Зокрема, відповідно до </w:t>
      </w:r>
      <w:proofErr w:type="spellStart"/>
      <w:r>
        <w:rPr>
          <w:bCs/>
          <w:szCs w:val="28"/>
        </w:rPr>
        <w:t>абз</w:t>
      </w:r>
      <w:proofErr w:type="spellEnd"/>
      <w:r>
        <w:rPr>
          <w:bCs/>
          <w:szCs w:val="28"/>
        </w:rPr>
        <w:t>. 1 ч. 1 ст. 25 цього Закону «к</w:t>
      </w:r>
      <w:r>
        <w:rPr>
          <w:rStyle w:val="rvts0"/>
        </w:rPr>
        <w:t>ошти, одержані від продажу державного або комунального майна, інші надходження, безпосередньо пов’язані з процесом приватизації (суми штрафних санкцій за несвоєчасні розрахунки за придбані об’єкти приватизації тощо), зараховуються до державного або місцевого бюджету у повному обсязі, крім плати за участь».</w:t>
      </w:r>
    </w:p>
    <w:p w:rsidR="0027184A" w:rsidRDefault="00932E6D" w:rsidP="00B64AAA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4</w:t>
      </w:r>
      <w:r w:rsidR="00B64AAA" w:rsidRPr="00B64AAA">
        <w:rPr>
          <w:b/>
          <w:bCs/>
          <w:szCs w:val="28"/>
        </w:rPr>
        <w:t>.</w:t>
      </w:r>
      <w:r w:rsidR="00B64AAA">
        <w:rPr>
          <w:bCs/>
          <w:szCs w:val="28"/>
        </w:rPr>
        <w:t xml:space="preserve"> П</w:t>
      </w:r>
      <w:r w:rsidR="0027184A" w:rsidRPr="0027184A">
        <w:rPr>
          <w:bCs/>
          <w:szCs w:val="28"/>
        </w:rPr>
        <w:t xml:space="preserve">одані супровідні документи не містять належного обґрунтування </w:t>
      </w:r>
      <w:r w:rsidR="001B573E">
        <w:rPr>
          <w:bCs/>
          <w:szCs w:val="28"/>
        </w:rPr>
        <w:t xml:space="preserve">пропонованих </w:t>
      </w:r>
      <w:r w:rsidR="0027184A" w:rsidRPr="0027184A">
        <w:rPr>
          <w:bCs/>
          <w:szCs w:val="28"/>
        </w:rPr>
        <w:t xml:space="preserve">пропорцій розподілу визначених проектом надходжень </w:t>
      </w:r>
      <w:r w:rsidR="001B573E" w:rsidRPr="0027184A">
        <w:rPr>
          <w:bCs/>
          <w:szCs w:val="28"/>
        </w:rPr>
        <w:t xml:space="preserve">між </w:t>
      </w:r>
      <w:r w:rsidR="001B573E" w:rsidRPr="0027184A">
        <w:rPr>
          <w:bCs/>
          <w:szCs w:val="28"/>
        </w:rPr>
        <w:lastRenderedPageBreak/>
        <w:t xml:space="preserve">загальним та спеціальним фондом Державного бюджету України </w:t>
      </w:r>
      <w:r w:rsidR="0027184A" w:rsidRPr="0027184A">
        <w:rPr>
          <w:bCs/>
          <w:szCs w:val="28"/>
        </w:rPr>
        <w:t>саме у зазначених у проекті розмірах.</w:t>
      </w:r>
    </w:p>
    <w:p w:rsidR="0027184A" w:rsidRDefault="00932E6D" w:rsidP="001B573E">
      <w:pPr>
        <w:tabs>
          <w:tab w:val="left" w:pos="993"/>
          <w:tab w:val="left" w:pos="1134"/>
          <w:tab w:val="left" w:pos="1276"/>
        </w:tabs>
        <w:ind w:left="709"/>
        <w:jc w:val="both"/>
        <w:rPr>
          <w:bCs/>
          <w:szCs w:val="28"/>
        </w:rPr>
      </w:pPr>
      <w:r>
        <w:rPr>
          <w:b/>
          <w:bCs/>
          <w:szCs w:val="28"/>
        </w:rPr>
        <w:t>5</w:t>
      </w:r>
      <w:r w:rsidR="001B573E" w:rsidRPr="001B573E">
        <w:rPr>
          <w:b/>
          <w:bCs/>
          <w:szCs w:val="28"/>
        </w:rPr>
        <w:t>.</w:t>
      </w:r>
      <w:r w:rsidR="001B573E">
        <w:rPr>
          <w:bCs/>
          <w:szCs w:val="28"/>
        </w:rPr>
        <w:t xml:space="preserve"> </w:t>
      </w:r>
      <w:r w:rsidR="0027184A" w:rsidRPr="0027184A">
        <w:rPr>
          <w:bCs/>
          <w:szCs w:val="28"/>
        </w:rPr>
        <w:t xml:space="preserve">У назві проекту не визначено його предмет. </w:t>
      </w:r>
    </w:p>
    <w:p w:rsidR="00975E45" w:rsidRPr="000550B9" w:rsidRDefault="00932E6D" w:rsidP="001B573E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b/>
          <w:bCs/>
          <w:szCs w:val="28"/>
        </w:rPr>
        <w:t>6</w:t>
      </w:r>
      <w:r w:rsidR="001B573E" w:rsidRPr="001B573E">
        <w:rPr>
          <w:b/>
          <w:bCs/>
          <w:szCs w:val="28"/>
        </w:rPr>
        <w:t>.</w:t>
      </w:r>
      <w:r w:rsidR="001B573E">
        <w:rPr>
          <w:bCs/>
          <w:szCs w:val="28"/>
        </w:rPr>
        <w:t xml:space="preserve"> В</w:t>
      </w:r>
      <w:r w:rsidR="00975E45" w:rsidRPr="000550B9">
        <w:rPr>
          <w:szCs w:val="28"/>
        </w:rPr>
        <w:t>раховуючи вимоги ст. 116 Конституції України, за якими виконання затвердженого Верховною Радою України Державного бюджету України забезпечує Кабінет Міністрів України, до проекту доцільно отримати експертний висновок Уряду.</w:t>
      </w:r>
    </w:p>
    <w:p w:rsidR="000930F4" w:rsidRPr="00E17B40" w:rsidRDefault="000930F4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9B4AB3" w:rsidRPr="00E17B40" w:rsidRDefault="009B4AB3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0930F4" w:rsidRDefault="00BC4FAD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К</w:t>
      </w:r>
      <w:r w:rsidR="000930F4" w:rsidRPr="00E17B40">
        <w:rPr>
          <w:szCs w:val="28"/>
        </w:rPr>
        <w:t xml:space="preserve">ерівник Головного управління                                    </w:t>
      </w:r>
      <w:r w:rsidR="008A6AB9">
        <w:rPr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>С. Тихонюк</w:t>
      </w:r>
    </w:p>
    <w:p w:rsidR="00343266" w:rsidRPr="00E17B40" w:rsidRDefault="00343266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343266" w:rsidRPr="00813A9F" w:rsidRDefault="00343266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0930F4" w:rsidRPr="00813A9F" w:rsidRDefault="000930F4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proofErr w:type="spellStart"/>
      <w:r w:rsidRPr="00CF2B50">
        <w:rPr>
          <w:sz w:val="20"/>
          <w:szCs w:val="20"/>
        </w:rPr>
        <w:t>Вик</w:t>
      </w:r>
      <w:proofErr w:type="spellEnd"/>
      <w:r w:rsidRPr="00CF2B50">
        <w:rPr>
          <w:sz w:val="20"/>
          <w:szCs w:val="20"/>
        </w:rPr>
        <w:t xml:space="preserve">.: </w:t>
      </w:r>
      <w:r w:rsidR="0040279D" w:rsidRPr="00CF2B50">
        <w:rPr>
          <w:sz w:val="20"/>
          <w:szCs w:val="20"/>
        </w:rPr>
        <w:t>Н.</w:t>
      </w:r>
      <w:r w:rsidR="00BC4FAD" w:rsidRPr="00CF2B50">
        <w:rPr>
          <w:sz w:val="20"/>
          <w:szCs w:val="20"/>
        </w:rPr>
        <w:t xml:space="preserve"> </w:t>
      </w:r>
      <w:r w:rsidR="0040279D" w:rsidRPr="00CF2B50">
        <w:rPr>
          <w:sz w:val="20"/>
          <w:szCs w:val="20"/>
        </w:rPr>
        <w:t>Пархоменко</w:t>
      </w:r>
      <w:r w:rsidR="00BC4FAD" w:rsidRPr="00CF2B50">
        <w:rPr>
          <w:sz w:val="20"/>
          <w:szCs w:val="20"/>
        </w:rPr>
        <w:t>,</w:t>
      </w:r>
      <w:r w:rsidR="0027184A" w:rsidRPr="00CF2B50">
        <w:rPr>
          <w:sz w:val="20"/>
          <w:szCs w:val="20"/>
          <w:lang w:val="ru-RU"/>
        </w:rPr>
        <w:t xml:space="preserve"> Е. Вальковський,</w:t>
      </w:r>
      <w:r w:rsidR="009E2827" w:rsidRPr="00CF2B50">
        <w:rPr>
          <w:sz w:val="20"/>
          <w:szCs w:val="20"/>
          <w:lang w:val="ru-RU"/>
        </w:rPr>
        <w:t xml:space="preserve"> </w:t>
      </w:r>
      <w:r w:rsidR="00D769DD" w:rsidRPr="00CF2B50">
        <w:rPr>
          <w:sz w:val="20"/>
          <w:szCs w:val="20"/>
        </w:rPr>
        <w:t>Є</w:t>
      </w:r>
      <w:r w:rsidR="00BC4FAD" w:rsidRPr="00CF2B50">
        <w:rPr>
          <w:sz w:val="20"/>
          <w:szCs w:val="20"/>
        </w:rPr>
        <w:t>. Гришко</w:t>
      </w:r>
    </w:p>
    <w:p w:rsidR="000930F4" w:rsidRPr="00E17B40" w:rsidRDefault="000930F4" w:rsidP="000346F5">
      <w:pPr>
        <w:tabs>
          <w:tab w:val="left" w:pos="851"/>
          <w:tab w:val="left" w:pos="1134"/>
          <w:tab w:val="left" w:pos="1276"/>
        </w:tabs>
        <w:ind w:firstLine="709"/>
        <w:jc w:val="both"/>
        <w:rPr>
          <w:b/>
          <w:i/>
          <w:szCs w:val="28"/>
        </w:rPr>
      </w:pPr>
    </w:p>
    <w:sectPr w:rsidR="000930F4" w:rsidRPr="00E17B40" w:rsidSect="00813A9F">
      <w:headerReference w:type="even" r:id="rId8"/>
      <w:headerReference w:type="default" r:id="rId9"/>
      <w:headerReference w:type="first" r:id="rId10"/>
      <w:pgSz w:w="11906" w:h="16838"/>
      <w:pgMar w:top="851" w:right="851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27" w:rsidRDefault="00D33927" w:rsidP="00340B0D">
      <w:r>
        <w:separator/>
      </w:r>
    </w:p>
  </w:endnote>
  <w:endnote w:type="continuationSeparator" w:id="0">
    <w:p w:rsidR="00D33927" w:rsidRDefault="00D33927" w:rsidP="0034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27" w:rsidRDefault="00D33927" w:rsidP="00340B0D">
      <w:r>
        <w:separator/>
      </w:r>
    </w:p>
  </w:footnote>
  <w:footnote w:type="continuationSeparator" w:id="0">
    <w:p w:rsidR="00D33927" w:rsidRDefault="00D33927" w:rsidP="0034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9F" w:rsidRPr="00813A9F" w:rsidRDefault="00813A9F" w:rsidP="00813A9F">
    <w:pPr>
      <w:pStyle w:val="a4"/>
      <w:jc w:val="right"/>
      <w:rPr>
        <w:lang w:val="uk-UA"/>
      </w:rPr>
    </w:pPr>
    <w:r w:rsidRPr="00CF2B50">
      <w:rPr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A9F" w:rsidRPr="00813A9F" w:rsidRDefault="00813A9F" w:rsidP="00813A9F">
    <w:pPr>
      <w:pStyle w:val="a4"/>
      <w:jc w:val="right"/>
      <w:rPr>
        <w:lang w:val="uk-UA"/>
      </w:rPr>
    </w:pPr>
    <w:r w:rsidRPr="00CF2B50">
      <w:rPr>
        <w:lang w:val="uk-U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5" w:rsidRPr="00340B0D" w:rsidRDefault="00975E45" w:rsidP="00975E45">
    <w:pPr>
      <w:ind w:right="120"/>
      <w:jc w:val="right"/>
      <w:rPr>
        <w:sz w:val="20"/>
        <w:szCs w:val="20"/>
      </w:rPr>
    </w:pPr>
    <w:r w:rsidRPr="00340B0D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340B0D">
      <w:rPr>
        <w:sz w:val="20"/>
        <w:szCs w:val="20"/>
      </w:rPr>
      <w:t xml:space="preserve">№ </w:t>
    </w:r>
    <w:r>
      <w:rPr>
        <w:sz w:val="20"/>
        <w:szCs w:val="20"/>
      </w:rPr>
      <w:t>3591</w:t>
    </w:r>
    <w:r w:rsidRPr="00340B0D">
      <w:rPr>
        <w:sz w:val="20"/>
        <w:szCs w:val="20"/>
      </w:rPr>
      <w:t xml:space="preserve"> від </w:t>
    </w:r>
    <w:r w:rsidRPr="00B1557F">
      <w:rPr>
        <w:sz w:val="20"/>
        <w:szCs w:val="20"/>
      </w:rPr>
      <w:t xml:space="preserve"> 04.06.2020</w:t>
    </w:r>
  </w:p>
  <w:p w:rsidR="00975E45" w:rsidRDefault="00975E45" w:rsidP="00975E45">
    <w:pPr>
      <w:ind w:right="120"/>
      <w:jc w:val="right"/>
      <w:rPr>
        <w:sz w:val="20"/>
        <w:szCs w:val="20"/>
      </w:rPr>
    </w:pPr>
    <w:r>
      <w:rPr>
        <w:sz w:val="20"/>
        <w:szCs w:val="20"/>
      </w:rPr>
      <w:t xml:space="preserve">Народні депутати України </w:t>
    </w:r>
  </w:p>
  <w:p w:rsidR="00975E45" w:rsidRPr="00975E45" w:rsidRDefault="00975E45" w:rsidP="00975E45">
    <w:pPr>
      <w:ind w:right="120"/>
      <w:jc w:val="right"/>
      <w:rPr>
        <w:sz w:val="20"/>
        <w:szCs w:val="20"/>
      </w:rPr>
    </w:pPr>
    <w:r>
      <w:rPr>
        <w:sz w:val="20"/>
        <w:szCs w:val="20"/>
      </w:rPr>
      <w:t>Т. Тарасенко та інші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BB9"/>
    <w:multiLevelType w:val="hybridMultilevel"/>
    <w:tmpl w:val="65668A00"/>
    <w:lvl w:ilvl="0" w:tplc="E4866A1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E6F26C2"/>
    <w:multiLevelType w:val="hybridMultilevel"/>
    <w:tmpl w:val="3E8E2EEE"/>
    <w:lvl w:ilvl="0" w:tplc="EA649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690EBE"/>
    <w:multiLevelType w:val="hybridMultilevel"/>
    <w:tmpl w:val="CE24CC98"/>
    <w:lvl w:ilvl="0" w:tplc="9A88C98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DC"/>
    <w:rsid w:val="0000590F"/>
    <w:rsid w:val="0001222B"/>
    <w:rsid w:val="00014187"/>
    <w:rsid w:val="000240EE"/>
    <w:rsid w:val="000346F5"/>
    <w:rsid w:val="00035975"/>
    <w:rsid w:val="000550B9"/>
    <w:rsid w:val="00070C31"/>
    <w:rsid w:val="00085B12"/>
    <w:rsid w:val="000930F4"/>
    <w:rsid w:val="000B5329"/>
    <w:rsid w:val="000B55CB"/>
    <w:rsid w:val="000D2E61"/>
    <w:rsid w:val="000D7E46"/>
    <w:rsid w:val="000E7A34"/>
    <w:rsid w:val="000E7C22"/>
    <w:rsid w:val="000F0217"/>
    <w:rsid w:val="000F735D"/>
    <w:rsid w:val="00112748"/>
    <w:rsid w:val="00147409"/>
    <w:rsid w:val="00162AEC"/>
    <w:rsid w:val="00165A5C"/>
    <w:rsid w:val="0018343A"/>
    <w:rsid w:val="00194624"/>
    <w:rsid w:val="001A078C"/>
    <w:rsid w:val="001A42EC"/>
    <w:rsid w:val="001A6C8C"/>
    <w:rsid w:val="001B50E6"/>
    <w:rsid w:val="001B573E"/>
    <w:rsid w:val="001C0C92"/>
    <w:rsid w:val="001D1D6A"/>
    <w:rsid w:val="001D4EB9"/>
    <w:rsid w:val="001D646D"/>
    <w:rsid w:val="001F238A"/>
    <w:rsid w:val="001F32D5"/>
    <w:rsid w:val="00203A88"/>
    <w:rsid w:val="002045E2"/>
    <w:rsid w:val="00205CB5"/>
    <w:rsid w:val="00215747"/>
    <w:rsid w:val="00237636"/>
    <w:rsid w:val="00237D14"/>
    <w:rsid w:val="00243EAB"/>
    <w:rsid w:val="00245247"/>
    <w:rsid w:val="0027184A"/>
    <w:rsid w:val="0028788D"/>
    <w:rsid w:val="002B1E4D"/>
    <w:rsid w:val="002C58FB"/>
    <w:rsid w:val="003105BB"/>
    <w:rsid w:val="00313013"/>
    <w:rsid w:val="00340B0D"/>
    <w:rsid w:val="00343266"/>
    <w:rsid w:val="00344246"/>
    <w:rsid w:val="00345EA7"/>
    <w:rsid w:val="003644B2"/>
    <w:rsid w:val="003A0187"/>
    <w:rsid w:val="003A17CC"/>
    <w:rsid w:val="003B481A"/>
    <w:rsid w:val="003C55BF"/>
    <w:rsid w:val="003D16EF"/>
    <w:rsid w:val="0040279D"/>
    <w:rsid w:val="0041276F"/>
    <w:rsid w:val="00431022"/>
    <w:rsid w:val="00450B12"/>
    <w:rsid w:val="00471B40"/>
    <w:rsid w:val="00480BA4"/>
    <w:rsid w:val="00496225"/>
    <w:rsid w:val="004C0D53"/>
    <w:rsid w:val="0051032D"/>
    <w:rsid w:val="0052637A"/>
    <w:rsid w:val="00531B8B"/>
    <w:rsid w:val="00536E34"/>
    <w:rsid w:val="005720F0"/>
    <w:rsid w:val="00573527"/>
    <w:rsid w:val="005751A5"/>
    <w:rsid w:val="0058649D"/>
    <w:rsid w:val="005B47A2"/>
    <w:rsid w:val="005C3DF1"/>
    <w:rsid w:val="005C4201"/>
    <w:rsid w:val="006013E4"/>
    <w:rsid w:val="006015E8"/>
    <w:rsid w:val="0061354D"/>
    <w:rsid w:val="006315BC"/>
    <w:rsid w:val="006324DF"/>
    <w:rsid w:val="006650CE"/>
    <w:rsid w:val="00680038"/>
    <w:rsid w:val="006A7D3C"/>
    <w:rsid w:val="006D7215"/>
    <w:rsid w:val="006F2434"/>
    <w:rsid w:val="006F2B1E"/>
    <w:rsid w:val="006F4D53"/>
    <w:rsid w:val="007449E6"/>
    <w:rsid w:val="0075477E"/>
    <w:rsid w:val="0079483A"/>
    <w:rsid w:val="007D6C30"/>
    <w:rsid w:val="007F0C78"/>
    <w:rsid w:val="007F1823"/>
    <w:rsid w:val="007F625E"/>
    <w:rsid w:val="00801523"/>
    <w:rsid w:val="00805C9E"/>
    <w:rsid w:val="00807DE6"/>
    <w:rsid w:val="00813A9F"/>
    <w:rsid w:val="00844C73"/>
    <w:rsid w:val="008612C1"/>
    <w:rsid w:val="00863735"/>
    <w:rsid w:val="00872EC1"/>
    <w:rsid w:val="00887940"/>
    <w:rsid w:val="008A6AB9"/>
    <w:rsid w:val="008C5C7D"/>
    <w:rsid w:val="008D6239"/>
    <w:rsid w:val="008E07E4"/>
    <w:rsid w:val="00903322"/>
    <w:rsid w:val="009036DA"/>
    <w:rsid w:val="009038DA"/>
    <w:rsid w:val="00905231"/>
    <w:rsid w:val="00915600"/>
    <w:rsid w:val="00932E6D"/>
    <w:rsid w:val="00945DFB"/>
    <w:rsid w:val="0097492C"/>
    <w:rsid w:val="00975E45"/>
    <w:rsid w:val="009955E8"/>
    <w:rsid w:val="009B1641"/>
    <w:rsid w:val="009B4AB3"/>
    <w:rsid w:val="009B4BEA"/>
    <w:rsid w:val="009E2827"/>
    <w:rsid w:val="009F0160"/>
    <w:rsid w:val="00A02B0E"/>
    <w:rsid w:val="00A17DE7"/>
    <w:rsid w:val="00A40265"/>
    <w:rsid w:val="00A77AE1"/>
    <w:rsid w:val="00A91E8C"/>
    <w:rsid w:val="00A927C9"/>
    <w:rsid w:val="00AA07DC"/>
    <w:rsid w:val="00AA6E1B"/>
    <w:rsid w:val="00AC217E"/>
    <w:rsid w:val="00AC2F17"/>
    <w:rsid w:val="00AE4586"/>
    <w:rsid w:val="00AF3AC3"/>
    <w:rsid w:val="00B0134F"/>
    <w:rsid w:val="00B0325E"/>
    <w:rsid w:val="00B13CD2"/>
    <w:rsid w:val="00B1557F"/>
    <w:rsid w:val="00B300EE"/>
    <w:rsid w:val="00B61F64"/>
    <w:rsid w:val="00B64AAA"/>
    <w:rsid w:val="00B92646"/>
    <w:rsid w:val="00B959F3"/>
    <w:rsid w:val="00BA0D5F"/>
    <w:rsid w:val="00BA28EC"/>
    <w:rsid w:val="00BC4FAD"/>
    <w:rsid w:val="00BD52AF"/>
    <w:rsid w:val="00BD639E"/>
    <w:rsid w:val="00BE44AE"/>
    <w:rsid w:val="00BF51F8"/>
    <w:rsid w:val="00C21869"/>
    <w:rsid w:val="00C305F9"/>
    <w:rsid w:val="00C45A06"/>
    <w:rsid w:val="00C53925"/>
    <w:rsid w:val="00C651AB"/>
    <w:rsid w:val="00C72314"/>
    <w:rsid w:val="00C812C4"/>
    <w:rsid w:val="00C81EDF"/>
    <w:rsid w:val="00CC1962"/>
    <w:rsid w:val="00CC73FA"/>
    <w:rsid w:val="00CD5985"/>
    <w:rsid w:val="00CE606A"/>
    <w:rsid w:val="00CF2B50"/>
    <w:rsid w:val="00D00983"/>
    <w:rsid w:val="00D01A05"/>
    <w:rsid w:val="00D070E9"/>
    <w:rsid w:val="00D10CD8"/>
    <w:rsid w:val="00D2087E"/>
    <w:rsid w:val="00D31899"/>
    <w:rsid w:val="00D33927"/>
    <w:rsid w:val="00D45147"/>
    <w:rsid w:val="00D66038"/>
    <w:rsid w:val="00D769DD"/>
    <w:rsid w:val="00D82A0B"/>
    <w:rsid w:val="00D83363"/>
    <w:rsid w:val="00D84C8E"/>
    <w:rsid w:val="00D93B82"/>
    <w:rsid w:val="00D97396"/>
    <w:rsid w:val="00DC1B08"/>
    <w:rsid w:val="00E17B40"/>
    <w:rsid w:val="00E511C4"/>
    <w:rsid w:val="00E63567"/>
    <w:rsid w:val="00E81E01"/>
    <w:rsid w:val="00EA59BC"/>
    <w:rsid w:val="00EB5D57"/>
    <w:rsid w:val="00ED2D3E"/>
    <w:rsid w:val="00ED4A84"/>
    <w:rsid w:val="00EE3540"/>
    <w:rsid w:val="00F06E8E"/>
    <w:rsid w:val="00F11590"/>
    <w:rsid w:val="00F15694"/>
    <w:rsid w:val="00F669D2"/>
    <w:rsid w:val="00F72321"/>
    <w:rsid w:val="00F752A0"/>
    <w:rsid w:val="00F82FEB"/>
    <w:rsid w:val="00F9060F"/>
    <w:rsid w:val="00FA39CF"/>
    <w:rsid w:val="00FB519B"/>
    <w:rsid w:val="00FD0919"/>
    <w:rsid w:val="00FD2F15"/>
    <w:rsid w:val="00FD3C8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2F52B"/>
  <w15:docId w15:val="{C9293EC0-A257-4E8F-B7FE-649CDE9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DC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AA07DC"/>
    <w:rPr>
      <w:rFonts w:ascii="Times New Roman" w:hAnsi="Times New Roman"/>
      <w:color w:val="000000"/>
    </w:rPr>
  </w:style>
  <w:style w:type="paragraph" w:styleId="a3">
    <w:name w:val="Body Text"/>
    <w:basedOn w:val="a"/>
    <w:rsid w:val="000E7C22"/>
    <w:pPr>
      <w:spacing w:after="120"/>
    </w:pPr>
  </w:style>
  <w:style w:type="paragraph" w:customStyle="1" w:styleId="st2">
    <w:name w:val="st2"/>
    <w:rsid w:val="005720F0"/>
    <w:pPr>
      <w:autoSpaceDE w:val="0"/>
      <w:autoSpaceDN w:val="0"/>
      <w:adjustRightInd w:val="0"/>
      <w:spacing w:after="120"/>
      <w:ind w:firstLine="36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st96">
    <w:name w:val="st96"/>
    <w:rsid w:val="005720F0"/>
    <w:rPr>
      <w:rFonts w:ascii="Times New Roman" w:hAnsi="Times New Roman"/>
      <w:color w:val="0000FF"/>
    </w:rPr>
  </w:style>
  <w:style w:type="character" w:customStyle="1" w:styleId="st121">
    <w:name w:val="st121"/>
    <w:rsid w:val="005720F0"/>
    <w:rPr>
      <w:rFonts w:ascii="Times New Roman" w:hAnsi="Times New Roman"/>
      <w:i/>
      <w:iCs/>
      <w:color w:val="000000"/>
    </w:rPr>
  </w:style>
  <w:style w:type="character" w:customStyle="1" w:styleId="st131">
    <w:name w:val="st131"/>
    <w:rsid w:val="005720F0"/>
    <w:rPr>
      <w:rFonts w:ascii="Times New Roman" w:hAnsi="Times New Roman"/>
      <w:i/>
      <w:iCs/>
      <w:color w:val="0000FF"/>
    </w:rPr>
  </w:style>
  <w:style w:type="character" w:customStyle="1" w:styleId="st30">
    <w:name w:val="st30"/>
    <w:rsid w:val="005720F0"/>
    <w:rPr>
      <w:rFonts w:ascii="Times New Roman" w:hAnsi="Times New Roman"/>
      <w:b/>
      <w:bCs/>
      <w:color w:val="000000"/>
      <w:sz w:val="32"/>
      <w:szCs w:val="32"/>
      <w:vertAlign w:val="superscript"/>
    </w:rPr>
  </w:style>
  <w:style w:type="paragraph" w:customStyle="1" w:styleId="ParagraphStyle">
    <w:name w:val="Paragraph Style"/>
    <w:rsid w:val="00C812C4"/>
    <w:pPr>
      <w:autoSpaceDE w:val="0"/>
      <w:autoSpaceDN w:val="0"/>
      <w:adjustRightInd w:val="0"/>
    </w:pPr>
    <w:rPr>
      <w:rFonts w:ascii="Courier New" w:eastAsia="MS Mincho" w:hAnsi="Courier New"/>
      <w:sz w:val="24"/>
      <w:szCs w:val="24"/>
      <w:lang w:val="ru-RU" w:eastAsia="ja-JP"/>
    </w:rPr>
  </w:style>
  <w:style w:type="character" w:customStyle="1" w:styleId="FontStyle">
    <w:name w:val="Font Style"/>
    <w:rsid w:val="00C812C4"/>
    <w:rPr>
      <w:rFonts w:cs="Courier New"/>
      <w:color w:val="000000"/>
      <w:sz w:val="20"/>
      <w:szCs w:val="20"/>
    </w:rPr>
  </w:style>
  <w:style w:type="paragraph" w:styleId="a4">
    <w:name w:val="header"/>
    <w:basedOn w:val="a"/>
    <w:link w:val="a5"/>
    <w:rsid w:val="00340B0D"/>
    <w:pPr>
      <w:tabs>
        <w:tab w:val="center" w:pos="4819"/>
        <w:tab w:val="right" w:pos="9639"/>
      </w:tabs>
    </w:pPr>
    <w:rPr>
      <w:lang w:val="ru-RU"/>
    </w:rPr>
  </w:style>
  <w:style w:type="character" w:customStyle="1" w:styleId="a5">
    <w:name w:val="Верхній колонтитул Знак"/>
    <w:link w:val="a4"/>
    <w:rsid w:val="00340B0D"/>
    <w:rPr>
      <w:sz w:val="28"/>
      <w:szCs w:val="24"/>
      <w:lang w:val="ru-RU" w:eastAsia="ru-RU"/>
    </w:rPr>
  </w:style>
  <w:style w:type="paragraph" w:styleId="a6">
    <w:name w:val="footer"/>
    <w:basedOn w:val="a"/>
    <w:link w:val="a7"/>
    <w:rsid w:val="00340B0D"/>
    <w:pPr>
      <w:tabs>
        <w:tab w:val="center" w:pos="4819"/>
        <w:tab w:val="right" w:pos="9639"/>
      </w:tabs>
    </w:pPr>
    <w:rPr>
      <w:lang w:val="ru-RU"/>
    </w:rPr>
  </w:style>
  <w:style w:type="character" w:customStyle="1" w:styleId="a7">
    <w:name w:val="Нижній колонтитул Знак"/>
    <w:link w:val="a6"/>
    <w:rsid w:val="00340B0D"/>
    <w:rPr>
      <w:sz w:val="28"/>
      <w:szCs w:val="24"/>
      <w:lang w:val="ru-RU" w:eastAsia="ru-RU"/>
    </w:rPr>
  </w:style>
  <w:style w:type="paragraph" w:styleId="a8">
    <w:name w:val="Block Text"/>
    <w:basedOn w:val="a"/>
    <w:rsid w:val="009038DA"/>
    <w:pPr>
      <w:autoSpaceDE w:val="0"/>
      <w:autoSpaceDN w:val="0"/>
      <w:ind w:left="-567" w:right="-766"/>
    </w:pPr>
    <w:rPr>
      <w:szCs w:val="28"/>
    </w:rPr>
  </w:style>
  <w:style w:type="paragraph" w:styleId="a9">
    <w:name w:val="Balloon Text"/>
    <w:basedOn w:val="a"/>
    <w:link w:val="aa"/>
    <w:rsid w:val="0040279D"/>
    <w:rPr>
      <w:rFonts w:ascii="Segoe UI" w:hAnsi="Segoe UI"/>
      <w:sz w:val="18"/>
      <w:szCs w:val="18"/>
    </w:rPr>
  </w:style>
  <w:style w:type="character" w:customStyle="1" w:styleId="aa">
    <w:name w:val="Текст у виносці Знак"/>
    <w:link w:val="a9"/>
    <w:rsid w:val="0040279D"/>
    <w:rPr>
      <w:rFonts w:ascii="Segoe UI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5C3DF1"/>
  </w:style>
  <w:style w:type="character" w:styleId="ab">
    <w:name w:val="Hyperlink"/>
    <w:basedOn w:val="a0"/>
    <w:uiPriority w:val="99"/>
    <w:unhideWhenUsed/>
    <w:rsid w:val="00FD0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27C9-D7FD-4ECC-A93B-A33BFF93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 приводу зазначеного зауважимо, що прийняття зваженого рішення щодо пропозицій законопроекту  мало б ґрунтуватися на докладній інформації щодо ефективного (або неефективного) використання у поточному 2013 бюджетному році надходжень екологічного податку</vt:lpstr>
      <vt:lpstr>З приводу зазначеного зауважимо, що прийняття зваженого рішення щодо пропозицій законопроекту  мало б ґрунтуватися на докладній інформації щодо ефективного (або неефективного) використання у поточному 2013 бюджетному році надходжень екологічного податку</vt:lpstr>
    </vt:vector>
  </TitlesOfParts>
  <Company>VR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приводу зазначеного зауважимо, що прийняття зваженого рішення щодо пропозицій законопроекту  мало б ґрунтуватися на докладній інформації щодо ефективного (або неефективного) використання у поточному 2013 бюджетному році надходжень екологічного податку</dc:title>
  <dc:creator>User_UKS</dc:creator>
  <cp:lastModifiedBy>Інна Григорівна Лопотуха</cp:lastModifiedBy>
  <cp:revision>4</cp:revision>
  <cp:lastPrinted>2020-07-09T14:01:00Z</cp:lastPrinted>
  <dcterms:created xsi:type="dcterms:W3CDTF">2020-07-09T14:00:00Z</dcterms:created>
  <dcterms:modified xsi:type="dcterms:W3CDTF">2020-07-09T14:02:00Z</dcterms:modified>
</cp:coreProperties>
</file>