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06" w:rsidRPr="00AB17A8" w:rsidRDefault="005B2406" w:rsidP="005B2406">
      <w:pPr>
        <w:widowControl w:val="0"/>
        <w:suppressAutoHyphens/>
        <w:autoSpaceDE w:val="0"/>
        <w:spacing w:after="0" w:line="240" w:lineRule="auto"/>
        <w:ind w:left="-57" w:right="-60"/>
        <w:jc w:val="center"/>
        <w:rPr>
          <w:rFonts w:ascii="Calibri" w:eastAsia="Times New Roman" w:hAnsi="Calibri" w:cs="TimesNewRomanPSMT"/>
          <w:b/>
          <w:bCs/>
          <w:sz w:val="32"/>
          <w:szCs w:val="32"/>
          <w:lang w:val="uk-UA" w:eastAsia="zh-CN"/>
        </w:rPr>
      </w:pPr>
      <w:bookmarkStart w:id="0" w:name="_GoBack"/>
      <w:bookmarkEnd w:id="0"/>
      <w:r w:rsidRPr="00AB17A8">
        <w:rPr>
          <w:rFonts w:ascii="TimesNewRomanPSMT" w:eastAsia="Times New Roman" w:hAnsi="TimesNewRomanPSMT" w:cs="TimesNewRomanPSMT"/>
          <w:b/>
          <w:bCs/>
          <w:sz w:val="32"/>
          <w:szCs w:val="32"/>
          <w:lang w:val="uk-UA" w:eastAsia="zh-CN"/>
        </w:rPr>
        <w:t>ПОРІВНЯЛЬНА ТАБЛИЦЯ</w:t>
      </w:r>
    </w:p>
    <w:p w:rsidR="005B2406" w:rsidRPr="00AB17A8" w:rsidRDefault="005B2406" w:rsidP="005B2406">
      <w:pPr>
        <w:widowControl w:val="0"/>
        <w:suppressAutoHyphens/>
        <w:autoSpaceDE w:val="0"/>
        <w:spacing w:after="0" w:line="240" w:lineRule="auto"/>
        <w:ind w:left="-57" w:right="-60"/>
        <w:jc w:val="center"/>
        <w:rPr>
          <w:rFonts w:ascii="Calibri" w:eastAsia="Times New Roman" w:hAnsi="Calibri" w:cs="TimesNewRomanPSMT"/>
          <w:b/>
          <w:bCs/>
          <w:sz w:val="32"/>
          <w:szCs w:val="32"/>
          <w:lang w:val="uk-UA" w:eastAsia="zh-CN"/>
        </w:rPr>
      </w:pPr>
    </w:p>
    <w:p w:rsidR="005B2406" w:rsidRPr="00AB17A8" w:rsidRDefault="005B2406" w:rsidP="005B2406">
      <w:pPr>
        <w:widowControl w:val="0"/>
        <w:suppressAutoHyphens/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7A8">
        <w:rPr>
          <w:rFonts w:ascii="TimesNewRomanPSMT" w:eastAsia="Times New Roman" w:hAnsi="TimesNewRomanPSMT" w:cs="TimesNewRomanPSMT"/>
          <w:b/>
          <w:bCs/>
          <w:sz w:val="30"/>
          <w:szCs w:val="30"/>
          <w:lang w:val="uk-UA" w:eastAsia="zh-CN"/>
        </w:rPr>
        <w:t>до проекту Закону України «</w:t>
      </w:r>
      <w:r w:rsidRPr="00AB17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внесення змін до деяких законодавчих актів щодо  мораторію на стягнення майна громадян України, наданого як забезпечення кредитів в іноземній валюті</w:t>
      </w:r>
      <w:r w:rsidRPr="00AB17A8">
        <w:rPr>
          <w:rFonts w:ascii="TimesNewRomanPSMT" w:eastAsia="Times New Roman" w:hAnsi="TimesNewRomanPSMT" w:cs="TimesNewRomanPSMT"/>
          <w:b/>
          <w:bCs/>
          <w:kern w:val="1"/>
          <w:sz w:val="30"/>
          <w:szCs w:val="30"/>
          <w:lang w:val="uk-UA" w:eastAsia="zh-CN"/>
        </w:rPr>
        <w:t>»</w:t>
      </w:r>
    </w:p>
    <w:p w:rsidR="005B2406" w:rsidRPr="00AB17A8" w:rsidRDefault="005B2406" w:rsidP="005B2406">
      <w:pPr>
        <w:widowControl w:val="0"/>
        <w:suppressAutoHyphens/>
        <w:autoSpaceDE w:val="0"/>
        <w:spacing w:after="0"/>
        <w:ind w:left="-57" w:right="-60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zh-CN"/>
        </w:rPr>
      </w:pPr>
    </w:p>
    <w:tbl>
      <w:tblPr>
        <w:tblW w:w="154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09"/>
        <w:gridCol w:w="7713"/>
      </w:tblGrid>
      <w:tr w:rsidR="00016BDF" w:rsidRPr="00AB17A8" w:rsidTr="005F2ACE"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06" w:rsidRPr="00AB17A8" w:rsidRDefault="005B2406" w:rsidP="00515F91">
            <w:pPr>
              <w:widowControl w:val="0"/>
              <w:suppressAutoHyphens/>
              <w:autoSpaceDE w:val="0"/>
              <w:spacing w:before="60" w:after="60" w:line="252" w:lineRule="auto"/>
              <w:ind w:left="-57" w:right="-57"/>
              <w:jc w:val="center"/>
              <w:rPr>
                <w:rFonts w:ascii="TimesNewRomanPSMT" w:eastAsia="Times New Roman" w:hAnsi="TimesNewRomanPSMT" w:cs="TimesNewRomanPSMT"/>
                <w:b/>
                <w:bCs/>
                <w:kern w:val="1"/>
                <w:sz w:val="28"/>
                <w:szCs w:val="28"/>
                <w:lang w:val="uk-UA" w:eastAsia="zh-CN"/>
              </w:rPr>
            </w:pPr>
            <w:r w:rsidRPr="00AB17A8">
              <w:rPr>
                <w:rFonts w:ascii="TimesNewRomanPSMT" w:eastAsia="Times New Roman" w:hAnsi="TimesNewRomanPSMT" w:cs="TimesNewRomanPSMT"/>
                <w:b/>
                <w:bCs/>
                <w:kern w:val="1"/>
                <w:sz w:val="28"/>
                <w:szCs w:val="28"/>
                <w:lang w:val="uk-UA" w:eastAsia="zh-CN"/>
              </w:rPr>
              <w:t>Зміст положення (норми) чинного законодавства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06" w:rsidRPr="00AB17A8" w:rsidRDefault="005B2406" w:rsidP="00515F91">
            <w:pPr>
              <w:widowControl w:val="0"/>
              <w:suppressAutoHyphens/>
              <w:autoSpaceDE w:val="0"/>
              <w:spacing w:before="60" w:after="60" w:line="252" w:lineRule="auto"/>
              <w:ind w:left="-57" w:right="-57"/>
              <w:jc w:val="center"/>
              <w:rPr>
                <w:rFonts w:eastAsia="Times New Roman" w:cs="TimesNewRomanPSMT"/>
                <w:b/>
                <w:bCs/>
                <w:kern w:val="1"/>
                <w:sz w:val="28"/>
                <w:szCs w:val="28"/>
                <w:lang w:val="uk-UA" w:eastAsia="zh-CN"/>
              </w:rPr>
            </w:pPr>
            <w:r w:rsidRPr="00AB17A8">
              <w:rPr>
                <w:rFonts w:ascii="TimesNewRomanPSMT" w:eastAsia="Times New Roman" w:hAnsi="TimesNewRomanPSMT" w:cs="TimesNewRomanPSMT"/>
                <w:b/>
                <w:bCs/>
                <w:kern w:val="1"/>
                <w:sz w:val="28"/>
                <w:szCs w:val="28"/>
                <w:lang w:val="uk-UA" w:eastAsia="zh-CN"/>
              </w:rPr>
              <w:t>Зміст відповідного положення (норми) проекту акт</w:t>
            </w:r>
            <w:r w:rsidRPr="00AB17A8">
              <w:rPr>
                <w:rFonts w:eastAsia="Times New Roman" w:cs="TimesNewRomanPSMT"/>
                <w:b/>
                <w:bCs/>
                <w:kern w:val="1"/>
                <w:sz w:val="28"/>
                <w:szCs w:val="28"/>
                <w:lang w:val="uk-UA" w:eastAsia="zh-CN"/>
              </w:rPr>
              <w:t>у</w:t>
            </w:r>
          </w:p>
        </w:tc>
      </w:tr>
      <w:tr w:rsidR="00016BDF" w:rsidRPr="00AB17A8" w:rsidTr="005F2ACE">
        <w:tc>
          <w:tcPr>
            <w:tcW w:w="1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06" w:rsidRPr="00AB17A8" w:rsidRDefault="005B2406" w:rsidP="005B2406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bookmarkStart w:id="1" w:name="n10426"/>
            <w:bookmarkStart w:id="2" w:name="n10417"/>
            <w:bookmarkEnd w:id="1"/>
            <w:bookmarkEnd w:id="2"/>
            <w:r w:rsidRPr="00AB17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Закон України «Про мораторій на стягнення майна громадян України, наданого як забезпечення кредитів в іноземній валюті»</w:t>
            </w:r>
          </w:p>
        </w:tc>
      </w:tr>
      <w:tr w:rsidR="00016BDF" w:rsidRPr="00AB17A8" w:rsidTr="005F2ACE"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06" w:rsidRPr="00AB17A8" w:rsidRDefault="005B2406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>1. Протягом дії цього Закону:</w:t>
            </w:r>
          </w:p>
          <w:p w:rsidR="005B2406" w:rsidRPr="00AB17A8" w:rsidRDefault="005B2406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5B2406" w:rsidRPr="004C7888" w:rsidRDefault="005B2406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shd w:val="clear" w:color="auto" w:fill="FFFFFF"/>
                <w:lang w:val="uk-UA" w:eastAsia="zh-CN"/>
              </w:rPr>
            </w:pP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1) </w:t>
            </w:r>
            <w:r w:rsidRPr="004C7888"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shd w:val="clear" w:color="auto" w:fill="FFFFFF"/>
                <w:lang w:val="uk-UA" w:eastAsia="zh-CN"/>
              </w:rPr>
              <w:t>не може бути примусово стягнуте (відчужене без згоди власника) нерухоме житлове майно, яке вважається предметом застави згідно із статтею 4 Закону України "Про заставу" та/або предметом іпотеки згідно із статтею 5 Закону України "Про іпотеку", якщо таке майно виступає як забезпечення зобов’язань громадянина України (позичальника або майнового поручителя) за споживчими кредитами, наданими йому кредитними установами - резидентами України в іноземній валюті, та за умови, що:</w:t>
            </w:r>
          </w:p>
          <w:p w:rsidR="005B2406" w:rsidRPr="004C7888" w:rsidRDefault="005B2406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AB17A8" w:rsidRPr="004C7888" w:rsidRDefault="00AB17A8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5B2406" w:rsidRPr="004C7888" w:rsidRDefault="005B2406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shd w:val="clear" w:color="auto" w:fill="FFFFFF"/>
                <w:lang w:val="uk-UA" w:eastAsia="zh-CN"/>
              </w:rPr>
            </w:pPr>
            <w:r w:rsidRPr="004C7888"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shd w:val="clear" w:color="auto" w:fill="FFFFFF"/>
                <w:lang w:val="uk-UA" w:eastAsia="zh-CN"/>
              </w:rPr>
              <w:t xml:space="preserve">таке нерухоме житлове майно використовується як місце постійного проживання позичальника/майнового поручителя або є об’єктом незавершеного будівництва нерухомого житлового майна, яке перебуває в іпотеці, за умови, що у </w:t>
            </w:r>
            <w:r w:rsidRPr="004C7888"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shd w:val="clear" w:color="auto" w:fill="FFFFFF"/>
                <w:lang w:val="uk-UA" w:eastAsia="zh-CN"/>
              </w:rPr>
              <w:lastRenderedPageBreak/>
              <w:t>позичальника або майнового поручителя у власності не знаходиться інше нерухоме житлове майно;</w:t>
            </w:r>
          </w:p>
          <w:p w:rsidR="005B2406" w:rsidRDefault="005B2406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AB17A8" w:rsidRDefault="00AB17A8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AB17A8" w:rsidRDefault="00AB17A8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AB17A8" w:rsidRDefault="00AB17A8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AB17A8" w:rsidRDefault="00AB17A8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5B2406" w:rsidRDefault="005B2406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загальна площа такого нерухомого житлового майна (об’єкта незавершеного </w:t>
            </w:r>
            <w:r w:rsidRPr="004C7888"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shd w:val="clear" w:color="auto" w:fill="FFFFFF"/>
                <w:lang w:val="uk-UA" w:eastAsia="zh-CN"/>
              </w:rPr>
              <w:t>будівництва нерухомого</w:t>
            </w: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житлового майна) не перевищує 140 кв. метрів для квартири та 250 кв. метрів для житлового будинку;</w:t>
            </w:r>
          </w:p>
          <w:p w:rsidR="00AB17A8" w:rsidRDefault="00AB17A8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5B2406" w:rsidRPr="00AB17A8" w:rsidRDefault="005B2406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2) </w:t>
            </w:r>
            <w:r w:rsidRPr="004C7888"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shd w:val="clear" w:color="auto" w:fill="FFFFFF"/>
                <w:lang w:val="uk-UA" w:eastAsia="zh-CN"/>
              </w:rPr>
              <w:t>не може бути примусово стягнуте (відчужене без згоди власника) інше майно (майнові права), яке відповідно до законодавства або кредитного договору підлягає стягненню з позичальника, зазначеного у підпункті 1 цього пункту, при недостатності коштів, одержаних стягувачем від реалізації (переоцінки) предмета застави (іпотеки)</w:t>
            </w: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>;</w:t>
            </w:r>
          </w:p>
          <w:p w:rsidR="005B2406" w:rsidRPr="00AB17A8" w:rsidRDefault="005B2406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3) </w:t>
            </w:r>
            <w:r w:rsidRPr="004C7888"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shd w:val="clear" w:color="auto" w:fill="FFFFFF"/>
                <w:lang w:val="uk-UA" w:eastAsia="zh-CN"/>
              </w:rPr>
              <w:t>кредитна установа не може уступити (продати, передати) заборгованість або борг, визначений у підпункті 1 цього пункту, на користь (у власність) іншої особи.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06" w:rsidRPr="00AB17A8" w:rsidRDefault="005B2406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lastRenderedPageBreak/>
              <w:t>1. Протягом дії цього Закону:</w:t>
            </w:r>
          </w:p>
          <w:p w:rsidR="005B2406" w:rsidRPr="00AB17A8" w:rsidRDefault="005B2406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5B2406" w:rsidRPr="00AB17A8" w:rsidRDefault="005B2406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1) не може бути примусово </w:t>
            </w:r>
            <w:r w:rsidR="00643D4F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>звернуто стягнення</w:t>
            </w: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(відчужене без згоди власника) </w:t>
            </w:r>
            <w:r w:rsidR="00C52019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на</w:t>
            </w:r>
            <w:r w:rsidR="00C52019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  <w:r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майно, </w:t>
            </w:r>
            <w:r w:rsidR="00A00214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що віднесене до об’єктів житлового фонду</w:t>
            </w:r>
            <w:r w:rsidR="005F2ACE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(надалі - нерухоме житлове майно)</w:t>
            </w:r>
            <w:r w:rsidR="00643D4F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, </w:t>
            </w:r>
            <w:r w:rsidR="00643D4F" w:rsidRPr="00AB17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об’єкт незавершеного житлового будівництва</w:t>
            </w:r>
            <w:r w:rsidR="00643D4F" w:rsidRPr="00AB17A8">
              <w:rPr>
                <w:shd w:val="clear" w:color="auto" w:fill="FFFFFF"/>
                <w:lang w:val="uk-UA"/>
              </w:rPr>
              <w:t xml:space="preserve">, </w:t>
            </w:r>
            <w:r w:rsidR="00643D4F" w:rsidRPr="00AB17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майнові права на нього,</w:t>
            </w:r>
            <w:r w:rsidR="00A00214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  <w:r w:rsidR="00643D4F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що</w:t>
            </w:r>
            <w:r w:rsidR="00643D4F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>є предметом іпотеки згідно із статтею 5 Закону України "Про іпотеку", якщо таке майно</w:t>
            </w:r>
            <w:r w:rsidR="00643D4F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>/</w:t>
            </w:r>
            <w:r w:rsidR="00643D4F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об’єкт незавершеного житлового будівництва/майнові права</w:t>
            </w: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виступа</w:t>
            </w:r>
            <w:r w:rsidR="00643D4F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>ють</w:t>
            </w: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як забезпечення</w:t>
            </w:r>
            <w:r w:rsidR="00F9374D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виконання</w:t>
            </w: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зобов’язань </w:t>
            </w:r>
            <w:r w:rsidR="00A00214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фізичної особи</w:t>
            </w: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  <w:r w:rsidRPr="00AB17A8"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  <w:shd w:val="clear" w:color="auto" w:fill="FFFFFF"/>
                <w:lang w:val="uk-UA" w:eastAsia="zh-CN"/>
              </w:rPr>
              <w:t>(позичальника або майнового поручителя)</w:t>
            </w: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за кредитами, наданими йому кредитними установами - резидентами України в іноземній валюті, та за умови, що:</w:t>
            </w:r>
          </w:p>
          <w:p w:rsidR="002831B2" w:rsidRPr="00AB17A8" w:rsidRDefault="009B50D1" w:rsidP="00AB17A8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>т</w:t>
            </w:r>
            <w:r w:rsidR="005B2406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аке нерухоме житлове майно використовується як місце постійного </w:t>
            </w:r>
            <w:r w:rsidR="001A1112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проживання </w:t>
            </w:r>
            <w:r w:rsidR="005B2406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>позичальника/майнового поручителя</w:t>
            </w: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, </w:t>
            </w:r>
            <w:r w:rsidR="005B2406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або є об’єктом незавершеного </w:t>
            </w:r>
            <w:r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житлового </w:t>
            </w:r>
            <w:r w:rsidR="005B2406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>будівництва, за умови, що у позичальника або майнового поручителя у власності не знаходиться інш</w:t>
            </w:r>
            <w:r w:rsidR="005F2ACE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>ого</w:t>
            </w:r>
            <w:r w:rsidR="005B2406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нерухом</w:t>
            </w:r>
            <w:r w:rsidR="005F2ACE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>ого</w:t>
            </w:r>
            <w:r w:rsidR="005B2406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житлов</w:t>
            </w:r>
            <w:r w:rsidR="005F2ACE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ого майна; </w:t>
            </w:r>
            <w:r w:rsidR="005F2ACE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lastRenderedPageBreak/>
              <w:t>або</w:t>
            </w:r>
            <w:r w:rsidR="005F2ACE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  <w:r w:rsidR="005F2ACE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таке нерухоме житлове майно придбавалось частково або повністю за кредитні кошти і</w:t>
            </w:r>
            <w:r w:rsidR="002831B2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,</w:t>
            </w:r>
            <w:r w:rsidR="005F2ACE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при цьому</w:t>
            </w:r>
            <w:r w:rsidR="002831B2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,</w:t>
            </w:r>
            <w:r w:rsidR="005F2ACE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умовами кредитного договору передбачена заборона реєстрації </w:t>
            </w:r>
            <w:r w:rsidR="002831B2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місця проживання позичальника або майнового поручителя за адресою знаходження нерухомого житлового майна,</w:t>
            </w:r>
            <w:r w:rsidR="005F2ACE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  <w:r w:rsidR="002831B2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за умови, що у позичальника або майнового поручителя у власності не знаходиться іншого нерухомого житлового майна;</w:t>
            </w:r>
          </w:p>
          <w:p w:rsidR="005B2406" w:rsidRPr="00AB17A8" w:rsidRDefault="005B2406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>загальна площа такого нерухомого житлового майна (об’єкта незавершеного</w:t>
            </w:r>
            <w:r w:rsidR="002831B2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  <w:r w:rsidR="002831B2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житлового</w:t>
            </w:r>
            <w:r w:rsidR="002831B2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будівництва) не перевищує 140 квадратних метрів для квартири та 250 квадратних</w:t>
            </w: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метрів для житлового будинку;</w:t>
            </w:r>
          </w:p>
          <w:p w:rsidR="005B2406" w:rsidRPr="00AB17A8" w:rsidRDefault="005B2406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5B2406" w:rsidRPr="004C7888" w:rsidRDefault="00703C70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  <w:r w:rsidRPr="004C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2) крім майна/майнових прав, зазначених в пункті 1 цього Закону, не може бути примусово </w:t>
            </w:r>
            <w:r w:rsidR="005B2406" w:rsidRPr="004C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відчужене без згоди власника</w:t>
            </w:r>
            <w:r w:rsidRPr="004C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  <w:r w:rsidR="005B2406" w:rsidRPr="004C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  <w:r w:rsidRPr="004C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  <w:r w:rsidR="005B2406" w:rsidRPr="004C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інше майно (майнові права), </w:t>
            </w:r>
            <w:r w:rsidRPr="004C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в тому числі, за договорами застави/іпотеки</w:t>
            </w:r>
            <w:r w:rsidR="005B2406" w:rsidRPr="004C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або </w:t>
            </w:r>
            <w:r w:rsidRPr="004C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відповідно до </w:t>
            </w:r>
            <w:r w:rsidR="005B2406" w:rsidRPr="004C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кредитного договору</w:t>
            </w:r>
            <w:r w:rsidRPr="004C7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;</w:t>
            </w:r>
          </w:p>
          <w:p w:rsidR="005B2406" w:rsidRPr="00AB17A8" w:rsidRDefault="005B2406" w:rsidP="005B240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5B2406" w:rsidRPr="00AB17A8" w:rsidRDefault="005B2406" w:rsidP="00F9374D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  <w:r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3) кредитна установа не </w:t>
            </w:r>
            <w:r w:rsidR="00703C70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має права</w:t>
            </w:r>
            <w:r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  <w:r w:rsidR="00703C70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від</w:t>
            </w:r>
            <w:r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ступити (</w:t>
            </w:r>
            <w:r w:rsidR="00703C70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відчужити</w:t>
            </w:r>
            <w:r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)  на ко</w:t>
            </w:r>
            <w:r w:rsidR="00703C70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ристь (у власність) іншої особи свої права вимоги до позичальників за кредитами, забезпеченням за якими виступає майно/майнові права, зазначені в </w:t>
            </w:r>
            <w:r w:rsidR="00F9374D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під</w:t>
            </w:r>
            <w:r w:rsidR="00703C70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пункті 1 </w:t>
            </w:r>
            <w:r w:rsidR="00F9374D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цього пункту Закону</w:t>
            </w:r>
            <w:r w:rsidR="00703C70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.</w:t>
            </w:r>
          </w:p>
        </w:tc>
      </w:tr>
      <w:tr w:rsidR="00016BDF" w:rsidRPr="00AB17A8" w:rsidTr="005F2ACE"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06" w:rsidRPr="00AB17A8" w:rsidRDefault="003A5FED" w:rsidP="003A5FED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lastRenderedPageBreak/>
              <w:t xml:space="preserve">3. Цей Закон набирає чинності з дня його опублікування та втрачає чинність з дня набрання чинності законом, який врегульовує питання особливостей </w:t>
            </w:r>
            <w:r w:rsidRPr="004C7888"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shd w:val="clear" w:color="auto" w:fill="FFFFFF"/>
                <w:lang w:val="uk-UA" w:eastAsia="zh-CN"/>
              </w:rPr>
              <w:t xml:space="preserve">погашення основної суми </w:t>
            </w:r>
            <w:r w:rsidRPr="004C7888"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shd w:val="clear" w:color="auto" w:fill="FFFFFF"/>
                <w:lang w:val="uk-UA" w:eastAsia="zh-CN"/>
              </w:rPr>
              <w:lastRenderedPageBreak/>
              <w:t>заборгованості, вираженої в іноземній валюті, порядок погашення (урахування) курсової різниці, що виникає у бухгалтерському та/або податковому обліку кредиторів та позичальників, а також порядок списання пені та штрафів, які нараховуються (були нараховані) на таку основну суму заборгованості.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06" w:rsidRPr="00AB17A8" w:rsidRDefault="00746F89" w:rsidP="00B37B5A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lastRenderedPageBreak/>
              <w:t xml:space="preserve">3. Цей Закон набирає чинності з дня його опублікування та втрачає чинність з дня набрання чинності законом, який врегульовує питання особливостей </w:t>
            </w:r>
            <w:r w:rsidR="00B37B5A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здійснення </w:t>
            </w:r>
            <w:r w:rsidR="00B37B5A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lastRenderedPageBreak/>
              <w:t>реструктуризації</w:t>
            </w:r>
            <w:r w:rsidR="00B37B5A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  <w:r w:rsidR="00B37B5A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за кредитами в іноземній валюті, наданими кредитними установами – резидентами України фізичним особам</w:t>
            </w:r>
            <w:r w:rsidR="00B37B5A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>,</w:t>
            </w: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  <w:r w:rsidR="00B37B5A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порядок погашення заборгованості позичальників за такими кредитами та особливості звернення стягнення на предмети забезпечення за такими кредитами</w:t>
            </w:r>
            <w:r w:rsidR="00B37B5A"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, </w:t>
            </w: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порядок погашення (урахування) курсової різниці, що виникає у бухгалтерському та/або податковому обліку кредиторів та позичальників, а також </w:t>
            </w:r>
            <w:r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порядок </w:t>
            </w:r>
            <w:r w:rsidR="00B37B5A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нарахування/списання </w:t>
            </w:r>
            <w:r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пені та штрафів</w:t>
            </w:r>
            <w:r w:rsidR="00B37B5A"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 внаслідок прострочення виконання зобов’язань позичальників за такими кредитами.</w:t>
            </w:r>
          </w:p>
        </w:tc>
      </w:tr>
      <w:tr w:rsidR="00016BDF" w:rsidRPr="004C7888" w:rsidTr="005F2ACE"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406" w:rsidRPr="00AB17A8" w:rsidRDefault="003A5FED" w:rsidP="003A5FED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lastRenderedPageBreak/>
              <w:t>7. Дія підпункту 3 пункту 1 цього Закону не поширюється на банки</w:t>
            </w:r>
            <w:r w:rsidRPr="004C788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, </w:t>
            </w:r>
            <w:r w:rsidRPr="004C7888"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shd w:val="clear" w:color="auto" w:fill="FFFFFF"/>
                <w:lang w:val="uk-UA" w:eastAsia="zh-CN"/>
              </w:rPr>
              <w:t>віднесені до категорії неплатоспроможних та щодо яких здійснюються процедури виведення з ринку відповідно до Закону України "Про систему гарантування вкладів фізичних осіб", у частині уступки (продажу, передачі) заборгованості або боргу на користь (у власність) іншої особи.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406" w:rsidRPr="00AB17A8" w:rsidRDefault="00B93586" w:rsidP="00B93586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7. Дія підпункту 3 пункту 1 цього Закону не поширюється на банки, щодо яких здійснюються процедури виведення з ринку відповідно до Закону України "Про систему гарантування вкладів фізичних осіб", у частині </w:t>
            </w:r>
            <w:r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відступлення (відчуження)  на користь (у власність) іншої особи (інших осіб) своїх прав  вимоги до позичальників за кредитами, забезпеченням за якими виступає майно/майнові права, зазначені в пункті 1 цього Закону</w:t>
            </w:r>
            <w:r w:rsidRPr="00AB17A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zh-CN"/>
              </w:rPr>
              <w:t xml:space="preserve">. </w:t>
            </w:r>
            <w:r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Після відступлення (відчуження)</w:t>
            </w:r>
            <w:r w:rsidRPr="00AB17A8">
              <w:rPr>
                <w:b/>
                <w:lang w:val="uk-UA"/>
              </w:rPr>
              <w:t xml:space="preserve"> </w:t>
            </w:r>
            <w:r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на користь (у власність) іншої особи (інших осіб)  банком,  щодо якого здійснюється процедура виведення з ринку відповідно до Закону України "Про систему гарантування вкладів фізичних осіб" прав  вимоги до позичальників за кредитами, забезпеченням за якими виступає майно/майнові права, зазначені в пункті 1 цього Закону,  дія пункту 1 цього Закону поширюється  й на особу , що придбала (прийняла, отримала) таке право вимоги.</w:t>
            </w:r>
          </w:p>
        </w:tc>
      </w:tr>
      <w:tr w:rsidR="00016BDF" w:rsidRPr="00AB17A8" w:rsidTr="006C4A84">
        <w:tc>
          <w:tcPr>
            <w:tcW w:w="1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5A" w:rsidRPr="00AB17A8" w:rsidRDefault="00B37B5A" w:rsidP="00B37B5A">
            <w:pPr>
              <w:widowControl w:val="0"/>
              <w:suppressAutoHyphens/>
              <w:spacing w:after="60" w:line="252" w:lineRule="auto"/>
              <w:ind w:left="-57" w:right="-57" w:firstLine="48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B37B5A" w:rsidRPr="00AB17A8" w:rsidRDefault="00B37B5A" w:rsidP="00B37B5A">
            <w:pPr>
              <w:widowControl w:val="0"/>
              <w:suppressAutoHyphens/>
              <w:spacing w:after="60" w:line="252" w:lineRule="auto"/>
              <w:ind w:left="-57" w:right="-57" w:firstLine="48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  <w:r w:rsidRPr="00AB1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  <w:t>Кодекс України з процедур банкрутства</w:t>
            </w:r>
          </w:p>
        </w:tc>
      </w:tr>
      <w:tr w:rsidR="00016BDF" w:rsidRPr="00AB17A8" w:rsidTr="005F2ACE"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A57" w:rsidRPr="00AB17A8" w:rsidRDefault="00712A57" w:rsidP="00712A5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1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З дня введення в дію цього Кодексу визнати такими, що втратили чинність:</w:t>
            </w:r>
          </w:p>
          <w:bookmarkStart w:id="3" w:name="n1753"/>
          <w:bookmarkEnd w:id="3"/>
          <w:p w:rsidR="00712A57" w:rsidRPr="00AB17A8" w:rsidRDefault="00712A57" w:rsidP="00712A5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1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begin"/>
            </w:r>
            <w:r w:rsidRPr="00AB1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instrText xml:space="preserve"> HYPERLINK "https://zakon.rada.gov.ua/laws/show/2343-12" \t "_blank" </w:instrText>
            </w:r>
            <w:r w:rsidRPr="00AB1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separate"/>
            </w:r>
            <w:r w:rsidRPr="00AB1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</w:t>
            </w:r>
            <w:r w:rsidRPr="00AB1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end"/>
            </w:r>
            <w:r w:rsidRPr="00AB1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"Про відновлення платоспроможності боржника або визнання його банкрутом" (Відомості Верховної Ради України, 1992 р., № 31, ст. 440 із наступними змінами);</w:t>
            </w:r>
          </w:p>
          <w:bookmarkStart w:id="4" w:name="n1754"/>
          <w:bookmarkEnd w:id="4"/>
          <w:p w:rsidR="00712A57" w:rsidRPr="00AB17A8" w:rsidRDefault="00712A57" w:rsidP="00712A5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1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begin"/>
            </w:r>
            <w:r w:rsidRPr="00AB1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instrText xml:space="preserve"> HYPERLINK "https://zakon.rada.gov.ua/laws/show/2344-12" \t "_blank" </w:instrText>
            </w:r>
            <w:r w:rsidRPr="00AB1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separate"/>
            </w:r>
            <w:r w:rsidRPr="00AB1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Постанову Верховної Ради України</w:t>
            </w:r>
            <w:r w:rsidRPr="00AB1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end"/>
            </w:r>
            <w:r w:rsidRPr="00AB1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"Про введення в дію Закону України "Про банкрутство" (Відомості Верховної Ради України, 1992 р., № 31, ст. 441).</w:t>
            </w:r>
          </w:p>
          <w:bookmarkStart w:id="5" w:name="n1755"/>
          <w:bookmarkEnd w:id="5"/>
          <w:p w:rsidR="00712A57" w:rsidRPr="004C7888" w:rsidRDefault="00712A57" w:rsidP="00712A5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</w:pPr>
            <w:r w:rsidRPr="004C7888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fldChar w:fldCharType="begin"/>
            </w:r>
            <w:r w:rsidRPr="004C7888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instrText xml:space="preserve"> HYPERLINK "https://zakon.rada.gov.ua/laws/show/1304-18" \t "_blank" </w:instrText>
            </w:r>
            <w:r w:rsidRPr="004C7888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fldChar w:fldCharType="separate"/>
            </w:r>
            <w:r w:rsidRPr="004C7888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t>Закон України</w:t>
            </w:r>
            <w:r w:rsidRPr="004C7888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fldChar w:fldCharType="end"/>
            </w:r>
            <w:r w:rsidRPr="004C7888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t> "Про </w:t>
            </w:r>
            <w:bookmarkStart w:id="6" w:name="w140"/>
            <w:r w:rsidRPr="004C7888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fldChar w:fldCharType="begin"/>
            </w:r>
            <w:r w:rsidRPr="004C7888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instrText xml:space="preserve"> HYPERLINK "https://zakon.rada.gov.ua/laws/show/2597-19?find=1&amp;text=%D0%BC%D0%BE%D1%80%D0%B0%D1%82%D0%BE%D1%80%D1%96" \l "w141" </w:instrText>
            </w:r>
            <w:r w:rsidRPr="004C7888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fldChar w:fldCharType="separate"/>
            </w:r>
            <w:r w:rsidRPr="004C7888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t>мораторі</w:t>
            </w:r>
            <w:r w:rsidRPr="004C7888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fldChar w:fldCharType="end"/>
            </w:r>
            <w:bookmarkEnd w:id="6"/>
            <w:r w:rsidRPr="004C7888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uk-UA" w:eastAsia="ru-RU"/>
              </w:rPr>
              <w:t>й на стягнення майна громадян України, наданого як забезпечення кредитів в іноземній валюті" (Відомості Верховної Ради України, 2014 р., № 28, ст. 940; 2015 р., № 43, ст. 386) втрачає чинність через один рік з дня введення в дію цього Кодексу.</w:t>
            </w:r>
          </w:p>
          <w:p w:rsidR="00B37B5A" w:rsidRPr="00AB17A8" w:rsidRDefault="00B37B5A" w:rsidP="00515F91">
            <w:pPr>
              <w:widowControl w:val="0"/>
              <w:suppressAutoHyphens/>
              <w:spacing w:after="60" w:line="252" w:lineRule="auto"/>
              <w:ind w:left="-57" w:right="-57" w:firstLine="48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A57" w:rsidRPr="00AB17A8" w:rsidRDefault="00712A57" w:rsidP="00712A5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1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З дня введення в дію цього Кодексу визнати такими, що втратили чинність:</w:t>
            </w:r>
          </w:p>
          <w:p w:rsidR="00712A57" w:rsidRPr="00AB17A8" w:rsidRDefault="00345190" w:rsidP="00712A5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tgtFrame="_blank" w:history="1">
              <w:r w:rsidR="00712A57" w:rsidRPr="00AB17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 України</w:t>
              </w:r>
            </w:hyperlink>
            <w:r w:rsidR="00712A57" w:rsidRPr="00AB1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"Про відновлення платоспроможності боржника або визнання його банкрутом" (Відомості Верховної Ради України, 1992 р., № 31, ст. 440 із наступними змінами);</w:t>
            </w:r>
          </w:p>
          <w:p w:rsidR="00712A57" w:rsidRPr="00AB17A8" w:rsidRDefault="00345190" w:rsidP="00712A5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0" w:tgtFrame="_blank" w:history="1">
              <w:r w:rsidR="00712A57" w:rsidRPr="00AB17A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Постанову Верховної Ради України</w:t>
              </w:r>
            </w:hyperlink>
            <w:r w:rsidR="00712A57" w:rsidRPr="00AB17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"Про введення в дію Закону України "Про банкрутство" (Відомості Верховної Ради України, 1992 р., № 31, ст. 441).</w:t>
            </w:r>
          </w:p>
          <w:p w:rsidR="00B37B5A" w:rsidRPr="00AB17A8" w:rsidRDefault="00B37B5A" w:rsidP="00712A5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</w:tbl>
    <w:p w:rsidR="005B2406" w:rsidRDefault="005B2406" w:rsidP="005B2406">
      <w:pPr>
        <w:widowControl w:val="0"/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7" w:name="n11948"/>
      <w:bookmarkEnd w:id="7"/>
    </w:p>
    <w:p w:rsidR="004C7888" w:rsidRPr="00AB17A8" w:rsidRDefault="004C7888" w:rsidP="005B2406">
      <w:pPr>
        <w:widowControl w:val="0"/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B2406" w:rsidRPr="00AB17A8" w:rsidRDefault="005B2406" w:rsidP="005B2406">
      <w:pPr>
        <w:widowControl w:val="0"/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B2406" w:rsidRPr="00AB17A8" w:rsidRDefault="005B2406" w:rsidP="00F7690F">
      <w:pPr>
        <w:widowControl w:val="0"/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Народний депутат України</w:t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="00F7690F"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</w:t>
      </w:r>
      <w:r w:rsidR="00AB17A8" w:rsidRPr="004C78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</w:t>
      </w:r>
      <w:r w:rsidR="00F7690F"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    О.А. Дубінський</w:t>
      </w:r>
    </w:p>
    <w:p w:rsidR="00F7690F" w:rsidRPr="00AB17A8" w:rsidRDefault="00F7690F" w:rsidP="00F7690F">
      <w:pPr>
        <w:widowControl w:val="0"/>
        <w:suppressAutoHyphens/>
        <w:autoSpaceDE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                                               </w:t>
      </w:r>
      <w:r w:rsidR="00AB17A8" w:rsidRPr="004C78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</w:t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(посвідчення № 300)</w:t>
      </w:r>
    </w:p>
    <w:p w:rsidR="005B2406" w:rsidRPr="00AB17A8" w:rsidRDefault="005B2406" w:rsidP="005B2406">
      <w:pPr>
        <w:widowControl w:val="0"/>
        <w:suppressAutoHyphens/>
        <w:autoSpaceDE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  <w:r w:rsidRPr="00AB17A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</w:p>
    <w:p w:rsidR="005B2406" w:rsidRPr="00AB17A8" w:rsidRDefault="005B2406" w:rsidP="005B2406">
      <w:pPr>
        <w:widowControl w:val="0"/>
        <w:suppressAutoHyphens/>
        <w:spacing w:after="160" w:line="256" w:lineRule="auto"/>
        <w:rPr>
          <w:rFonts w:ascii="Calibri" w:eastAsia="Times New Roman" w:hAnsi="Calibri" w:cs="Times New Roman"/>
          <w:lang w:val="uk-UA" w:eastAsia="zh-CN"/>
        </w:rPr>
      </w:pPr>
    </w:p>
    <w:sectPr w:rsidR="005B2406" w:rsidRPr="00AB17A8" w:rsidSect="00A92774">
      <w:headerReference w:type="default" r:id="rId11"/>
      <w:footerReference w:type="default" r:id="rId12"/>
      <w:pgSz w:w="16838" w:h="11906"/>
      <w:pgMar w:top="1418" w:right="851" w:bottom="851" w:left="851" w:header="709" w:footer="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90" w:rsidRDefault="00345190">
      <w:pPr>
        <w:spacing w:after="0" w:line="240" w:lineRule="auto"/>
      </w:pPr>
      <w:r>
        <w:separator/>
      </w:r>
    </w:p>
  </w:endnote>
  <w:endnote w:type="continuationSeparator" w:id="0">
    <w:p w:rsidR="00345190" w:rsidRDefault="0034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E7" w:rsidRPr="00B43E82" w:rsidRDefault="00712A57">
    <w:pPr>
      <w:pStyle w:val="a5"/>
      <w:jc w:val="center"/>
      <w:rPr>
        <w:rFonts w:ascii="Times New Roman" w:hAnsi="Times New Roman"/>
        <w:sz w:val="24"/>
        <w:szCs w:val="24"/>
      </w:rPr>
    </w:pPr>
    <w:r w:rsidRPr="00B43E82">
      <w:rPr>
        <w:rFonts w:ascii="Times New Roman" w:hAnsi="Times New Roman"/>
        <w:sz w:val="24"/>
        <w:szCs w:val="24"/>
      </w:rPr>
      <w:fldChar w:fldCharType="begin"/>
    </w:r>
    <w:r w:rsidRPr="00B43E82">
      <w:rPr>
        <w:rFonts w:ascii="Times New Roman" w:hAnsi="Times New Roman"/>
        <w:sz w:val="24"/>
        <w:szCs w:val="24"/>
      </w:rPr>
      <w:instrText xml:space="preserve"> PAGE </w:instrText>
    </w:r>
    <w:r w:rsidRPr="00B43E82">
      <w:rPr>
        <w:rFonts w:ascii="Times New Roman" w:hAnsi="Times New Roman"/>
        <w:sz w:val="24"/>
        <w:szCs w:val="24"/>
      </w:rPr>
      <w:fldChar w:fldCharType="separate"/>
    </w:r>
    <w:r w:rsidR="008349B1">
      <w:rPr>
        <w:rFonts w:ascii="Times New Roman" w:hAnsi="Times New Roman"/>
        <w:noProof/>
        <w:sz w:val="24"/>
        <w:szCs w:val="24"/>
      </w:rPr>
      <w:t>2</w:t>
    </w:r>
    <w:r w:rsidRPr="00B43E82">
      <w:rPr>
        <w:rFonts w:ascii="Times New Roman" w:hAnsi="Times New Roman"/>
        <w:sz w:val="24"/>
        <w:szCs w:val="24"/>
      </w:rPr>
      <w:fldChar w:fldCharType="end"/>
    </w:r>
  </w:p>
  <w:p w:rsidR="009A5BE7" w:rsidRDefault="003451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90" w:rsidRDefault="00345190">
      <w:pPr>
        <w:spacing w:after="0" w:line="240" w:lineRule="auto"/>
      </w:pPr>
      <w:r>
        <w:separator/>
      </w:r>
    </w:p>
  </w:footnote>
  <w:footnote w:type="continuationSeparator" w:id="0">
    <w:p w:rsidR="00345190" w:rsidRDefault="0034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E7" w:rsidRDefault="00712A57">
    <w:pPr>
      <w:pStyle w:val="a3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6AA369" wp14:editId="6E0BD0F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791065" cy="17018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06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BE7" w:rsidRDefault="00345190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AA369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0;width:770.95pt;height:13.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" stroked="f">
              <v:fill opacity="0"/>
              <v:textbox inset="0,0,0,0">
                <w:txbxContent>
                  <w:p w:rsidR="009A5BE7" w:rsidRDefault="00F43E25">
                    <w:pPr>
                      <w:pStyle w:val="a3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06"/>
    <w:rsid w:val="000067EC"/>
    <w:rsid w:val="00016BDF"/>
    <w:rsid w:val="000A72D6"/>
    <w:rsid w:val="001A1112"/>
    <w:rsid w:val="002831B2"/>
    <w:rsid w:val="00345190"/>
    <w:rsid w:val="003A5FED"/>
    <w:rsid w:val="00492EAF"/>
    <w:rsid w:val="004C7888"/>
    <w:rsid w:val="005B2406"/>
    <w:rsid w:val="005F2ACE"/>
    <w:rsid w:val="00643D4F"/>
    <w:rsid w:val="00703C70"/>
    <w:rsid w:val="00712A57"/>
    <w:rsid w:val="007167C3"/>
    <w:rsid w:val="00746F89"/>
    <w:rsid w:val="00806840"/>
    <w:rsid w:val="008349B1"/>
    <w:rsid w:val="009B50D1"/>
    <w:rsid w:val="00A00214"/>
    <w:rsid w:val="00AB17A8"/>
    <w:rsid w:val="00B37B5A"/>
    <w:rsid w:val="00B93586"/>
    <w:rsid w:val="00B93B60"/>
    <w:rsid w:val="00BC5548"/>
    <w:rsid w:val="00C52019"/>
    <w:rsid w:val="00E67F78"/>
    <w:rsid w:val="00F43E25"/>
    <w:rsid w:val="00F7690F"/>
    <w:rsid w:val="00F9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390E-D683-45D9-BA88-954C5BD7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5B2406"/>
  </w:style>
  <w:style w:type="paragraph" w:styleId="a5">
    <w:name w:val="footer"/>
    <w:basedOn w:val="a"/>
    <w:link w:val="a6"/>
    <w:uiPriority w:val="99"/>
    <w:semiHidden/>
    <w:unhideWhenUsed/>
    <w:rsid w:val="005B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5B2406"/>
  </w:style>
  <w:style w:type="paragraph" w:customStyle="1" w:styleId="rvps2">
    <w:name w:val="rvps2"/>
    <w:basedOn w:val="a"/>
    <w:rsid w:val="005B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B2406"/>
  </w:style>
  <w:style w:type="character" w:styleId="a7">
    <w:name w:val="Hyperlink"/>
    <w:basedOn w:val="a0"/>
    <w:uiPriority w:val="99"/>
    <w:unhideWhenUsed/>
    <w:rsid w:val="004C7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344-12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2343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FAC35-79BD-4CCA-93BE-C5F9A715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18863C-0454-4362-812D-CA7006C3A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46493-6220-4E4F-AE7B-17791A3C9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5217</Words>
  <Characters>2975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2020-06-12T15:35:00Z</dcterms:created>
  <dcterms:modified xsi:type="dcterms:W3CDTF">2020-06-12T15:35:00Z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