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02" w:rsidRDefault="006779A0">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ПОЯСНЮВАЛЬНА ЗАПИСКА</w:t>
      </w:r>
    </w:p>
    <w:p w:rsidR="00766A02" w:rsidRDefault="006779A0">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до проєкту Закону України</w:t>
      </w:r>
    </w:p>
    <w:p w:rsidR="00766A02" w:rsidRDefault="006779A0">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особливості реформування підприємств оборонно-промислового комплексу державної форми власності»</w:t>
      </w:r>
    </w:p>
    <w:p w:rsidR="00766A02" w:rsidRDefault="00766A02">
      <w:pPr>
        <w:spacing w:line="240" w:lineRule="auto"/>
        <w:ind w:firstLine="851"/>
        <w:jc w:val="both"/>
        <w:rPr>
          <w:rFonts w:ascii="Times New Roman" w:hAnsi="Times New Roman" w:cs="Times New Roman"/>
          <w:b/>
          <w:sz w:val="28"/>
          <w:szCs w:val="28"/>
          <w:lang w:val="uk-UA"/>
        </w:rPr>
      </w:pPr>
    </w:p>
    <w:p w:rsidR="00F64031" w:rsidRPr="00F64031" w:rsidRDefault="00F64031" w:rsidP="00F64031">
      <w:pPr>
        <w:spacing w:line="240" w:lineRule="auto"/>
        <w:ind w:firstLine="851"/>
        <w:jc w:val="both"/>
        <w:rPr>
          <w:rFonts w:ascii="Times New Roman" w:hAnsi="Times New Roman" w:cs="Times New Roman"/>
          <w:b/>
          <w:bCs/>
          <w:sz w:val="28"/>
          <w:szCs w:val="28"/>
          <w:lang w:val="uk-UA"/>
        </w:rPr>
      </w:pPr>
      <w:r w:rsidRPr="00F64031">
        <w:rPr>
          <w:rFonts w:ascii="Times New Roman" w:hAnsi="Times New Roman" w:cs="Times New Roman"/>
          <w:b/>
          <w:bCs/>
          <w:sz w:val="28"/>
          <w:szCs w:val="28"/>
          <w:lang w:val="uk-UA"/>
        </w:rPr>
        <w:t>1. Обґрунтування необхідності прийняття законопроекту</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Кабінет Міністрів України своїм розпорядженням від 27.05.2015 №662 схвалив Стратегію підвищення ефективності діяльності суб'єктів господарювання державного сектору економіки (далі – Стратегія), розділом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якої визначена стратегія реструктуризації деяких суб’єктів господарювання, відповідно до якої </w:t>
      </w:r>
      <w:r>
        <w:rPr>
          <w:rFonts w:ascii="Times New Roman" w:hAnsi="Times New Roman" w:cs="Times New Roman"/>
          <w:bCs/>
          <w:sz w:val="28"/>
          <w:szCs w:val="28"/>
          <w:lang w:val="uk-UA"/>
        </w:rPr>
        <w:t>державні унітарні підприємства, які виконують переважно комерційні функції, повинні бути перетворені у державні акціонерні товариства,</w:t>
      </w:r>
      <w:r>
        <w:rPr>
          <w:rFonts w:ascii="Times New Roman" w:hAnsi="Times New Roman" w:cs="Times New Roman"/>
          <w:sz w:val="28"/>
          <w:szCs w:val="28"/>
          <w:lang w:val="uk-UA"/>
        </w:rPr>
        <w:t xml:space="preserve"> що сприятиме впровадженню культури акціонерного управління, у тому числі розмежуванню державних функцій з управління об'єктами державної власності і регуляторних функцій, впровадженню потужного корпоративного управління та удосконаленню порядку підзвітності керівництва.</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Після перетворення державних унітарних комерційних підприємств у державні акціонерні товариства подальше підвищення ефективності суб'єктів господарювання передбачається досягнути шляхом впровадження засад корпоративного управління згідно зі Стратегією.</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структурної перебудови та забезпечення розвитку інституційної спроможності ОПК, зокрема, шляхом проведення корпоратизації та запровадження моделі корпоративного управління підприємствами передбачено також Стратегією розвитку оборонно-промислового комплексу України на період до 2028 року, схваленою розпорядженням Кабінету Міністрів України від 20.06.2018 №442-р.</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Основних засад впровадження політики власності щодо суб’єктів господарювання державного сектору економіки, затверджених 10.10.2018</w:t>
      </w:r>
      <w:r>
        <w:rPr>
          <w:rFonts w:ascii="Times New Roman" w:hAnsi="Times New Roman" w:cs="Times New Roman"/>
          <w:sz w:val="28"/>
          <w:szCs w:val="28"/>
        </w:rPr>
        <w:t> </w:t>
      </w:r>
      <w:r>
        <w:rPr>
          <w:rFonts w:ascii="Times New Roman" w:hAnsi="Times New Roman" w:cs="Times New Roman"/>
          <w:sz w:val="28"/>
          <w:szCs w:val="28"/>
          <w:lang w:val="uk-UA"/>
        </w:rPr>
        <w:t xml:space="preserve"> Кабінетом Міністрів України,</w:t>
      </w:r>
      <w:r>
        <w:rPr>
          <w:rFonts w:ascii="Times New Roman" w:eastAsia="Times New Roman" w:hAnsi="Times New Roman" w:cs="Times New Roman"/>
          <w:sz w:val="28"/>
          <w:szCs w:val="28"/>
          <w:lang w:val="uk-UA"/>
        </w:rPr>
        <w:t xml:space="preserve"> суб’єкти господарювання мають здійснювати свою комерційну діяльність у відповідності до загальних положень діяльності недержавних суб’єктів господарювання, на конкурентних умовах та за комерційними принципами. Держава вживає заходів щодо перетворення державних унітарних підприємств в акціонерні товариства, 100% акцій  яких належить державі.</w:t>
      </w:r>
      <w:r>
        <w:rPr>
          <w:rFonts w:ascii="Times New Roman" w:hAnsi="Times New Roman" w:cs="Times New Roman"/>
          <w:sz w:val="28"/>
          <w:szCs w:val="28"/>
          <w:lang w:val="uk-UA"/>
        </w:rPr>
        <w:t xml:space="preserve"> Особливо важливі для економіки України підприємства мають бути перетворені з державних унітарних підприємств в акціонерні товариства, 100% акцій яких належить державі.</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Підпунктом «б» пункту 1 Указу Президента України від 08.11.2019 №837/2019 «Про невідкладні заходи з проведення реформ та  зміцнення держави» Кабінету Міністрів України доручено вжити заходів стосовно запровадження та забезпечення відповідності стандартам корпоративного управління, затвердженим Організацією економічного співробітництва та розвитку (далі – ОЕСР), на найбільших десяти державних підприємствах.</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засіданні Кабінету Міністрів України 18 грудня 2019 року був підтриманий розроблений Мінекономіки план заходів щодо приведення системи управління у найбільших особливо важливих для економіки суб’єктах господарювання, у тому числі у Концерні, у відповідність із стандартами корпоративного управління ОЕСР. Також суб’єктам управління об’єктами державної власності, у тому числі Концерну, доручено забезпечити впровадження стандартів корпоративного управління ОЕСР, розроблення та затвердження політики власності щодо інших особливо важливих для економіки суб’єктів господарювання.</w:t>
      </w:r>
    </w:p>
    <w:p w:rsidR="00A21D80" w:rsidRDefault="00A21D80" w:rsidP="00A21D80">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Указом Президента України від 27.02.2020 №59/2020 «</w:t>
      </w:r>
      <w:r>
        <w:rPr>
          <w:rFonts w:ascii="Times New Roman" w:hAnsi="Times New Roman" w:cs="Times New Roman"/>
          <w:sz w:val="28"/>
          <w:szCs w:val="28"/>
          <w:shd w:val="clear" w:color="auto" w:fill="FFFFFF"/>
          <w:lang w:val="uk-UA"/>
        </w:rPr>
        <w:t xml:space="preserve">Про рішення Ради національної безпеки і оборони України від 18 лютого 2020 року «Про основні показники державного оборонного замовлення на 2020 рік та 2021, 2022 роки» Кабінету Міністрів України доручено подати законопроекти щодо </w:t>
      </w:r>
      <w:r>
        <w:rPr>
          <w:rFonts w:ascii="Times New Roman" w:hAnsi="Times New Roman" w:cs="Times New Roman"/>
          <w:sz w:val="28"/>
          <w:szCs w:val="28"/>
          <w:lang w:val="uk-UA"/>
        </w:rPr>
        <w:t>особливостей перетворення державних унітарних комерційних підприємств ОПК в акціонерні товариства та їх приватизації; фінансового оздоровлення та підтримки підприємств ОПК.</w:t>
      </w:r>
    </w:p>
    <w:p w:rsidR="00A21D80" w:rsidRDefault="00A21D80" w:rsidP="00A21D8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реалізацію вищезазначених документів з метою </w:t>
      </w:r>
      <w:r>
        <w:rPr>
          <w:rFonts w:ascii="Times New Roman" w:eastAsia="Times New Roman" w:hAnsi="Times New Roman" w:cs="Times New Roman"/>
          <w:sz w:val="28"/>
          <w:szCs w:val="28"/>
          <w:lang w:val="uk-UA"/>
        </w:rPr>
        <w:t>запровадження корпоративної моделі управління об’єктами державної власності в ОПК</w:t>
      </w:r>
      <w:r>
        <w:rPr>
          <w:rFonts w:ascii="Times New Roman" w:hAnsi="Times New Roman" w:cs="Times New Roman"/>
          <w:sz w:val="28"/>
          <w:szCs w:val="28"/>
          <w:lang w:val="uk-UA"/>
        </w:rPr>
        <w:t xml:space="preserve"> Концерном розроблено проєкт Закону України «Про особливості реформування підприємств оборонно-промислового комплексу державної форми власності» (далі – проєкт акта), який має на меті врегулювати процедурні питання реформування Концерну та його учасників, а також вирішити проблемні питання, які виникнуть в процесі такого реформування.</w:t>
      </w:r>
    </w:p>
    <w:p w:rsidR="00F64031" w:rsidRDefault="00F64031" w:rsidP="00F64031">
      <w:pPr>
        <w:shd w:val="clear" w:color="auto" w:fill="FFFFFF"/>
        <w:spacing w:after="0" w:line="240" w:lineRule="auto"/>
        <w:ind w:right="450" w:firstLine="851"/>
        <w:jc w:val="both"/>
        <w:textAlignment w:val="baseline"/>
        <w:rPr>
          <w:rFonts w:ascii="Times New Roman" w:hAnsi="Times New Roman" w:cs="Times New Roman"/>
          <w:sz w:val="28"/>
          <w:szCs w:val="28"/>
          <w:lang w:val="uk-UA"/>
        </w:rPr>
      </w:pPr>
    </w:p>
    <w:p w:rsidR="00F64031" w:rsidRPr="00F64031" w:rsidRDefault="00F64031" w:rsidP="00F64031">
      <w:pPr>
        <w:spacing w:line="240" w:lineRule="auto"/>
        <w:ind w:firstLine="851"/>
        <w:jc w:val="both"/>
        <w:rPr>
          <w:rFonts w:ascii="Times New Roman" w:hAnsi="Times New Roman" w:cs="Times New Roman"/>
          <w:b/>
          <w:bCs/>
          <w:sz w:val="28"/>
          <w:szCs w:val="28"/>
        </w:rPr>
      </w:pPr>
      <w:r w:rsidRPr="00F64031">
        <w:rPr>
          <w:rFonts w:ascii="Times New Roman" w:hAnsi="Times New Roman" w:cs="Times New Roman"/>
          <w:b/>
          <w:bCs/>
          <w:sz w:val="28"/>
          <w:szCs w:val="28"/>
        </w:rPr>
        <w:t>2. Ціль та завдання законопроекту</w:t>
      </w:r>
    </w:p>
    <w:p w:rsidR="00CF45CE" w:rsidRDefault="00CF45CE" w:rsidP="00CF45CE">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Проєкт акта розроблено з метою визначення особливостей </w:t>
      </w:r>
      <w:r>
        <w:rPr>
          <w:rFonts w:ascii="Times New Roman" w:eastAsia="Times New Roman" w:hAnsi="Times New Roman" w:cs="Times New Roman"/>
          <w:sz w:val="28"/>
          <w:szCs w:val="28"/>
          <w:lang w:val="uk-UA"/>
        </w:rPr>
        <w:t>правового, економічного та організаційного регулювання перетворення Державного концерну «Укроборонпром» (далі – Концерн, ДК «Укроборонпром») в акціонерне товариство, державних унітарних підприємств,</w:t>
      </w:r>
      <w:r>
        <w:rPr>
          <w:rFonts w:ascii="Times New Roman" w:eastAsia="Times New Roman" w:hAnsi="Times New Roman" w:cs="Times New Roman"/>
          <w:sz w:val="28"/>
          <w:szCs w:val="28"/>
        </w:rPr>
        <w:t xml:space="preserve"> у тому числі</w:t>
      </w:r>
      <w:r>
        <w:rPr>
          <w:rFonts w:ascii="Times New Roman" w:eastAsia="Times New Roman" w:hAnsi="Times New Roman" w:cs="Times New Roman"/>
          <w:sz w:val="28"/>
          <w:szCs w:val="28"/>
          <w:lang w:val="uk-UA"/>
        </w:rPr>
        <w:t xml:space="preserve"> казенних підприємств, що входять до складу Концерну  – в господарські товариства, управління і розпорядження їх майном, а також запровадження корпоративної моделі управління об’єктами державної власності в </w:t>
      </w:r>
      <w:r>
        <w:rPr>
          <w:rFonts w:ascii="Times New Roman" w:hAnsi="Times New Roman" w:cs="Times New Roman"/>
          <w:sz w:val="28"/>
          <w:szCs w:val="28"/>
          <w:lang w:val="uk-UA"/>
        </w:rPr>
        <w:t>оборонно-промисловому комплексі (далі – ОПК)</w:t>
      </w:r>
      <w:r>
        <w:rPr>
          <w:rFonts w:ascii="Times New Roman" w:eastAsia="Times New Roman" w:hAnsi="Times New Roman" w:cs="Times New Roman"/>
          <w:sz w:val="28"/>
          <w:szCs w:val="28"/>
          <w:lang w:val="uk-UA" w:eastAsia="ru-RU"/>
        </w:rPr>
        <w:t>.</w:t>
      </w:r>
    </w:p>
    <w:p w:rsidR="00CF45CE" w:rsidRDefault="00CF45CE" w:rsidP="00CF45CE">
      <w:pPr>
        <w:spacing w:after="0" w:line="240" w:lineRule="auto"/>
        <w:ind w:firstLine="851"/>
        <w:jc w:val="both"/>
        <w:rPr>
          <w:rFonts w:ascii="Times New Roman" w:hAnsi="Times New Roman" w:cs="Times New Roman"/>
          <w:sz w:val="28"/>
          <w:szCs w:val="28"/>
          <w:lang w:val="uk-UA"/>
        </w:rPr>
      </w:pPr>
    </w:p>
    <w:p w:rsidR="00F64031" w:rsidRPr="00F64031" w:rsidRDefault="00F64031" w:rsidP="00F64031">
      <w:pPr>
        <w:spacing w:line="240" w:lineRule="auto"/>
        <w:ind w:firstLine="851"/>
        <w:jc w:val="both"/>
        <w:rPr>
          <w:rFonts w:ascii="Times New Roman" w:hAnsi="Times New Roman" w:cs="Times New Roman"/>
          <w:b/>
          <w:bCs/>
          <w:sz w:val="28"/>
          <w:szCs w:val="28"/>
          <w:lang w:val="uk-UA"/>
        </w:rPr>
      </w:pPr>
      <w:r w:rsidRPr="00F64031">
        <w:rPr>
          <w:rFonts w:ascii="Times New Roman" w:hAnsi="Times New Roman" w:cs="Times New Roman"/>
          <w:b/>
          <w:sz w:val="28"/>
          <w:szCs w:val="28"/>
          <w:lang w:val="uk-UA"/>
        </w:rPr>
        <w:t>3. Загальна характеристика і основні положення законопроекту</w:t>
      </w:r>
    </w:p>
    <w:p w:rsidR="00057584" w:rsidRDefault="00057584" w:rsidP="0005758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Проєктом акта врегульовано проведення реформування Концерну та його учасників у три етапи.</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етап реформування передбачає підготовку учасників Концерну до реорганізації. </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Норми законопроєкту, якими врегульовано цей етап, направлені на забезпечення здійснення заходів з розпорядження майном в контурі Концерну,  які дозволять створити відповідну структуру та матеріально-технічну базу державних підприємств, необхідні для подальшої успішної корпоратизації. </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цьому етапі норми законопроєкту, зокрема, передбачають:</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передачу між учасниками за спрощеною процедурою майна (основних засобів, майна, створеного в результаті виконання державного оборонного замовлення (далі – ДОЗ), товарів, продукції, виробничих запасів, об’єктів права інтелектуальної власності тощо), а також контрактів за ДОЗ, програм підвищення обороноздатності і безпеки держави, інших договорів, обслуговування пов’язаних кредитів, порук, гарантій (контргарантій) та отримання інших фінансових послуг;</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вивільнення обтяженого майна учасників Концерну та господарських товариств, управління корпоративними правами держави щодо яких передано Концерну, (у т.ч. у процедурі банкрутства) для можливості його переміщення до учасників Концерну, які будуть реорганізовані у господарські товариства на другому етапі. З метою захисту прав кредиторів проєктом акта передбачається процедура заміни обтяженого майна іншим рівноцінним майном;</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по завершенні – передача єдиних майнових комплексів учасників Концерну та пакетів акцій господарських товариств, управління корпоративними правами держави щодо яких передано Концерну, які не задіяні у виконанні ДОЗ та виробничій діяльності, Фонду державного майна України.</w:t>
      </w:r>
    </w:p>
    <w:p w:rsidR="00057584" w:rsidRDefault="00057584" w:rsidP="00057584">
      <w:pPr>
        <w:pStyle w:val="a7"/>
        <w:tabs>
          <w:tab w:val="left" w:pos="993"/>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даному етапі ДК «Укроборонпром» залишається уповноваженим суб’єктом господарювання з управління об’єктами державної власності в ОПК (до моменту перетворення на акціонерне товариство), з урахуванням таких змін до Закону України «Про особливості управління об’єктами державної власності в оборонно-промисловому комплексі», що передбачаються проєктом акту:</w:t>
      </w:r>
    </w:p>
    <w:p w:rsidR="00057584" w:rsidRDefault="00057584" w:rsidP="00057584">
      <w:pPr>
        <w:pStyle w:val="a7"/>
        <w:numPr>
          <w:ilvl w:val="0"/>
          <w:numId w:val="2"/>
        </w:numPr>
        <w:tabs>
          <w:tab w:val="left" w:pos="0"/>
          <w:tab w:val="left" w:pos="993"/>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деталізація повноважень Концерну щодо управління корпоративними правами держави (правами учасника) стосовно пакетів акцій (часток), що належать державі у статутних капіталах господарських товариств, повноваження щодо управління корпоративними правами держави щодо яких передані Концерну, господарських товариств, пакети акцій яких належать або перебувають в управлінні Концерну, господарських товариств, створених за участю Концерну;</w:t>
      </w:r>
    </w:p>
    <w:p w:rsidR="00057584" w:rsidRDefault="00057584" w:rsidP="00057584">
      <w:pPr>
        <w:pStyle w:val="a7"/>
        <w:numPr>
          <w:ilvl w:val="0"/>
          <w:numId w:val="2"/>
        </w:numPr>
        <w:tabs>
          <w:tab w:val="left" w:pos="0"/>
          <w:tab w:val="left" w:pos="993"/>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Наглядова рада Концерну складається з 7 членів, 2 з яких призначаються Президентом України, 2 – Кабінетом Міністрів України, а 3 є незалежними; строк повноважень Наглядової ради становить 3 роки;</w:t>
      </w:r>
    </w:p>
    <w:p w:rsidR="00057584" w:rsidRDefault="00057584" w:rsidP="00057584">
      <w:pPr>
        <w:pStyle w:val="a7"/>
        <w:numPr>
          <w:ilvl w:val="0"/>
          <w:numId w:val="2"/>
        </w:numPr>
        <w:tabs>
          <w:tab w:val="left" w:pos="0"/>
          <w:tab w:val="left" w:pos="993"/>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члени Наглядової ради Концерну працюватимуть на умовах цивільно-правових договорів. Розмір винагороди членів Наглядової ради визначатиметься на основі чистого річного доходу учасників Концерну за даними річної зведеної (консолідованої) звітності;</w:t>
      </w:r>
    </w:p>
    <w:p w:rsidR="00057584" w:rsidRDefault="00057584" w:rsidP="00057584">
      <w:pPr>
        <w:pStyle w:val="a7"/>
        <w:numPr>
          <w:ilvl w:val="0"/>
          <w:numId w:val="2"/>
        </w:numPr>
        <w:tabs>
          <w:tab w:val="left" w:pos="0"/>
          <w:tab w:val="left" w:pos="993"/>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компетенції Наглядової ради належатиме затвердження стратегії сталого розвитку, напрямів діяльності Концерну та його учасників згідно із затвердженою політикою власності, здійснення контролю за реалізацією заходів з упровадження систем корпоративного управління на </w:t>
      </w:r>
      <w:r>
        <w:rPr>
          <w:rFonts w:ascii="Times New Roman" w:hAnsi="Times New Roman" w:cs="Times New Roman"/>
          <w:sz w:val="28"/>
          <w:szCs w:val="28"/>
          <w:lang w:val="uk-UA"/>
        </w:rPr>
        <w:lastRenderedPageBreak/>
        <w:t>учасниках Концерну, обрання, призначення та припинення повноважень, відсторонення генерального директора Концерну;</w:t>
      </w:r>
    </w:p>
    <w:p w:rsidR="00057584" w:rsidRDefault="00057584" w:rsidP="00057584">
      <w:pPr>
        <w:pStyle w:val="a7"/>
        <w:numPr>
          <w:ilvl w:val="0"/>
          <w:numId w:val="2"/>
        </w:numPr>
        <w:tabs>
          <w:tab w:val="left" w:pos="0"/>
          <w:tab w:val="left" w:pos="993"/>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Концерну мають право за попереднім погодженням з Концерном бути засновниками/учасниками господарських товариств;</w:t>
      </w:r>
    </w:p>
    <w:p w:rsidR="00057584" w:rsidRDefault="00057584" w:rsidP="00057584">
      <w:pPr>
        <w:pStyle w:val="a7"/>
        <w:numPr>
          <w:ilvl w:val="0"/>
          <w:numId w:val="2"/>
        </w:numPr>
        <w:tabs>
          <w:tab w:val="left" w:pos="0"/>
          <w:tab w:val="left" w:pos="993"/>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Концерн наділяється правом делегувати своєму учаснику окремі функції з управління майном в ОПК з метою посилення координації підприємств, що будуть реорганізовані.</w:t>
      </w:r>
    </w:p>
    <w:p w:rsidR="00057584" w:rsidRDefault="00057584" w:rsidP="00057584">
      <w:pPr>
        <w:pStyle w:val="a7"/>
        <w:ind w:firstLine="851"/>
        <w:jc w:val="both"/>
        <w:rPr>
          <w:rFonts w:ascii="Times New Roman" w:hAnsi="Times New Roman" w:cs="Times New Roman"/>
          <w:sz w:val="28"/>
          <w:szCs w:val="28"/>
          <w:lang w:val="uk-UA"/>
        </w:rPr>
      </w:pPr>
    </w:p>
    <w:p w:rsidR="00057584" w:rsidRDefault="00057584" w:rsidP="00057584">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Другий етап реформування передбачає утворення господарських товариств двома альтернативними шляхами:</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перетворення учасника Концерну на господарське товариство в організаційно-правовій формі акціонерного товариства або товариства з обмеженою відповідальністю;</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учасників Концерну до іншого учасника та одночасне перетворення такого учасника на господарське товариство за спеціальною процедурою.</w:t>
      </w:r>
    </w:p>
    <w:p w:rsidR="00057584" w:rsidRDefault="00057584" w:rsidP="00057584">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Проєктом акта передбачені такі особливості правового статусу та діяльності господарського товариства:</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господарським товариством зберігаються договори, у яких підприємство є стороною; документи, необхідні для провадження діяльності (державна таємниця, ліцензії, сертифікати, інші документи дозвільного характеру у межах строку їх дії); статус суб’єкта зовнішньоекономічної діяльності та повноваження на здійснення експорту, імпорту товарів військового призначення та товарів, які містять державну таємницю; пільги та інші види державної підтримки підприємства;</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статутний капітал господарського товариства, утвореного на цьому етапі, формується у т.ч. за рахунок права господарського відання на закріплені за підприємством об’єкти права державної власності, які не підлягають приватизації (за умови заборони відчуження цього майна);</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моменту перетворення Концерну на акціонерне товариство управління господарським товариством здійснюватиметься Концерном;</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пропозицією Концерну на підставі рішення Кабінету Міністрів України пакети акцій господарських товариств можуть вноситися до статутного капіталу іншого господарського товариства, яке здійснюватиме функції акціонера та управлятиме корпоративними підприємствами;</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господарським товариством здійснюється загальними зборами як вищим органом товариства, наглядовою радою та виконавчим органом товариства. Компетенція органів товариства, порядок утворення, обрання, відкликання їх членів та прийняття ними рішень, компетенція визначається статутом товариства;</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господарське товариство спрямовуватиме частину чистого прибутку на виплату дивідендів Концерну, а після перетворення Концерну – акціонерному товариству, яке утвориться в результаті перетворення Концерну. У разі внесення пакета акцій господарського товариства до </w:t>
      </w:r>
      <w:r>
        <w:rPr>
          <w:rFonts w:ascii="Times New Roman" w:hAnsi="Times New Roman" w:cs="Times New Roman"/>
          <w:sz w:val="28"/>
          <w:szCs w:val="28"/>
          <w:lang w:val="uk-UA"/>
        </w:rPr>
        <w:lastRenderedPageBreak/>
        <w:t>статутного капіталу іншого господарського товариства дивіденди сплачуватимуться господарському товариству, до статутного капіталу якого внесено пакет акцій господарського товариства.</w:t>
      </w:r>
    </w:p>
    <w:p w:rsidR="00057584" w:rsidRDefault="00057584" w:rsidP="00057584">
      <w:pPr>
        <w:pStyle w:val="a7"/>
        <w:ind w:firstLine="851"/>
        <w:jc w:val="both"/>
        <w:rPr>
          <w:rFonts w:ascii="Times New Roman" w:hAnsi="Times New Roman" w:cs="Times New Roman"/>
          <w:sz w:val="28"/>
          <w:szCs w:val="28"/>
          <w:lang w:val="uk-UA"/>
        </w:rPr>
      </w:pPr>
    </w:p>
    <w:p w:rsidR="00057584" w:rsidRDefault="00057584" w:rsidP="00057584">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Третій етап реформування передбачає перетворення Концерну в акціонерне товариство, яке включатиме наступні дії:</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Кабінетом Міністрів України рішення про реорганізацію Концерну шляхом його перетворення в акціонерне товариство та затвердження його статуту;</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рішення Кабінету Міністрів України – внесення до статутного капіталу акціонерного товариства пакетів акцій (часток) господарських товариств, утворених на другому етапі, а також господарських товариств, повноваження щодо управління корпоративними правами держави передані Концерну, господарських товариств, створених за участю Концерну;</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погодженням з Кабінетом Міністрів України на підставі рішення акціонерного товариства пакети акцій господарських товариств, утворених на другому етапі можуть бути внесені до статутного капіталу іншого господарського товариства, утвореного в результаті перетворення учасника Концерну, яке здійснюватиме функції акціонера та управлятиме корпоративними підприємствами.</w:t>
      </w:r>
    </w:p>
    <w:p w:rsidR="00057584" w:rsidRDefault="00057584" w:rsidP="00057584">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Проєктом акта передбачаються такі особливості правового статусу та діяльності акціонерного товариства:</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засновником та єдиним акціонером акціонерного товариства, утворене в результаті перетворення Концерну, є держава в особі Кабінету Міністрів України;</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акціонерне товариство є власником акцій (часток у статутному капіталі) господарських товариств, внесених до статутного капіталу акціонерного товариства, крім тих, які внесені до статутного капіталу іншого господарського товариства, утвореного в результаті перетворення учасника Концерну;</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органами управління акціонерного товариства є його Наглядова рада та ГД. Наглядова рада Концерну складається з 7 членів, 4 з яких – представники держави, а 3 є незалежними. Строк повноважень Наглядової ради – 3 роки. Компетенція Наглядової ради, порядок її утворення, обрання і припинення повноважень її членів та прийняття ними рішень, порядок призначення та повноваження генерального директора акціонерного товариства визначається статутом акціонерного товариства;</w:t>
      </w:r>
    </w:p>
    <w:p w:rsidR="00057584" w:rsidRDefault="00057584" w:rsidP="00057584">
      <w:pPr>
        <w:pStyle w:val="a7"/>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акціонерне товариство спрямовує 30% чистого прибутку на виплату дивідендів до Державного бюджету України на підставі рішення Наглядової ради акціонерного товариства в порядку та строки, встановлені законодавством.</w:t>
      </w:r>
    </w:p>
    <w:p w:rsidR="00057584" w:rsidRDefault="00057584" w:rsidP="00057584">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забезпечення фінансування процесу реформування проєктом акта передбачається звільнення Концерну та утвореного на його базі акціонерного товариства строком на 3 роки від сплати частини чистого </w:t>
      </w:r>
      <w:r>
        <w:rPr>
          <w:rFonts w:ascii="Times New Roman" w:hAnsi="Times New Roman" w:cs="Times New Roman"/>
          <w:sz w:val="28"/>
          <w:szCs w:val="28"/>
          <w:lang w:val="uk-UA"/>
        </w:rPr>
        <w:lastRenderedPageBreak/>
        <w:t>прибутку (дивідендів) до Державного бюджету України з прибутку, який виник в результаті сплати Концерну його учасниками або господарськими товариствами внесків (дивідендів), за умови використання Концерном (акціонерним товариством) цих коштів для поповнення статутних капіталів його учасників з метою забезпечення їх фінансового оздоровлення, погашення їх заборгованостей, розвитку і модернізації виробництва, фінансування науково-технічних розробок, забезпечення їх інноваційної діяльності або забезпечення умов для проведення заходів з їх перетворення на господарські товариства, або спрямування цих коштів до фондів інвестиційного, інноваційного розвитку.</w:t>
      </w:r>
    </w:p>
    <w:p w:rsidR="00F64031" w:rsidRDefault="00F64031" w:rsidP="00F64031">
      <w:pPr>
        <w:spacing w:line="240" w:lineRule="auto"/>
        <w:ind w:firstLine="851"/>
        <w:jc w:val="both"/>
        <w:rPr>
          <w:rFonts w:ascii="Times New Roman" w:hAnsi="Times New Roman" w:cs="Times New Roman"/>
          <w:b/>
          <w:bCs/>
          <w:sz w:val="28"/>
          <w:szCs w:val="28"/>
          <w:lang w:val="uk-UA"/>
        </w:rPr>
      </w:pPr>
    </w:p>
    <w:p w:rsidR="00F64031" w:rsidRPr="00AE25FE" w:rsidRDefault="00F64031" w:rsidP="00F64031">
      <w:pPr>
        <w:spacing w:line="240" w:lineRule="auto"/>
        <w:ind w:firstLine="851"/>
        <w:jc w:val="both"/>
        <w:rPr>
          <w:rFonts w:ascii="Times New Roman" w:hAnsi="Times New Roman" w:cs="Times New Roman"/>
          <w:b/>
          <w:bCs/>
          <w:sz w:val="28"/>
          <w:szCs w:val="28"/>
          <w:lang w:val="uk-UA"/>
        </w:rPr>
      </w:pPr>
      <w:r w:rsidRPr="00AE25FE">
        <w:rPr>
          <w:rFonts w:ascii="Times New Roman" w:hAnsi="Times New Roman" w:cs="Times New Roman"/>
          <w:b/>
          <w:bCs/>
          <w:sz w:val="28"/>
          <w:szCs w:val="28"/>
          <w:lang w:val="uk-UA"/>
        </w:rPr>
        <w:t>4. Стан нормативно-правової бази у даній сфері правового регулювання</w:t>
      </w:r>
    </w:p>
    <w:p w:rsidR="00AE25FE" w:rsidRPr="00AE25FE" w:rsidRDefault="00AE25FE" w:rsidP="00AE25FE">
      <w:pPr>
        <w:spacing w:line="240" w:lineRule="auto"/>
        <w:ind w:firstLine="851"/>
        <w:jc w:val="both"/>
        <w:rPr>
          <w:rFonts w:ascii="Times New Roman" w:hAnsi="Times New Roman" w:cs="Times New Roman"/>
          <w:bCs/>
          <w:sz w:val="28"/>
          <w:szCs w:val="28"/>
          <w:lang w:val="uk-UA"/>
        </w:rPr>
      </w:pPr>
      <w:r w:rsidRPr="00AE25FE">
        <w:rPr>
          <w:rFonts w:ascii="Times New Roman" w:hAnsi="Times New Roman" w:cs="Times New Roman"/>
          <w:bCs/>
          <w:sz w:val="28"/>
          <w:szCs w:val="28"/>
          <w:lang w:val="uk-UA"/>
        </w:rPr>
        <w:t>Господарський кодекс України, Земельний кодекс України, Кодекс України з процедур банкрутства, Закон України "Про особливості управління об'єктами державної власності в оборонно-промисловому комплексі", Закон України "Про управління об'єктами державної власності", Закон України "Про захист економічної конкуренції", Закон України "Про оцінку майна, майнових прав та професійну оціночну діяльність в Україні", Закон України "Про акціонерні товариства", Закон України "Про виконавче провадження".</w:t>
      </w:r>
    </w:p>
    <w:p w:rsidR="00271B45" w:rsidRPr="00F64031" w:rsidRDefault="00271B45" w:rsidP="00F64031">
      <w:pPr>
        <w:spacing w:line="240" w:lineRule="auto"/>
        <w:ind w:firstLine="851"/>
        <w:jc w:val="both"/>
        <w:rPr>
          <w:rFonts w:ascii="Times New Roman" w:hAnsi="Times New Roman" w:cs="Times New Roman"/>
          <w:b/>
          <w:bCs/>
          <w:sz w:val="28"/>
          <w:szCs w:val="28"/>
          <w:lang w:val="uk-UA"/>
        </w:rPr>
      </w:pPr>
    </w:p>
    <w:p w:rsidR="00BB6BF4" w:rsidRDefault="00F64031" w:rsidP="00BB6BF4">
      <w:pPr>
        <w:spacing w:line="240" w:lineRule="auto"/>
        <w:ind w:firstLine="851"/>
        <w:jc w:val="both"/>
        <w:rPr>
          <w:rFonts w:ascii="Times New Roman" w:hAnsi="Times New Roman" w:cs="Times New Roman"/>
          <w:b/>
          <w:bCs/>
          <w:sz w:val="28"/>
          <w:szCs w:val="28"/>
          <w:lang w:val="uk-UA"/>
        </w:rPr>
      </w:pPr>
      <w:r w:rsidRPr="00F64031">
        <w:rPr>
          <w:rFonts w:ascii="Times New Roman" w:hAnsi="Times New Roman" w:cs="Times New Roman"/>
          <w:b/>
          <w:bCs/>
          <w:sz w:val="28"/>
          <w:szCs w:val="28"/>
          <w:lang w:val="uk-UA"/>
        </w:rPr>
        <w:t>5. Фінансово-економічне обґрунтування</w:t>
      </w:r>
    </w:p>
    <w:p w:rsidR="00BB6BF4" w:rsidRPr="00BB6BF4" w:rsidRDefault="00BB6BF4" w:rsidP="00BB6BF4">
      <w:pPr>
        <w:spacing w:line="240" w:lineRule="auto"/>
        <w:ind w:firstLine="851"/>
        <w:jc w:val="both"/>
        <w:rPr>
          <w:rFonts w:ascii="Times New Roman" w:hAnsi="Times New Roman" w:cs="Times New Roman"/>
          <w:b/>
          <w:bCs/>
          <w:sz w:val="28"/>
          <w:szCs w:val="28"/>
          <w:lang w:val="uk-UA"/>
        </w:rPr>
      </w:pPr>
      <w:r w:rsidRPr="00BB6BF4">
        <w:rPr>
          <w:rFonts w:ascii="Times New Roman" w:eastAsia="Times New Roman" w:hAnsi="Times New Roman" w:cs="Times New Roman"/>
          <w:sz w:val="28"/>
          <w:szCs w:val="28"/>
          <w:lang w:val="uk-UA"/>
        </w:rPr>
        <w:t xml:space="preserve">Прийняття цього Закону не потребуватиме додаткових видатків із Державного бюджету України та місцевих бюджетів. </w:t>
      </w:r>
    </w:p>
    <w:p w:rsidR="00BB6BF4" w:rsidRPr="00F64031" w:rsidRDefault="00BB6BF4" w:rsidP="00F64031">
      <w:pPr>
        <w:spacing w:line="240" w:lineRule="auto"/>
        <w:ind w:firstLine="851"/>
        <w:jc w:val="both"/>
        <w:rPr>
          <w:rFonts w:ascii="Times New Roman" w:hAnsi="Times New Roman" w:cs="Times New Roman"/>
          <w:b/>
          <w:bCs/>
          <w:sz w:val="28"/>
          <w:szCs w:val="28"/>
          <w:lang w:val="uk-UA"/>
        </w:rPr>
      </w:pPr>
    </w:p>
    <w:p w:rsidR="00F64031" w:rsidRPr="00F64031" w:rsidRDefault="00F64031" w:rsidP="00F64031">
      <w:pPr>
        <w:spacing w:after="0" w:line="240" w:lineRule="auto"/>
        <w:ind w:firstLine="709"/>
        <w:jc w:val="both"/>
        <w:rPr>
          <w:rFonts w:ascii="Times New Roman" w:eastAsia="Times New Roman" w:hAnsi="Times New Roman" w:cs="Times New Roman"/>
          <w:b/>
          <w:bCs/>
          <w:sz w:val="28"/>
          <w:szCs w:val="28"/>
          <w:lang w:val="uk-UA" w:eastAsia="ru-RU"/>
        </w:rPr>
      </w:pPr>
      <w:r w:rsidRPr="00F64031">
        <w:rPr>
          <w:rFonts w:ascii="Times New Roman" w:eastAsia="Times New Roman" w:hAnsi="Times New Roman" w:cs="Times New Roman"/>
          <w:b/>
          <w:bCs/>
          <w:sz w:val="28"/>
          <w:szCs w:val="28"/>
          <w:lang w:val="uk-UA" w:eastAsia="ru-RU"/>
        </w:rPr>
        <w:t>6. Прогноз соціально-економічних та інших наслідків прийняття законопроекту</w:t>
      </w:r>
    </w:p>
    <w:p w:rsidR="00F64031" w:rsidRDefault="00F64031">
      <w:pPr>
        <w:spacing w:line="240" w:lineRule="auto"/>
        <w:ind w:firstLine="851"/>
        <w:jc w:val="both"/>
        <w:rPr>
          <w:rFonts w:ascii="Times New Roman" w:hAnsi="Times New Roman" w:cs="Times New Roman"/>
          <w:b/>
          <w:sz w:val="28"/>
          <w:szCs w:val="28"/>
          <w:lang w:val="uk-UA"/>
        </w:rPr>
      </w:pPr>
    </w:p>
    <w:p w:rsidR="00C93876" w:rsidRDefault="00C93876" w:rsidP="00C93876">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акта не впливає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290E2A" w:rsidRDefault="00290E2A" w:rsidP="00290E2A">
      <w:pPr>
        <w:pStyle w:val="a7"/>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Проєкт акта підлягає погодженню з Міністерством юстиції України, Міністерством фінансів України, Міністерством розвитку економіки, торгівлі та сільського господарства України, Фондом державного майна України.</w:t>
      </w:r>
    </w:p>
    <w:p w:rsidR="005942FB" w:rsidRDefault="005942FB" w:rsidP="005942FB">
      <w:pPr>
        <w:pStyle w:val="a7"/>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проєкті акта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акта.</w:t>
      </w:r>
    </w:p>
    <w:p w:rsidR="007761E3" w:rsidRPr="007761E3" w:rsidRDefault="007761E3" w:rsidP="007761E3">
      <w:pPr>
        <w:pStyle w:val="a7"/>
        <w:ind w:firstLine="851"/>
        <w:jc w:val="both"/>
        <w:rPr>
          <w:rFonts w:ascii="Times New Roman" w:hAnsi="Times New Roman" w:cs="Times New Roman"/>
          <w:sz w:val="28"/>
          <w:szCs w:val="28"/>
          <w:lang w:val="uk-UA"/>
        </w:rPr>
      </w:pPr>
      <w:r w:rsidRPr="007761E3">
        <w:rPr>
          <w:rFonts w:ascii="Times New Roman" w:hAnsi="Times New Roman" w:cs="Times New Roman"/>
          <w:sz w:val="28"/>
          <w:szCs w:val="28"/>
          <w:lang w:val="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сфери наукової та науково-технічної діяльності. Проєкт акта не виносився на громадське обговорення.</w:t>
      </w:r>
    </w:p>
    <w:p w:rsidR="007761E3" w:rsidRDefault="007761E3">
      <w:pPr>
        <w:pStyle w:val="a7"/>
        <w:ind w:firstLine="851"/>
        <w:jc w:val="both"/>
        <w:rPr>
          <w:rFonts w:ascii="Times New Roman" w:hAnsi="Times New Roman" w:cs="Times New Roman"/>
          <w:sz w:val="28"/>
          <w:szCs w:val="28"/>
          <w:lang w:val="uk-UA"/>
        </w:rPr>
      </w:pPr>
    </w:p>
    <w:p w:rsidR="00E047DF" w:rsidRPr="00E047DF" w:rsidRDefault="00E047DF" w:rsidP="00E047DF">
      <w:pPr>
        <w:keepNext/>
        <w:ind w:firstLine="709"/>
        <w:jc w:val="both"/>
        <w:rPr>
          <w:rFonts w:ascii="Times New Roman" w:hAnsi="Times New Roman" w:cs="Times New Roman"/>
          <w:sz w:val="28"/>
          <w:szCs w:val="28"/>
        </w:rPr>
      </w:pPr>
      <w:r w:rsidRPr="00E047DF">
        <w:rPr>
          <w:rFonts w:ascii="Times New Roman" w:hAnsi="Times New Roman" w:cs="Times New Roman"/>
          <w:b/>
          <w:bCs/>
          <w:sz w:val="28"/>
          <w:szCs w:val="28"/>
        </w:rPr>
        <w:t>Народні депутати України</w:t>
      </w:r>
      <w:r w:rsidRPr="00E047DF">
        <w:rPr>
          <w:rFonts w:ascii="Times New Roman" w:hAnsi="Times New Roman" w:cs="Times New Roman"/>
          <w:b/>
          <w:bCs/>
          <w:sz w:val="28"/>
          <w:szCs w:val="28"/>
        </w:rPr>
        <w:tab/>
      </w:r>
      <w:r w:rsidRPr="00E047DF">
        <w:rPr>
          <w:rFonts w:ascii="Times New Roman" w:hAnsi="Times New Roman" w:cs="Times New Roman"/>
          <w:b/>
          <w:bCs/>
          <w:sz w:val="28"/>
          <w:szCs w:val="28"/>
        </w:rPr>
        <w:tab/>
      </w:r>
      <w:r w:rsidRPr="00E047DF">
        <w:rPr>
          <w:rFonts w:ascii="Times New Roman" w:hAnsi="Times New Roman" w:cs="Times New Roman"/>
          <w:sz w:val="28"/>
          <w:szCs w:val="28"/>
        </w:rPr>
        <w:tab/>
      </w:r>
      <w:r w:rsidRPr="00E047DF">
        <w:rPr>
          <w:rFonts w:ascii="Times New Roman" w:hAnsi="Times New Roman" w:cs="Times New Roman"/>
          <w:sz w:val="28"/>
          <w:szCs w:val="28"/>
        </w:rPr>
        <w:tab/>
      </w:r>
      <w:r w:rsidRPr="00E047DF">
        <w:rPr>
          <w:rFonts w:ascii="Times New Roman" w:hAnsi="Times New Roman" w:cs="Times New Roman"/>
          <w:sz w:val="28"/>
          <w:szCs w:val="28"/>
        </w:rPr>
        <w:tab/>
      </w:r>
      <w:r w:rsidRPr="00E047DF">
        <w:rPr>
          <w:rFonts w:ascii="Times New Roman" w:hAnsi="Times New Roman" w:cs="Times New Roman"/>
          <w:sz w:val="28"/>
          <w:szCs w:val="28"/>
        </w:rPr>
        <w:tab/>
        <w:t xml:space="preserve"> </w:t>
      </w:r>
    </w:p>
    <w:p w:rsidR="00E047DF" w:rsidRPr="00E047DF" w:rsidRDefault="00E047DF">
      <w:pPr>
        <w:pStyle w:val="a7"/>
        <w:ind w:firstLine="851"/>
        <w:jc w:val="both"/>
        <w:rPr>
          <w:rFonts w:ascii="Times New Roman" w:hAnsi="Times New Roman" w:cs="Times New Roman"/>
          <w:sz w:val="28"/>
          <w:szCs w:val="28"/>
        </w:rPr>
      </w:pPr>
    </w:p>
    <w:sectPr w:rsidR="00E047DF" w:rsidRPr="00E047D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8A" w:rsidRDefault="000C098A">
      <w:pPr>
        <w:spacing w:after="0" w:line="240" w:lineRule="auto"/>
      </w:pPr>
      <w:r>
        <w:separator/>
      </w:r>
    </w:p>
  </w:endnote>
  <w:endnote w:type="continuationSeparator" w:id="0">
    <w:p w:rsidR="000C098A" w:rsidRDefault="000C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8A" w:rsidRDefault="000C098A">
      <w:pPr>
        <w:spacing w:after="0" w:line="240" w:lineRule="auto"/>
      </w:pPr>
      <w:r>
        <w:separator/>
      </w:r>
    </w:p>
  </w:footnote>
  <w:footnote w:type="continuationSeparator" w:id="0">
    <w:p w:rsidR="000C098A" w:rsidRDefault="000C0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071449"/>
      <w:docPartObj>
        <w:docPartGallery w:val="AutoText"/>
      </w:docPartObj>
    </w:sdtPr>
    <w:sdtEndPr/>
    <w:sdtContent>
      <w:p w:rsidR="00766A02" w:rsidRDefault="006779A0">
        <w:pPr>
          <w:pStyle w:val="a5"/>
          <w:jc w:val="center"/>
        </w:pPr>
        <w:r>
          <w:fldChar w:fldCharType="begin"/>
        </w:r>
        <w:r>
          <w:instrText>PAGE   \* MERGEFORMAT</w:instrText>
        </w:r>
        <w:r>
          <w:fldChar w:fldCharType="separate"/>
        </w:r>
        <w:r w:rsidR="00366BB7">
          <w:rPr>
            <w:noProof/>
          </w:rPr>
          <w:t>2</w:t>
        </w:r>
        <w:r>
          <w:fldChar w:fldCharType="end"/>
        </w:r>
      </w:p>
    </w:sdtContent>
  </w:sdt>
  <w:p w:rsidR="00766A02" w:rsidRDefault="00766A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40AA"/>
    <w:multiLevelType w:val="multilevel"/>
    <w:tmpl w:val="132C40AA"/>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58AD1C01"/>
    <w:multiLevelType w:val="multilevel"/>
    <w:tmpl w:val="58AD1C01"/>
    <w:lvl w:ilvl="0">
      <w:start w:val="1"/>
      <w:numFmt w:val="upperRoman"/>
      <w:pStyle w:val="1"/>
      <w:lvlText w:val="ЕТАП %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6E7663C7"/>
    <w:multiLevelType w:val="multilevel"/>
    <w:tmpl w:val="6E7663C7"/>
    <w:lvl w:ilvl="0">
      <w:start w:val="3"/>
      <w:numFmt w:val="bullet"/>
      <w:lvlText w:val="-"/>
      <w:lvlJc w:val="left"/>
      <w:pPr>
        <w:ind w:left="927" w:hanging="360"/>
      </w:pPr>
      <w:rPr>
        <w:rFonts w:ascii="Times New Roman" w:eastAsiaTheme="minorHAns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EE"/>
    <w:rsid w:val="000418D9"/>
    <w:rsid w:val="00054CB8"/>
    <w:rsid w:val="00057584"/>
    <w:rsid w:val="000C098A"/>
    <w:rsid w:val="000D0B49"/>
    <w:rsid w:val="000E0E5F"/>
    <w:rsid w:val="000F1E5C"/>
    <w:rsid w:val="000F1E79"/>
    <w:rsid w:val="000F63FB"/>
    <w:rsid w:val="00154EDC"/>
    <w:rsid w:val="001B4720"/>
    <w:rsid w:val="00271B45"/>
    <w:rsid w:val="00290E2A"/>
    <w:rsid w:val="002916C8"/>
    <w:rsid w:val="002B2219"/>
    <w:rsid w:val="002D2D8C"/>
    <w:rsid w:val="00325CD2"/>
    <w:rsid w:val="003356EE"/>
    <w:rsid w:val="00366BB7"/>
    <w:rsid w:val="003874A3"/>
    <w:rsid w:val="00390BD7"/>
    <w:rsid w:val="003B26E5"/>
    <w:rsid w:val="003E2FBC"/>
    <w:rsid w:val="004266ED"/>
    <w:rsid w:val="00431DE8"/>
    <w:rsid w:val="00441AF6"/>
    <w:rsid w:val="004531BE"/>
    <w:rsid w:val="004620AF"/>
    <w:rsid w:val="00463C4E"/>
    <w:rsid w:val="00464592"/>
    <w:rsid w:val="004E56B9"/>
    <w:rsid w:val="004F0A1F"/>
    <w:rsid w:val="00511FE4"/>
    <w:rsid w:val="00520204"/>
    <w:rsid w:val="00527A61"/>
    <w:rsid w:val="005942FB"/>
    <w:rsid w:val="005A642B"/>
    <w:rsid w:val="005F2A76"/>
    <w:rsid w:val="005F7A35"/>
    <w:rsid w:val="00605A9B"/>
    <w:rsid w:val="0063542D"/>
    <w:rsid w:val="00672D66"/>
    <w:rsid w:val="00674688"/>
    <w:rsid w:val="006779A0"/>
    <w:rsid w:val="006D3690"/>
    <w:rsid w:val="006F2AF0"/>
    <w:rsid w:val="00703CFA"/>
    <w:rsid w:val="007043B0"/>
    <w:rsid w:val="00704FD3"/>
    <w:rsid w:val="007070B2"/>
    <w:rsid w:val="00715F0D"/>
    <w:rsid w:val="00744E95"/>
    <w:rsid w:val="00746A81"/>
    <w:rsid w:val="00750917"/>
    <w:rsid w:val="00766A02"/>
    <w:rsid w:val="007761E3"/>
    <w:rsid w:val="007879D6"/>
    <w:rsid w:val="00794CA9"/>
    <w:rsid w:val="007A68AB"/>
    <w:rsid w:val="007C4495"/>
    <w:rsid w:val="007C472D"/>
    <w:rsid w:val="007F5C11"/>
    <w:rsid w:val="00824990"/>
    <w:rsid w:val="00840A4E"/>
    <w:rsid w:val="00890BE3"/>
    <w:rsid w:val="008A1716"/>
    <w:rsid w:val="008F1732"/>
    <w:rsid w:val="0092496C"/>
    <w:rsid w:val="00947C25"/>
    <w:rsid w:val="00956490"/>
    <w:rsid w:val="0099083C"/>
    <w:rsid w:val="00990B21"/>
    <w:rsid w:val="009F5A16"/>
    <w:rsid w:val="00A1691B"/>
    <w:rsid w:val="00A21D80"/>
    <w:rsid w:val="00A51F14"/>
    <w:rsid w:val="00A62576"/>
    <w:rsid w:val="00AC5EC8"/>
    <w:rsid w:val="00AC7A78"/>
    <w:rsid w:val="00AE25FE"/>
    <w:rsid w:val="00B243E4"/>
    <w:rsid w:val="00B40C81"/>
    <w:rsid w:val="00B4368A"/>
    <w:rsid w:val="00B538BE"/>
    <w:rsid w:val="00BB6BF4"/>
    <w:rsid w:val="00BC23D1"/>
    <w:rsid w:val="00BF64BB"/>
    <w:rsid w:val="00C070A8"/>
    <w:rsid w:val="00C30FF5"/>
    <w:rsid w:val="00C52AD8"/>
    <w:rsid w:val="00C75892"/>
    <w:rsid w:val="00C93876"/>
    <w:rsid w:val="00C9562B"/>
    <w:rsid w:val="00CA241C"/>
    <w:rsid w:val="00CF078B"/>
    <w:rsid w:val="00CF0CFE"/>
    <w:rsid w:val="00CF45CE"/>
    <w:rsid w:val="00D02914"/>
    <w:rsid w:val="00D2231B"/>
    <w:rsid w:val="00D77F59"/>
    <w:rsid w:val="00D829A4"/>
    <w:rsid w:val="00DA1A02"/>
    <w:rsid w:val="00E03DBD"/>
    <w:rsid w:val="00E047DF"/>
    <w:rsid w:val="00E07381"/>
    <w:rsid w:val="00E17265"/>
    <w:rsid w:val="00E63624"/>
    <w:rsid w:val="00E743E9"/>
    <w:rsid w:val="00E91E98"/>
    <w:rsid w:val="00EA42FA"/>
    <w:rsid w:val="00EA454E"/>
    <w:rsid w:val="00EA4F76"/>
    <w:rsid w:val="00EC23DA"/>
    <w:rsid w:val="00ED2326"/>
    <w:rsid w:val="00ED5051"/>
    <w:rsid w:val="00F06214"/>
    <w:rsid w:val="00F416FD"/>
    <w:rsid w:val="00F519BB"/>
    <w:rsid w:val="00F64031"/>
    <w:rsid w:val="00FB406D"/>
    <w:rsid w:val="00FC7E7E"/>
    <w:rsid w:val="00FD7746"/>
    <w:rsid w:val="64AD53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F387B-2D2D-4C32-B6C8-532EF981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en-US"/>
    </w:rPr>
  </w:style>
  <w:style w:type="paragraph" w:styleId="1">
    <w:name w:val="heading 1"/>
    <w:basedOn w:val="a"/>
    <w:next w:val="a"/>
    <w:link w:val="10"/>
    <w:uiPriority w:val="9"/>
    <w:qFormat/>
    <w:pPr>
      <w:keepNext/>
      <w:keepLines/>
      <w:numPr>
        <w:numId w:val="1"/>
      </w:numPr>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pPr>
      <w:keepNext/>
      <w:keepLines/>
      <w:numPr>
        <w:ilvl w:val="1"/>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pPr>
      <w:keepNext/>
      <w:keepLines/>
      <w:numPr>
        <w:ilvl w:val="2"/>
        <w:numId w:val="1"/>
      </w:numPr>
      <w:spacing w:before="40" w:after="0" w:line="240" w:lineRule="auto"/>
      <w:outlineLvl w:val="2"/>
    </w:pPr>
    <w:rPr>
      <w:rFonts w:asciiTheme="majorHAnsi" w:eastAsiaTheme="majorEastAsia" w:hAnsiTheme="majorHAnsi" w:cstheme="majorBidi"/>
      <w:color w:val="244061" w:themeColor="accent1" w:themeShade="80"/>
      <w:sz w:val="24"/>
      <w:szCs w:val="24"/>
      <w:lang w:eastAsia="ru-RU"/>
    </w:rPr>
  </w:style>
  <w:style w:type="paragraph" w:styleId="4">
    <w:name w:val="heading 4"/>
    <w:basedOn w:val="a"/>
    <w:next w:val="a"/>
    <w:link w:val="40"/>
    <w:uiPriority w:val="9"/>
    <w:semiHidden/>
    <w:unhideWhenUsed/>
    <w:qFormat/>
    <w:pPr>
      <w:keepNext/>
      <w:keepLines/>
      <w:numPr>
        <w:ilvl w:val="3"/>
        <w:numId w:val="1"/>
      </w:numPr>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semiHidden/>
    <w:unhideWhenUsed/>
    <w:qFormat/>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paragraph" w:styleId="6">
    <w:name w:val="heading 6"/>
    <w:basedOn w:val="a"/>
    <w:next w:val="a"/>
    <w:link w:val="60"/>
    <w:uiPriority w:val="9"/>
    <w:semiHidden/>
    <w:unhideWhenUsed/>
    <w:qFormat/>
    <w:pPr>
      <w:keepNext/>
      <w:keepLines/>
      <w:numPr>
        <w:ilvl w:val="5"/>
        <w:numId w:val="1"/>
      </w:numPr>
      <w:spacing w:before="40" w:after="0" w:line="240" w:lineRule="auto"/>
      <w:outlineLvl w:val="5"/>
    </w:pPr>
    <w:rPr>
      <w:rFonts w:asciiTheme="majorHAnsi" w:eastAsiaTheme="majorEastAsia" w:hAnsiTheme="majorHAnsi" w:cstheme="majorBidi"/>
      <w:color w:val="244061" w:themeColor="accent1" w:themeShade="80"/>
      <w:sz w:val="24"/>
      <w:szCs w:val="24"/>
      <w:lang w:eastAsia="ru-RU"/>
    </w:rPr>
  </w:style>
  <w:style w:type="paragraph" w:styleId="7">
    <w:name w:val="heading 7"/>
    <w:basedOn w:val="a"/>
    <w:next w:val="a"/>
    <w:link w:val="70"/>
    <w:uiPriority w:val="9"/>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244061" w:themeColor="accent1" w:themeShade="80"/>
      <w:sz w:val="24"/>
      <w:szCs w:val="24"/>
      <w:lang w:eastAsia="ru-RU"/>
    </w:rPr>
  </w:style>
  <w:style w:type="paragraph" w:styleId="8">
    <w:name w:val="heading 8"/>
    <w:basedOn w:val="a"/>
    <w:next w:val="a"/>
    <w:link w:val="80"/>
    <w:uiPriority w:val="9"/>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eastAsia="ru-RU"/>
    </w:rPr>
  </w:style>
  <w:style w:type="paragraph" w:styleId="9">
    <w:name w:val="heading 9"/>
    <w:basedOn w:val="a"/>
    <w:next w:val="a"/>
    <w:link w:val="90"/>
    <w:uiPriority w:val="9"/>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No Spacing"/>
    <w:uiPriority w:val="1"/>
    <w:qFormat/>
    <w:pPr>
      <w:spacing w:after="0" w:line="240" w:lineRule="auto"/>
    </w:pPr>
    <w:rPr>
      <w:sz w:val="22"/>
      <w:szCs w:val="22"/>
      <w:lang w:val="ru-RU" w:eastAsia="en-US"/>
    </w:rPr>
  </w:style>
  <w:style w:type="character" w:customStyle="1" w:styleId="a6">
    <w:name w:val="Верхній колонтитул Знак"/>
    <w:basedOn w:val="a0"/>
    <w:link w:val="a5"/>
    <w:uiPriority w:val="99"/>
  </w:style>
  <w:style w:type="paragraph" w:styleId="a8">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color w:val="244061" w:themeColor="accent1" w:themeShade="80"/>
      <w:sz w:val="24"/>
      <w:szCs w:val="24"/>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Pr>
      <w:rFonts w:asciiTheme="majorHAnsi" w:eastAsiaTheme="majorEastAsia" w:hAnsiTheme="majorHAnsi" w:cstheme="majorBidi"/>
      <w:color w:val="244061" w:themeColor="accent1" w:themeShade="80"/>
      <w:sz w:val="24"/>
      <w:szCs w:val="24"/>
      <w:lang w:eastAsia="ru-RU"/>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244061" w:themeColor="accent1" w:themeShade="80"/>
      <w:sz w:val="24"/>
      <w:szCs w:val="24"/>
      <w:lang w:eastAsia="ru-RU"/>
    </w:rPr>
  </w:style>
  <w:style w:type="character" w:customStyle="1" w:styleId="80">
    <w:name w:val="Заголовок 8 Знак"/>
    <w:basedOn w:val="a0"/>
    <w:link w:val="8"/>
    <w:uiPriority w:val="9"/>
    <w:semiHidden/>
    <w:rPr>
      <w:rFonts w:asciiTheme="majorHAnsi" w:eastAsiaTheme="majorEastAsia" w:hAnsiTheme="majorHAnsi" w:cstheme="majorBidi"/>
      <w:color w:val="262626" w:themeColor="text1" w:themeTint="D9"/>
      <w:sz w:val="21"/>
      <w:szCs w:val="21"/>
      <w:lang w:eastAsia="ru-RU"/>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262626" w:themeColor="text1" w:themeTint="D9"/>
      <w:sz w:val="21"/>
      <w:szCs w:val="21"/>
      <w:lang w:eastAsia="ru-RU"/>
    </w:rPr>
  </w:style>
  <w:style w:type="character" w:customStyle="1" w:styleId="a4">
    <w:name w:val="Текст у виносці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78F2FE-40F2-493C-B933-B868B0887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6B564-DC5C-4708-8D74-66AF3A70B7F3}">
  <ds:schemaRefs>
    <ds:schemaRef ds:uri="http://schemas.microsoft.com/sharepoint/v3/contenttype/forms"/>
  </ds:schemaRefs>
</ds:datastoreItem>
</file>

<file path=customXml/itemProps3.xml><?xml version="1.0" encoding="utf-8"?>
<ds:datastoreItem xmlns:ds="http://schemas.openxmlformats.org/officeDocument/2006/customXml" ds:itemID="{347670D4-0CC2-4935-8A60-802F307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10248</Words>
  <Characters>5842</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2020-07-09T15:14:00Z</dcterms:created>
  <dcterms:modified xsi:type="dcterms:W3CDTF">2020-07-09T15:14:00Z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1049-11.2.0.9260</vt:lpwstr>
  </property>
  <property fmtid="{D5CDD505-2E9C-101B-9397-08002B2CF9AE}" pid="3" name="ContentTypeId">
    <vt:lpwstr>0x0101005082CF9611B70740801F57C691914AA100112606590970F34A82426E1C2D62EACA</vt:lpwstr>
  </property>
</Properties>
</file>