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7501E5" w:rsidRPr="00462B1C" w:rsidRDefault="007501E5" w:rsidP="007501E5">
      <w:pPr>
        <w:contextualSpacing/>
        <w:jc w:val="right"/>
        <w:rPr>
          <w:sz w:val="20"/>
          <w:szCs w:val="20"/>
          <w:lang w:val="uk-UA"/>
        </w:rPr>
      </w:pPr>
    </w:p>
    <w:p w:rsidR="00462B1C" w:rsidRPr="00462B1C" w:rsidRDefault="00462B1C" w:rsidP="0057793B">
      <w:pPr>
        <w:contextualSpacing/>
        <w:jc w:val="center"/>
        <w:rPr>
          <w:b/>
          <w:sz w:val="28"/>
          <w:szCs w:val="28"/>
          <w:lang w:val="uk-UA"/>
        </w:rPr>
      </w:pPr>
    </w:p>
    <w:p w:rsidR="00462B1C" w:rsidRPr="00462B1C" w:rsidRDefault="00462B1C" w:rsidP="0057793B">
      <w:pPr>
        <w:contextualSpacing/>
        <w:jc w:val="center"/>
        <w:rPr>
          <w:b/>
          <w:sz w:val="28"/>
          <w:szCs w:val="28"/>
          <w:lang w:val="uk-UA"/>
        </w:rPr>
      </w:pPr>
    </w:p>
    <w:p w:rsidR="00462B1C" w:rsidRPr="00462B1C" w:rsidRDefault="00462B1C" w:rsidP="0057793B">
      <w:pPr>
        <w:contextualSpacing/>
        <w:jc w:val="center"/>
        <w:rPr>
          <w:b/>
          <w:sz w:val="28"/>
          <w:szCs w:val="28"/>
          <w:lang w:val="uk-UA"/>
        </w:rPr>
      </w:pPr>
    </w:p>
    <w:p w:rsidR="0057793B" w:rsidRPr="003B1F1C" w:rsidRDefault="007501E5" w:rsidP="0057793B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3B1F1C">
        <w:rPr>
          <w:b/>
          <w:color w:val="auto"/>
          <w:sz w:val="28"/>
          <w:szCs w:val="28"/>
          <w:lang w:val="uk-UA"/>
        </w:rPr>
        <w:t>ВИСНОВОК</w:t>
      </w:r>
      <w:r w:rsidR="0057793B" w:rsidRPr="003B1F1C">
        <w:rPr>
          <w:b/>
          <w:color w:val="auto"/>
          <w:sz w:val="28"/>
          <w:szCs w:val="28"/>
          <w:lang w:val="uk-UA"/>
        </w:rPr>
        <w:t xml:space="preserve"> </w:t>
      </w:r>
    </w:p>
    <w:p w:rsidR="0057793B" w:rsidRPr="003B1F1C" w:rsidRDefault="0057793B" w:rsidP="0057793B">
      <w:pPr>
        <w:contextualSpacing/>
        <w:jc w:val="center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3B1F1C">
        <w:rPr>
          <w:b/>
          <w:color w:val="auto"/>
          <w:sz w:val="28"/>
          <w:szCs w:val="28"/>
          <w:lang w:val="uk-UA"/>
        </w:rPr>
        <w:t xml:space="preserve">на проект Закону України «Про </w:t>
      </w:r>
      <w:r w:rsidRPr="003B1F1C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особливості реформування підприємств оборонно-промислового комплексу державної форми власності»</w:t>
      </w:r>
    </w:p>
    <w:p w:rsidR="0057793B" w:rsidRPr="003B1F1C" w:rsidRDefault="0057793B" w:rsidP="0057793B">
      <w:pPr>
        <w:contextualSpacing/>
        <w:jc w:val="center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</w:p>
    <w:p w:rsidR="00462B1C" w:rsidRPr="003B1F1C" w:rsidRDefault="00462B1C" w:rsidP="009E1DDB">
      <w:pPr>
        <w:spacing w:after="0"/>
        <w:ind w:firstLine="709"/>
        <w:contextualSpacing/>
        <w:rPr>
          <w:color w:val="auto"/>
          <w:sz w:val="28"/>
          <w:szCs w:val="28"/>
          <w:lang w:val="uk-UA"/>
        </w:rPr>
      </w:pPr>
      <w:r w:rsidRPr="003B1F1C">
        <w:rPr>
          <w:color w:val="auto"/>
          <w:sz w:val="28"/>
          <w:szCs w:val="28"/>
          <w:lang w:val="uk-UA"/>
        </w:rPr>
        <w:t>Як зазначено у преамбулі проекту</w:t>
      </w:r>
      <w:r w:rsidR="009E1DDB" w:rsidRPr="003B1F1C">
        <w:rPr>
          <w:color w:val="auto"/>
          <w:sz w:val="28"/>
          <w:szCs w:val="28"/>
          <w:lang w:val="uk-UA"/>
        </w:rPr>
        <w:t>,</w:t>
      </w:r>
      <w:r w:rsidRPr="003B1F1C">
        <w:rPr>
          <w:color w:val="auto"/>
          <w:sz w:val="28"/>
          <w:szCs w:val="28"/>
          <w:lang w:val="uk-UA"/>
        </w:rPr>
        <w:t xml:space="preserve"> «цей Закон визначає особливості правового, економічного та організаційного регулювання перетворення Державного концерну «</w:t>
      </w:r>
      <w:proofErr w:type="spellStart"/>
      <w:r w:rsidRPr="003B1F1C">
        <w:rPr>
          <w:color w:val="auto"/>
          <w:sz w:val="28"/>
          <w:szCs w:val="28"/>
          <w:lang w:val="uk-UA"/>
        </w:rPr>
        <w:t>Укроборонпром</w:t>
      </w:r>
      <w:proofErr w:type="spellEnd"/>
      <w:r w:rsidRPr="003B1F1C">
        <w:rPr>
          <w:color w:val="auto"/>
          <w:sz w:val="28"/>
          <w:szCs w:val="28"/>
          <w:lang w:val="uk-UA"/>
        </w:rPr>
        <w:t>» в акціонерне товариство, державних унітарних підприємств, у тому числі казенних підприємств, що входять до складу Державного концерну «</w:t>
      </w:r>
      <w:proofErr w:type="spellStart"/>
      <w:r w:rsidRPr="003B1F1C">
        <w:rPr>
          <w:color w:val="auto"/>
          <w:sz w:val="28"/>
          <w:szCs w:val="28"/>
          <w:lang w:val="uk-UA"/>
        </w:rPr>
        <w:t>Укроборонпром</w:t>
      </w:r>
      <w:proofErr w:type="spellEnd"/>
      <w:r w:rsidRPr="003B1F1C">
        <w:rPr>
          <w:color w:val="auto"/>
          <w:sz w:val="28"/>
          <w:szCs w:val="28"/>
          <w:lang w:val="uk-UA"/>
        </w:rPr>
        <w:t>» – у господарські товариства, управління і розпорядження їх майном та спрямований на забезпечення економічної безпеки і захисту інтересів держави».</w:t>
      </w:r>
    </w:p>
    <w:p w:rsidR="00462B1C" w:rsidRPr="003B1F1C" w:rsidRDefault="00462B1C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Розглянувши проект у межах наданого часу, </w:t>
      </w:r>
      <w:r w:rsidR="00A93595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Головне 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управління вважає за доцільне висловити щодо його змісту наступні зауваження та пропозиції.</w:t>
      </w:r>
    </w:p>
    <w:p w:rsidR="00392A02" w:rsidRPr="003B1F1C" w:rsidRDefault="003A273E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1.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E87217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Насамперед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зазначимо, що </w:t>
      </w:r>
      <w:r w:rsidR="00A04D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запропонований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у проекті </w:t>
      </w:r>
      <w:r w:rsidR="00A04D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механізм реформування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Державного к</w:t>
      </w:r>
      <w:r w:rsidR="00A04D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онцерну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«</w:t>
      </w:r>
      <w:proofErr w:type="spellStart"/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Укроборонпром</w:t>
      </w:r>
      <w:proofErr w:type="spellEnd"/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» (далі – Концерн) </w:t>
      </w:r>
      <w:r w:rsidR="00CD6AAA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в</w:t>
      </w:r>
      <w:r w:rsidR="006324F8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акціонерне товариство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, а його учасників (державних унітарних підприємст</w:t>
      </w:r>
      <w:r w:rsidR="00030D07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в)</w:t>
      </w:r>
      <w:r w:rsidR="00030D07" w:rsidRPr="003B1F1C">
        <w:rPr>
          <w:rFonts w:eastAsia="Times New Roman"/>
          <w:bCs/>
          <w:color w:val="auto"/>
          <w:sz w:val="28"/>
          <w:szCs w:val="28"/>
          <w:lang w:eastAsia="uk-UA"/>
        </w:rPr>
        <w:t xml:space="preserve"> – </w:t>
      </w:r>
      <w:r w:rsidR="005E6181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у господарські товариства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полягає у </w:t>
      </w:r>
      <w:r w:rsidR="00A04D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створенн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і для 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них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особливих </w:t>
      </w:r>
      <w:r w:rsidR="00A04D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законодавчих умов, </w:t>
      </w:r>
      <w:r w:rsidR="00462B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частина з яких спрямована на 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надання вказани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м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суб’єктам господарювання виключного положення шля</w:t>
      </w:r>
      <w:r w:rsidR="00091A2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хом, зокрема, «незастосування» 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до них положень загального цивільного та господарського законодавства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без належного </w:t>
      </w:r>
      <w:r w:rsidR="00030D07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обґрунтування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такого «незастосування» у супровідних документах до проекту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. </w:t>
      </w:r>
    </w:p>
    <w:p w:rsidR="001C0E43" w:rsidRPr="00DA79A2" w:rsidRDefault="0056627D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Н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а наш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у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думку, 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подібна «</w:t>
      </w:r>
      <w:r w:rsidR="00091A2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виключність» правового статусу 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Концерну та його учасників 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може 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створ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ити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передумови для зростання непрозорості у фінансовій та виробничій діяльності реформованих суб’єктів господарювання, що може призвести до втрати належного контролю держави за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їх діяльністю </w:t>
      </w:r>
      <w:r w:rsidR="003A273E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з відповідними негативними наслідками для обороноздатності України.</w:t>
      </w:r>
      <w:r w:rsidR="0044760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Зокрема, йдеться про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п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ункт 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6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розділу </w:t>
      </w:r>
      <w:r w:rsidR="00296052" w:rsidRPr="003B1F1C">
        <w:rPr>
          <w:rFonts w:eastAsia="Times New Roman"/>
          <w:bCs/>
          <w:color w:val="auto"/>
          <w:sz w:val="28"/>
          <w:szCs w:val="28"/>
          <w:lang w:val="en-US" w:eastAsia="uk-UA"/>
        </w:rPr>
        <w:t>V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ІІ «Прикінцеві положення» проекту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Закону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згідно з яким на підставі рішення Кабінету Міністрів України, прийнятого за пропозицією уповноваженого суб’єкта управління, пакет акцій (частка у статутному капіталі) господарського товариства в </w:t>
      </w:r>
      <w:r w:rsidR="00F21C06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оборонно-промисловому комплексі (далі – 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ОПК</w:t>
      </w:r>
      <w:r w:rsidR="00F21C06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)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який належить державі, акціонерному товариству або господарському товариству в 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ОПК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може бути переданий акціонерному товариству, іншому господарському товариству в 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ОПК </w:t>
      </w:r>
      <w:r w:rsidR="00296052" w:rsidRPr="00DA79A2">
        <w:rPr>
          <w:rFonts w:eastAsia="Times New Roman"/>
          <w:bCs/>
          <w:i/>
          <w:color w:val="auto"/>
          <w:sz w:val="28"/>
          <w:szCs w:val="28"/>
          <w:u w:val="single"/>
          <w:lang w:val="uk-UA" w:eastAsia="uk-UA"/>
        </w:rPr>
        <w:t>у власність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для формування його статутного капіталу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.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Враховуючи положення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383D74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ч. 1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ст. 21 проекту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Закону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</w:t>
      </w:r>
      <w:r w:rsidR="00383D74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згідно з якими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пакет акцій (частка у статутному капіталі)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lastRenderedPageBreak/>
        <w:t xml:space="preserve">товариства може бути переданий іншому господарському товариству в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ОПК </w:t>
      </w:r>
      <w:r w:rsidR="00296052" w:rsidRPr="003B1F1C">
        <w:rPr>
          <w:rFonts w:eastAsia="Times New Roman"/>
          <w:bCs/>
          <w:i/>
          <w:color w:val="auto"/>
          <w:sz w:val="28"/>
          <w:szCs w:val="28"/>
          <w:u w:val="single"/>
          <w:lang w:val="uk-UA" w:eastAsia="uk-UA"/>
        </w:rPr>
        <w:t>у власність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для формування його статутного капіталу, подібне розпорядження державною власністю 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створює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можлив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ості для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фактичної </w:t>
      </w:r>
      <w:r w:rsidR="00F21C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приватизації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державних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підприємств ОПК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та утворених на їх основі товариств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поза 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межами 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Закону України «Про приватизацію державного та комунального майна». Це ж саме зауваження стосується й </w:t>
      </w:r>
      <w:proofErr w:type="spellStart"/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абз</w:t>
      </w:r>
      <w:proofErr w:type="spellEnd"/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. 2 ч. 1 ст.</w:t>
      </w:r>
      <w:r w:rsidR="003F7F80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5 проекту Закону, згідно з яким</w:t>
      </w:r>
      <w:r w:rsidR="001C0E43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«за рішенням Кабінету Міністрів України акціонерне 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товариство, господарське товариство в оборонно-промисловому комплексі має право </w:t>
      </w:r>
      <w:r w:rsidR="001C0E43" w:rsidRPr="00DA79A2">
        <w:rPr>
          <w:rFonts w:eastAsia="Times New Roman"/>
          <w:bCs/>
          <w:i/>
          <w:color w:val="auto"/>
          <w:sz w:val="28"/>
          <w:szCs w:val="28"/>
          <w:u w:val="single"/>
          <w:lang w:val="uk-UA" w:eastAsia="uk-UA"/>
        </w:rPr>
        <w:t>відчужити пакет акцій</w:t>
      </w:r>
      <w:r w:rsidR="001C0E43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(частку у статутному капіталі) господарського товариства в оборонно-промисловому комплексі, що належить акціонерному товариству, господарському товариству в оборонно-промисловому комплексі у розмірі, що не перевищує 25%-1 акція».</w:t>
      </w:r>
    </w:p>
    <w:p w:rsidR="00296052" w:rsidRPr="003B1F1C" w:rsidRDefault="0044760B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Варто також звернути увагу, що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деякі положення </w:t>
      </w:r>
      <w:r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проекту,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наприклад, такі</w:t>
      </w:r>
      <w:r w:rsidR="005E618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,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як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відмова від проведення оцінки майна відповідно до Закону України «Про оцінку майна, майнових прав та професійну оціночну діяльність</w:t>
      </w:r>
      <w:r w:rsidR="00F21C06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в Україні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» при перетворенні Концерну та його учасників у відповідні товариства (зміни до ст. 7 вказаного Закону) </w:t>
      </w:r>
      <w:r w:rsidR="005E618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або відмова від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реєстрації їх нерухо</w:t>
      </w:r>
      <w:r w:rsidR="004E592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м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ого майна </w:t>
      </w:r>
      <w:r w:rsidR="004E592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при його безоплатній передачі іншому господарському товариству </w:t>
      </w:r>
      <w:r w:rsidR="00F21C06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в</w:t>
      </w:r>
      <w:r w:rsidR="004E592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ОПК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до такого перетворення (</w:t>
      </w:r>
      <w:r w:rsidR="004E592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ч. 5 ст. 9</w:t>
      </w:r>
      <w:r w:rsidR="00085DDA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ч. 4 ст. 14 проекту Закону; зміни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до</w:t>
      </w:r>
      <w:r w:rsidR="0090748E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                 </w:t>
      </w:r>
      <w:bookmarkStart w:id="0" w:name="_GoBack"/>
      <w:bookmarkEnd w:id="0"/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383D74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ч. 4 </w:t>
      </w:r>
      <w:r w:rsidR="0029605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ст. 3 Закону України «Про державну реєстрацію речових прав на нерухоме майно</w:t>
      </w:r>
      <w:r w:rsidR="0029605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та їх обтяжень») можуть призвести до втрати вказаного майна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. </w:t>
      </w:r>
      <w:r w:rsidR="00085DD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Зауважимо, що відсутність положень, які передбачають проведення незалежної оцінки майна відповідно до Закону України «Про оцінку майна, майнових прав та професійну оціночну діяльність в Україні», </w:t>
      </w:r>
      <w:r w:rsidR="00F21C06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може мати наслідком</w:t>
      </w:r>
      <w:r w:rsidR="00085DD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формування розміру статутного капіталу новостворен</w:t>
      </w:r>
      <w:r w:rsidR="00383D74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их </w:t>
      </w:r>
      <w:r w:rsidR="00085DD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товариств</w:t>
      </w:r>
      <w:r w:rsidR="00383D74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,</w:t>
      </w:r>
      <w:r w:rsidR="00085DDA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виходячи з вартості, що не відповідає ринковій (справедливій) вартості.</w:t>
      </w:r>
    </w:p>
    <w:p w:rsidR="00F0298F" w:rsidRPr="00DA79A2" w:rsidRDefault="00A55B16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2.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Частина положень проекту Закону, наприклад, ч. 9 ст. 3 проекту Закону</w:t>
      </w:r>
      <w:r w:rsidR="00F0298F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, згідно з якою «</w:t>
      </w:r>
      <w:r w:rsidR="00392A0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під час</w:t>
      </w:r>
      <w:r w:rsidR="00F0298F" w:rsidRPr="003B1F1C">
        <w:rPr>
          <w:color w:val="auto"/>
          <w:sz w:val="28"/>
          <w:szCs w:val="28"/>
        </w:rPr>
        <w:t xml:space="preserve"> </w:t>
      </w:r>
      <w:r w:rsidR="00F0298F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утворення акціонерного товариства, формування його статутного капіталу та припинення Державного концерну «</w:t>
      </w:r>
      <w:proofErr w:type="spellStart"/>
      <w:r w:rsidR="00F0298F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Укроборонпром</w:t>
      </w:r>
      <w:proofErr w:type="spellEnd"/>
      <w:r w:rsidR="00F0298F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» шляхом перетворення …. не застосовуються положення законодавства і </w:t>
      </w:r>
      <w:r w:rsidR="00F0298F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договорів щодо:  необхідності одержання згоди кредиторів стосовно заміни боржника у зобов'язанні (переведення боргу), якщо інше не передбачено міжнародними договорами України, згода на обов'язковість яких надана Верховною Радою України» ставить кредиторів Концерну у нерівне </w:t>
      </w:r>
      <w:r w:rsidR="00F21C06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становище</w:t>
      </w:r>
      <w:r w:rsidR="00F0298F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згідно з кредиторами інших суб’єктів господарювання та може призвести до завдання шкоди їх правам та законним інтересам. </w:t>
      </w:r>
    </w:p>
    <w:p w:rsidR="004E5921" w:rsidRPr="00DA79A2" w:rsidRDefault="004E5921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Зазначене зауваження стосується і аналогічних положень ч. 4 ст. 10 </w:t>
      </w:r>
      <w:r w:rsidR="00085DDA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та </w:t>
      </w:r>
      <w:r w:rsidR="005E6181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br/>
      </w:r>
      <w:r w:rsidR="00085DDA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ч. 3 ст. 14 </w:t>
      </w:r>
      <w:r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проекту Закону. </w:t>
      </w:r>
    </w:p>
    <w:p w:rsidR="009E1DDB" w:rsidRPr="003B1F1C" w:rsidRDefault="00A55B16" w:rsidP="009E1DDB">
      <w:pPr>
        <w:spacing w:after="0"/>
        <w:ind w:firstLine="709"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DA79A2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3</w:t>
      </w:r>
      <w:r w:rsidR="00FE1C1B" w:rsidRPr="00DA79A2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.</w:t>
      </w:r>
      <w:r w:rsidR="00FE1C1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У законопроекті не передбачено </w:t>
      </w:r>
      <w:r w:rsidR="00383D74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визначення 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повноважень центрального органу виконавчої влади, що забезпечує формування та реалізує державну військово-промислову політику, щодо його взаємодії з реформованим</w:t>
      </w:r>
      <w:r w:rsidR="00383D74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Концерном та його учасниками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, тобто</w:t>
      </w:r>
      <w:r w:rsidR="003B1F1C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,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не враховано</w:t>
      </w:r>
      <w:r w:rsidR="009E1DD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приписи Закону України «Про національну безпеку України» щодо повноважень цього органу визначати пріоритетні 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напрями розвитку </w:t>
      </w:r>
      <w:r w:rsidR="003B1F1C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ОПК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, забезпечувати нормативно-правове регулювання у цій сфері, аналізувати стан та тенденції 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lastRenderedPageBreak/>
        <w:t xml:space="preserve">розвитку </w:t>
      </w:r>
      <w:r w:rsidR="003B1F1C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ОПК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України, розробляти та організовувати виконання державних програм розвитку </w:t>
      </w:r>
      <w:r w:rsidR="003B1F1C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ОПК</w:t>
      </w:r>
      <w:r w:rsidR="00DA79A2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</w:t>
      </w:r>
      <w:r w:rsidR="009E1DDB" w:rsidRPr="00DA79A2">
        <w:rPr>
          <w:rFonts w:eastAsia="Times New Roman"/>
          <w:bCs/>
          <w:color w:val="auto"/>
          <w:sz w:val="28"/>
          <w:szCs w:val="28"/>
          <w:lang w:val="uk-UA" w:eastAsia="uk-UA"/>
        </w:rPr>
        <w:t>(ст. 23 вказаного Закону). Крім цього, у проекті відсутні положення щодо контролю за реформуванням підприємств</w:t>
      </w:r>
      <w:r w:rsidR="009E1DD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ОПК державної форми власності.</w:t>
      </w:r>
    </w:p>
    <w:p w:rsidR="0056627D" w:rsidRPr="003B1F1C" w:rsidRDefault="009E1DDB" w:rsidP="009E1DDB">
      <w:pPr>
        <w:spacing w:after="0"/>
        <w:ind w:firstLine="709"/>
        <w:rPr>
          <w:rFonts w:eastAsia="Times New Roman"/>
          <w:color w:val="auto"/>
          <w:sz w:val="28"/>
          <w:szCs w:val="28"/>
          <w:lang w:val="uk-UA"/>
        </w:rPr>
      </w:pPr>
      <w:r w:rsidRPr="003B1F1C">
        <w:rPr>
          <w:rFonts w:eastAsia="Times New Roman"/>
          <w:b/>
          <w:color w:val="auto"/>
          <w:sz w:val="28"/>
          <w:szCs w:val="28"/>
          <w:lang w:val="uk-UA"/>
        </w:rPr>
        <w:t xml:space="preserve">4. </w:t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Вважаємо, що термінологічний апарат проекту Закону (ст. 1) вимагає </w:t>
      </w:r>
      <w:r w:rsidR="003B1F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доопрацювання. </w:t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Зокрема, залишається незрозумілим</w:t>
      </w:r>
      <w:r w:rsidR="00383D74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,</w:t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яке саме товариство</w:t>
      </w:r>
      <w:r w:rsidR="00E3503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br/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(</w:t>
      </w:r>
      <w:proofErr w:type="spellStart"/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абз</w:t>
      </w:r>
      <w:proofErr w:type="spellEnd"/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. 2 ч. 3 ст. 1 проекту Закону) має</w:t>
      </w:r>
      <w:r w:rsidR="005E6181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ться</w:t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на увазі під «господарським товариством в оборон</w:t>
      </w:r>
      <w:r w:rsidR="0056627D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н</w:t>
      </w:r>
      <w:r w:rsidR="00FE1C1B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о-промисловому комплексі», а також чим саме «</w:t>
      </w:r>
      <w:r w:rsidR="00FE1C1B" w:rsidRPr="003B1F1C">
        <w:rPr>
          <w:rFonts w:eastAsia="Times New Roman"/>
          <w:color w:val="auto"/>
          <w:sz w:val="28"/>
          <w:szCs w:val="28"/>
          <w:lang w:val="uk-UA"/>
        </w:rPr>
        <w:t>господарське товариство, пакет акцій (частка у статутному капіталі) якого належать або перебуває в управлінні уповноваженого суб’єкта управління» відрізняються від «господарського товариства, створеного за участю уповноваженого суб’єкта управління».</w:t>
      </w:r>
      <w:r w:rsidR="0056627D" w:rsidRPr="003B1F1C">
        <w:rPr>
          <w:rFonts w:eastAsia="Times New Roman"/>
          <w:color w:val="auto"/>
          <w:sz w:val="28"/>
          <w:szCs w:val="28"/>
          <w:lang w:val="uk-UA"/>
        </w:rPr>
        <w:t xml:space="preserve"> </w:t>
      </w:r>
    </w:p>
    <w:p w:rsidR="0056627D" w:rsidRPr="003B1F1C" w:rsidRDefault="009E1DDB" w:rsidP="009E1DDB">
      <w:pPr>
        <w:spacing w:after="0"/>
        <w:ind w:firstLine="709"/>
        <w:rPr>
          <w:color w:val="auto"/>
          <w:sz w:val="28"/>
          <w:szCs w:val="28"/>
          <w:lang w:val="uk-UA"/>
        </w:rPr>
      </w:pPr>
      <w:r w:rsidRPr="003B1F1C">
        <w:rPr>
          <w:rFonts w:eastAsia="Times New Roman"/>
          <w:b/>
          <w:color w:val="auto"/>
          <w:sz w:val="28"/>
          <w:szCs w:val="28"/>
          <w:lang w:val="uk-UA"/>
        </w:rPr>
        <w:t>5</w:t>
      </w:r>
      <w:r w:rsidR="0056627D" w:rsidRPr="003B1F1C">
        <w:rPr>
          <w:rFonts w:eastAsia="Times New Roman"/>
          <w:b/>
          <w:color w:val="auto"/>
          <w:sz w:val="28"/>
          <w:szCs w:val="28"/>
          <w:lang w:val="uk-UA"/>
        </w:rPr>
        <w:t>.</w:t>
      </w:r>
      <w:r w:rsidR="0056627D" w:rsidRPr="003B1F1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56627D" w:rsidRPr="003B1F1C">
        <w:rPr>
          <w:color w:val="auto"/>
          <w:sz w:val="28"/>
          <w:szCs w:val="28"/>
          <w:lang w:val="uk-UA"/>
        </w:rPr>
        <w:t>У ч. 1 ст. 3 проекту Закону передбачено, що «утворення акціонерного товариства здійснюється на підставі рішення суб’єкта управління шляхом реорганізації Державного концерну «</w:t>
      </w:r>
      <w:proofErr w:type="spellStart"/>
      <w:r w:rsidR="0056627D" w:rsidRPr="003B1F1C">
        <w:rPr>
          <w:color w:val="auto"/>
          <w:sz w:val="28"/>
          <w:szCs w:val="28"/>
          <w:lang w:val="uk-UA"/>
        </w:rPr>
        <w:t>Укроборонпром</w:t>
      </w:r>
      <w:proofErr w:type="spellEnd"/>
      <w:r w:rsidR="0056627D" w:rsidRPr="003B1F1C">
        <w:rPr>
          <w:color w:val="auto"/>
          <w:sz w:val="28"/>
          <w:szCs w:val="28"/>
          <w:lang w:val="uk-UA"/>
        </w:rPr>
        <w:t xml:space="preserve">» в порядку перетворення </w:t>
      </w:r>
      <w:r w:rsidR="0056627D" w:rsidRPr="003B1F1C">
        <w:rPr>
          <w:i/>
          <w:color w:val="auto"/>
          <w:sz w:val="28"/>
          <w:szCs w:val="28"/>
          <w:lang w:val="uk-UA"/>
        </w:rPr>
        <w:t>державного унітарного комерційного підприємства</w:t>
      </w:r>
      <w:r w:rsidR="0056627D" w:rsidRPr="003B1F1C">
        <w:rPr>
          <w:color w:val="auto"/>
          <w:sz w:val="28"/>
          <w:szCs w:val="28"/>
          <w:lang w:val="uk-UA"/>
        </w:rPr>
        <w:t xml:space="preserve"> в акціонерне товариство з урахуванням особливостей, визначених цим Законом». Проте слід звернути увагу, що Концерн згідно з п. 1 його Статуту (в редакції постанови Кабінету Міністрів України «Деякі питання Державного концерну «</w:t>
      </w:r>
      <w:proofErr w:type="spellStart"/>
      <w:r w:rsidR="0056627D" w:rsidRPr="003B1F1C">
        <w:rPr>
          <w:color w:val="auto"/>
          <w:sz w:val="28"/>
          <w:szCs w:val="28"/>
          <w:lang w:val="uk-UA"/>
        </w:rPr>
        <w:t>Укроборонпром</w:t>
      </w:r>
      <w:proofErr w:type="spellEnd"/>
      <w:r w:rsidR="0056627D" w:rsidRPr="003B1F1C">
        <w:rPr>
          <w:color w:val="auto"/>
          <w:sz w:val="28"/>
          <w:szCs w:val="28"/>
          <w:lang w:val="uk-UA"/>
        </w:rPr>
        <w:t xml:space="preserve">»» від 09.12.2020 № 1229)  визначений як </w:t>
      </w:r>
      <w:r w:rsidR="0056627D" w:rsidRPr="003B1F1C">
        <w:rPr>
          <w:i/>
          <w:color w:val="auto"/>
          <w:sz w:val="28"/>
          <w:szCs w:val="28"/>
          <w:u w:val="single"/>
          <w:lang w:val="uk-UA"/>
        </w:rPr>
        <w:t>державне господарське об’єднання</w:t>
      </w:r>
      <w:r w:rsidR="0056627D" w:rsidRPr="003B1F1C">
        <w:rPr>
          <w:color w:val="auto"/>
          <w:sz w:val="28"/>
          <w:szCs w:val="28"/>
          <w:lang w:val="uk-UA"/>
        </w:rPr>
        <w:t xml:space="preserve">. </w:t>
      </w:r>
    </w:p>
    <w:p w:rsidR="00FE1C1B" w:rsidRPr="003B1F1C" w:rsidRDefault="009E1DDB" w:rsidP="009E1DDB">
      <w:pPr>
        <w:spacing w:after="0"/>
        <w:ind w:firstLine="709"/>
        <w:rPr>
          <w:color w:val="auto"/>
          <w:sz w:val="28"/>
          <w:szCs w:val="28"/>
          <w:lang w:val="uk-UA"/>
        </w:rPr>
      </w:pPr>
      <w:r w:rsidRPr="003B1F1C">
        <w:rPr>
          <w:b/>
          <w:color w:val="auto"/>
          <w:sz w:val="28"/>
          <w:szCs w:val="28"/>
          <w:lang w:val="uk-UA"/>
        </w:rPr>
        <w:t>6</w:t>
      </w:r>
      <w:r w:rsidR="0056627D" w:rsidRPr="003B1F1C">
        <w:rPr>
          <w:b/>
          <w:color w:val="auto"/>
          <w:sz w:val="28"/>
          <w:szCs w:val="28"/>
          <w:lang w:val="uk-UA"/>
        </w:rPr>
        <w:t>.</w:t>
      </w:r>
      <w:r w:rsidR="0056627D" w:rsidRPr="003B1F1C">
        <w:rPr>
          <w:color w:val="auto"/>
          <w:sz w:val="28"/>
          <w:szCs w:val="28"/>
          <w:lang w:val="uk-UA"/>
        </w:rPr>
        <w:t xml:space="preserve"> У ст. 4 проекту Закону передбачена можливість формування статутного капіталу акціонерного товариства за рахунок коштів державного бюджету, що не узгоджується з ч. 1 ст. 86 Господарського кодексу Ук</w:t>
      </w:r>
      <w:r w:rsidR="003B1F1C" w:rsidRPr="003B1F1C">
        <w:rPr>
          <w:color w:val="auto"/>
          <w:sz w:val="28"/>
          <w:szCs w:val="28"/>
          <w:lang w:val="uk-UA"/>
        </w:rPr>
        <w:t xml:space="preserve">раїни, згідно з якою, зокрема, </w:t>
      </w:r>
      <w:r w:rsidR="0056627D" w:rsidRPr="003B1F1C">
        <w:rPr>
          <w:color w:val="auto"/>
          <w:sz w:val="28"/>
          <w:szCs w:val="28"/>
          <w:lang w:val="uk-UA"/>
        </w:rPr>
        <w:t>забороняється використовувати для формування статутного (складеного) капіталу товариства бюджетні кошти.</w:t>
      </w:r>
    </w:p>
    <w:p w:rsidR="007D1742" w:rsidRPr="003B1F1C" w:rsidRDefault="009E1DDB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7</w:t>
      </w:r>
      <w:r w:rsidR="00FE1C1B" w:rsidRPr="003B1F1C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.</w:t>
      </w:r>
      <w:r w:rsidR="0056627D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Вважаємо, що</w:t>
      </w:r>
      <w:r w:rsidR="007D174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у ч. 7 ст. 6 проекту Закону слід визначитися з максимальною величиною винагороди членам Наглядової ради акціонерного товариства, а також з діями товариства у разі, якщо член Наглядової ради не подає заяву про припинення своїх повноважень у разі виявлення обстави</w:t>
      </w:r>
      <w:r w:rsidR="005E6181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н</w:t>
      </w:r>
      <w:r w:rsidR="007D1742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невідповідності вимогам, встановленим законодавством.</w:t>
      </w:r>
    </w:p>
    <w:p w:rsidR="00A55B16" w:rsidRPr="003B1F1C" w:rsidRDefault="00A55B16" w:rsidP="009E1DDB">
      <w:pPr>
        <w:spacing w:after="0"/>
        <w:ind w:firstLine="709"/>
        <w:contextualSpacing/>
        <w:rPr>
          <w:rFonts w:eastAsia="Times New Roman"/>
          <w:bCs/>
          <w:color w:val="auto"/>
          <w:sz w:val="28"/>
          <w:szCs w:val="28"/>
          <w:lang w:val="uk-UA" w:eastAsia="uk-UA"/>
        </w:rPr>
      </w:pP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Це зауваження стосуєть</w:t>
      </w:r>
      <w:r w:rsidR="003B1F1C"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ся і ст. 5 Закону України «Про </w:t>
      </w:r>
      <w:r w:rsidRPr="003B1F1C">
        <w:rPr>
          <w:rFonts w:eastAsia="Times New Roman"/>
          <w:bCs/>
          <w:color w:val="auto"/>
          <w:sz w:val="28"/>
          <w:szCs w:val="28"/>
          <w:lang w:val="uk-UA" w:eastAsia="uk-UA"/>
        </w:rPr>
        <w:t>особливості управління об’єктами державної власності в оборонно-промисловому комплексі» у редакції проекту.</w:t>
      </w:r>
    </w:p>
    <w:p w:rsidR="006A14BF" w:rsidRPr="003B1F1C" w:rsidRDefault="009E1DDB" w:rsidP="009E1DDB">
      <w:pPr>
        <w:spacing w:after="0"/>
        <w:ind w:firstLine="709"/>
        <w:contextualSpacing/>
        <w:rPr>
          <w:rFonts w:eastAsia="Times New Roman"/>
          <w:color w:val="auto"/>
          <w:sz w:val="28"/>
          <w:szCs w:val="28"/>
          <w:lang w:val="uk-UA"/>
        </w:rPr>
      </w:pPr>
      <w:r w:rsidRPr="003B1F1C">
        <w:rPr>
          <w:b/>
          <w:color w:val="auto"/>
          <w:sz w:val="28"/>
          <w:szCs w:val="28"/>
          <w:lang w:val="uk-UA"/>
        </w:rPr>
        <w:t>8</w:t>
      </w:r>
      <w:r w:rsidR="00DB04EF" w:rsidRPr="003B1F1C">
        <w:rPr>
          <w:b/>
          <w:color w:val="auto"/>
          <w:sz w:val="28"/>
          <w:szCs w:val="28"/>
          <w:lang w:val="uk-UA"/>
        </w:rPr>
        <w:t>.</w:t>
      </w:r>
      <w:r w:rsidR="00DB04EF" w:rsidRPr="003B1F1C">
        <w:rPr>
          <w:color w:val="auto"/>
          <w:sz w:val="28"/>
          <w:szCs w:val="28"/>
          <w:lang w:val="uk-UA"/>
        </w:rPr>
        <w:t xml:space="preserve"> </w:t>
      </w:r>
      <w:r w:rsidR="00E5727E" w:rsidRPr="003B1F1C">
        <w:rPr>
          <w:color w:val="auto"/>
          <w:sz w:val="28"/>
          <w:szCs w:val="28"/>
          <w:lang w:val="uk-UA"/>
        </w:rPr>
        <w:t xml:space="preserve">У ст. 11 проекту </w:t>
      </w:r>
      <w:r w:rsidR="004E5921" w:rsidRPr="003B1F1C">
        <w:rPr>
          <w:color w:val="auto"/>
          <w:sz w:val="28"/>
          <w:szCs w:val="28"/>
          <w:lang w:val="uk-UA"/>
        </w:rPr>
        <w:t xml:space="preserve">Закону </w:t>
      </w:r>
      <w:r w:rsidR="00E5727E" w:rsidRPr="003B1F1C">
        <w:rPr>
          <w:color w:val="auto"/>
          <w:sz w:val="28"/>
          <w:szCs w:val="28"/>
          <w:lang w:val="uk-UA"/>
        </w:rPr>
        <w:t xml:space="preserve">передбачена заміна обтяженого майна </w:t>
      </w:r>
      <w:r w:rsidR="00E5727E" w:rsidRPr="003B1F1C">
        <w:rPr>
          <w:rFonts w:eastAsia="Times New Roman"/>
          <w:color w:val="auto"/>
          <w:sz w:val="28"/>
          <w:szCs w:val="28"/>
          <w:lang w:val="uk-UA"/>
        </w:rPr>
        <w:t>підприємства або господарського товариства в</w:t>
      </w:r>
      <w:r w:rsidR="00DA79A2">
        <w:rPr>
          <w:rFonts w:eastAsia="Times New Roman"/>
          <w:color w:val="auto"/>
          <w:sz w:val="28"/>
          <w:szCs w:val="28"/>
          <w:lang w:val="uk-UA"/>
        </w:rPr>
        <w:t xml:space="preserve"> ОПК</w:t>
      </w:r>
      <w:r w:rsidR="00E5727E" w:rsidRPr="003B1F1C">
        <w:rPr>
          <w:rFonts w:eastAsia="Times New Roman"/>
          <w:color w:val="auto"/>
          <w:sz w:val="28"/>
          <w:szCs w:val="28"/>
          <w:lang w:val="uk-UA"/>
        </w:rPr>
        <w:t>, 100 відсотків акцій якого належать державі, на яке накладено арешт під час здійснення виконавчого провадження, адміністративний арешт майна, або яке передано в податкову заставу, на інше майно, ринкова вартість якого не є меншою, ніж ринкова вартість обтяженого майна, у тому числі майном, переданим відповідному суб’єкту господарювання на підставі рішення уповноваженого суб’єкта управління.</w:t>
      </w:r>
      <w:r w:rsidR="004E5921" w:rsidRPr="003B1F1C">
        <w:rPr>
          <w:rFonts w:eastAsia="Times New Roman"/>
          <w:color w:val="auto"/>
          <w:sz w:val="28"/>
          <w:szCs w:val="28"/>
          <w:lang w:val="uk-UA"/>
        </w:rPr>
        <w:t xml:space="preserve"> Проте</w:t>
      </w:r>
      <w:r w:rsidR="00E5727E" w:rsidRPr="003B1F1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t>залишається незрозумілою подальша доля обтяженого майна, а також</w:t>
      </w:r>
      <w:r w:rsidR="005E6181" w:rsidRPr="003B1F1C">
        <w:rPr>
          <w:rFonts w:eastAsia="Times New Roman"/>
          <w:color w:val="auto"/>
          <w:sz w:val="28"/>
          <w:szCs w:val="28"/>
          <w:lang w:val="uk-UA"/>
        </w:rPr>
        <w:t xml:space="preserve"> те,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t xml:space="preserve"> яким чином захищатимуться відповідні права кредиторів зазначених суб’єктів господарювання. Адже згідно з ч. 2 вказаної статті «орган або посадова особа, рішенням якої накладено арешт під час здійснення 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lastRenderedPageBreak/>
        <w:t xml:space="preserve">виконавчого провадження, адміністративний арешт майна, або передано в податкову заставу обтяжене майно, після </w:t>
      </w:r>
      <w:r w:rsidR="006A14BF" w:rsidRPr="003B1F1C">
        <w:rPr>
          <w:rFonts w:eastAsia="Times New Roman"/>
          <w:i/>
          <w:color w:val="auto"/>
          <w:sz w:val="28"/>
          <w:szCs w:val="28"/>
          <w:lang w:val="uk-UA"/>
        </w:rPr>
        <w:t>надходження звернення від уповноваженого суб’єкта управління, підприємства або господарського товариства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t xml:space="preserve"> в оборонно-промисловому комплексі, 100 відсотків акцій якого належать державі, зобов’язаний вчинити передбачені законодавством дії щодо зняття із обтяженого майна арешту під час здійснення виконавчого провадження, припинення адміністративного арешту, звільнення такого майна з податкової застави, у тому числі щодо внесення відповідних змін до реєстрів відносно обтяженого майна». Крім цього, залишається невизначеним зміст звернення  від уповноваженого суб’єкта управління, підприємства або господарського товариства, про яке йдеться у цій частині.</w:t>
      </w:r>
      <w:r w:rsidR="00085DDA" w:rsidRPr="003B1F1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t xml:space="preserve">До того </w:t>
      </w:r>
      <w:r w:rsidR="005E6181" w:rsidRPr="003B1F1C">
        <w:rPr>
          <w:rFonts w:eastAsia="Times New Roman"/>
          <w:color w:val="auto"/>
          <w:sz w:val="28"/>
          <w:szCs w:val="28"/>
          <w:lang w:val="uk-UA"/>
        </w:rPr>
        <w:t xml:space="preserve">ж, </w:t>
      </w:r>
      <w:r w:rsidR="006A14BF" w:rsidRPr="003B1F1C">
        <w:rPr>
          <w:rFonts w:eastAsia="Times New Roman"/>
          <w:color w:val="auto"/>
          <w:sz w:val="28"/>
          <w:szCs w:val="28"/>
          <w:lang w:val="uk-UA"/>
        </w:rPr>
        <w:t>у статті не визначено, звідки береться інше майно, яким замінюється обтяжене майно, і що робити, якщо такого майна немає.</w:t>
      </w:r>
    </w:p>
    <w:p w:rsidR="00F04705" w:rsidRPr="00DA79A2" w:rsidRDefault="009E1DDB" w:rsidP="009E1DDB">
      <w:pPr>
        <w:spacing w:after="0"/>
        <w:ind w:firstLine="709"/>
        <w:contextualSpacing/>
        <w:rPr>
          <w:rFonts w:eastAsia="Times New Roman"/>
          <w:color w:val="auto"/>
          <w:sz w:val="28"/>
          <w:szCs w:val="28"/>
          <w:lang w:val="uk-UA"/>
        </w:rPr>
      </w:pPr>
      <w:r w:rsidRPr="00DA79A2">
        <w:rPr>
          <w:rFonts w:eastAsia="Times New Roman"/>
          <w:b/>
          <w:color w:val="auto"/>
          <w:sz w:val="28"/>
          <w:szCs w:val="28"/>
          <w:lang w:val="uk-UA"/>
        </w:rPr>
        <w:t>9</w:t>
      </w:r>
      <w:r w:rsidR="00DB04EF" w:rsidRPr="00DA79A2">
        <w:rPr>
          <w:rFonts w:eastAsia="Times New Roman"/>
          <w:b/>
          <w:color w:val="auto"/>
          <w:sz w:val="28"/>
          <w:szCs w:val="28"/>
          <w:lang w:val="uk-UA"/>
        </w:rPr>
        <w:t>.</w:t>
      </w:r>
      <w:r w:rsidR="00DB04EF" w:rsidRPr="00DA79A2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F04705" w:rsidRPr="00DA79A2">
        <w:rPr>
          <w:rFonts w:eastAsia="Times New Roman"/>
          <w:color w:val="auto"/>
          <w:sz w:val="28"/>
          <w:szCs w:val="28"/>
          <w:lang w:val="uk-UA"/>
        </w:rPr>
        <w:t>У пункті 5 розділу VІІ «Прикінцеві положення» проекту Закону  пропонується «установити, що на господарські товариства в оборонно-промисловому комплексі не поширюються встановлені законодавством обмеження щодо неможливості мати єдиним учасником інше підприємницьке товариство, учасником якого є одна особа». Вважаємо, що такий підхід (зокрема, в умовах, коли він може застосовуватися і до «недержавних» господарських товариств у ОПК) не враховує такого принципу створення господарських товариств, як запобігання їх тотожності</w:t>
      </w:r>
      <w:r w:rsidR="003B1F1C" w:rsidRPr="00DA79A2">
        <w:rPr>
          <w:rFonts w:eastAsia="Times New Roman"/>
          <w:color w:val="auto"/>
          <w:sz w:val="28"/>
          <w:szCs w:val="28"/>
          <w:lang w:val="uk-UA"/>
        </w:rPr>
        <w:t>.</w:t>
      </w:r>
      <w:r w:rsidR="00F04705" w:rsidRPr="00DA79A2">
        <w:rPr>
          <w:rFonts w:eastAsia="Times New Roman"/>
          <w:strike/>
          <w:color w:val="auto"/>
          <w:sz w:val="28"/>
          <w:szCs w:val="28"/>
          <w:lang w:val="uk-UA"/>
        </w:rPr>
        <w:t xml:space="preserve"> </w:t>
      </w:r>
    </w:p>
    <w:p w:rsidR="00D81C16" w:rsidRPr="003B1F1C" w:rsidRDefault="00F04705" w:rsidP="009E1DDB">
      <w:pPr>
        <w:spacing w:after="0"/>
        <w:ind w:firstLine="709"/>
        <w:contextualSpacing/>
        <w:rPr>
          <w:rFonts w:eastAsia="Times New Roman"/>
          <w:color w:val="auto"/>
          <w:sz w:val="28"/>
          <w:szCs w:val="28"/>
          <w:lang w:val="uk-UA"/>
        </w:rPr>
      </w:pPr>
      <w:r w:rsidRPr="00DA79A2">
        <w:rPr>
          <w:rFonts w:eastAsia="Times New Roman"/>
          <w:b/>
          <w:color w:val="auto"/>
          <w:sz w:val="28"/>
          <w:szCs w:val="28"/>
          <w:lang w:val="uk-UA"/>
        </w:rPr>
        <w:t>10.</w:t>
      </w:r>
      <w:r w:rsidRPr="00DA79A2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5D50BA" w:rsidRPr="00DA79A2">
        <w:rPr>
          <w:rFonts w:eastAsia="Times New Roman"/>
          <w:color w:val="auto"/>
          <w:sz w:val="28"/>
          <w:szCs w:val="28"/>
          <w:lang w:val="uk-UA"/>
        </w:rPr>
        <w:t xml:space="preserve">У пункті 10 розділу </w:t>
      </w:r>
      <w:r w:rsidR="00085DDA" w:rsidRPr="00DA79A2">
        <w:rPr>
          <w:rFonts w:eastAsia="Times New Roman"/>
          <w:color w:val="auto"/>
          <w:sz w:val="28"/>
          <w:szCs w:val="28"/>
          <w:lang w:val="uk-UA"/>
        </w:rPr>
        <w:t xml:space="preserve">VІІ </w:t>
      </w:r>
      <w:r w:rsidR="005D50BA" w:rsidRPr="00DA79A2">
        <w:rPr>
          <w:rFonts w:eastAsia="Times New Roman"/>
          <w:color w:val="auto"/>
          <w:sz w:val="28"/>
          <w:szCs w:val="28"/>
          <w:lang w:val="uk-UA"/>
        </w:rPr>
        <w:t>«</w:t>
      </w:r>
      <w:r w:rsidR="004374F6" w:rsidRPr="00DA79A2">
        <w:rPr>
          <w:rFonts w:eastAsia="Times New Roman"/>
          <w:color w:val="auto"/>
          <w:sz w:val="28"/>
          <w:szCs w:val="28"/>
          <w:lang w:val="uk-UA"/>
        </w:rPr>
        <w:t>П</w:t>
      </w:r>
      <w:r w:rsidR="005D50BA" w:rsidRPr="00DA79A2">
        <w:rPr>
          <w:rFonts w:eastAsia="Times New Roman"/>
          <w:color w:val="auto"/>
          <w:sz w:val="28"/>
          <w:szCs w:val="28"/>
          <w:lang w:val="uk-UA"/>
        </w:rPr>
        <w:t xml:space="preserve">рикінцеві положення» проекту </w:t>
      </w:r>
      <w:r w:rsidR="00085DDA" w:rsidRPr="00DA79A2">
        <w:rPr>
          <w:rFonts w:eastAsia="Times New Roman"/>
          <w:color w:val="auto"/>
          <w:sz w:val="28"/>
          <w:szCs w:val="28"/>
          <w:lang w:val="uk-UA"/>
        </w:rPr>
        <w:t xml:space="preserve">Закону </w:t>
      </w:r>
      <w:r w:rsidR="005D50BA" w:rsidRPr="00DA79A2">
        <w:rPr>
          <w:rFonts w:eastAsia="Times New Roman"/>
          <w:color w:val="auto"/>
          <w:sz w:val="28"/>
          <w:szCs w:val="28"/>
          <w:lang w:val="uk-UA"/>
        </w:rPr>
        <w:t>пропонується «установити, що державні підприємства, у тому числі казенні підприємства, які на момент припинення Державного концерну</w:t>
      </w:r>
      <w:r w:rsidR="005D50BA" w:rsidRPr="003B1F1C">
        <w:rPr>
          <w:rFonts w:eastAsia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="005D50BA" w:rsidRPr="003B1F1C">
        <w:rPr>
          <w:rFonts w:eastAsia="Times New Roman"/>
          <w:color w:val="auto"/>
          <w:sz w:val="28"/>
          <w:szCs w:val="28"/>
          <w:lang w:val="uk-UA"/>
        </w:rPr>
        <w:t>Укроборонпром</w:t>
      </w:r>
      <w:proofErr w:type="spellEnd"/>
      <w:r w:rsidR="005D50BA" w:rsidRPr="003B1F1C">
        <w:rPr>
          <w:rFonts w:eastAsia="Times New Roman"/>
          <w:color w:val="auto"/>
          <w:sz w:val="28"/>
          <w:szCs w:val="28"/>
          <w:lang w:val="uk-UA"/>
        </w:rPr>
        <w:t xml:space="preserve">» входили до його складу, до їх перетворення на товариства здійснюють сплату акціонерному товариству внесків в порядку та розмірах, визначених акціонерним товариством». Однак незрозумілою є правова підстава для </w:t>
      </w:r>
      <w:r w:rsidR="00085DDA" w:rsidRPr="003B1F1C">
        <w:rPr>
          <w:rFonts w:eastAsia="Times New Roman"/>
          <w:color w:val="auto"/>
          <w:sz w:val="28"/>
          <w:szCs w:val="28"/>
          <w:lang w:val="uk-UA"/>
        </w:rPr>
        <w:t xml:space="preserve">виплати </w:t>
      </w:r>
      <w:r w:rsidR="005D50BA" w:rsidRPr="003B1F1C">
        <w:rPr>
          <w:rFonts w:eastAsia="Times New Roman"/>
          <w:color w:val="auto"/>
          <w:sz w:val="28"/>
          <w:szCs w:val="28"/>
          <w:lang w:val="uk-UA"/>
        </w:rPr>
        <w:t>подібних внесків.</w:t>
      </w:r>
      <w:r w:rsidR="00085DDA" w:rsidRPr="003B1F1C">
        <w:rPr>
          <w:rFonts w:eastAsia="Times New Roman"/>
          <w:color w:val="auto"/>
          <w:sz w:val="28"/>
          <w:szCs w:val="28"/>
          <w:lang w:val="uk-UA"/>
        </w:rPr>
        <w:t xml:space="preserve"> </w:t>
      </w:r>
    </w:p>
    <w:p w:rsidR="009E1DDB" w:rsidRPr="003B1F1C" w:rsidRDefault="00F04705" w:rsidP="009E1DDB">
      <w:pPr>
        <w:spacing w:after="0"/>
        <w:ind w:firstLine="709"/>
        <w:contextualSpacing/>
        <w:rPr>
          <w:rFonts w:eastAsia="Times New Roman"/>
          <w:color w:val="auto"/>
          <w:sz w:val="28"/>
          <w:szCs w:val="28"/>
          <w:lang w:val="uk-UA"/>
        </w:rPr>
      </w:pPr>
      <w:r w:rsidRPr="003B1F1C">
        <w:rPr>
          <w:rFonts w:eastAsia="Times New Roman"/>
          <w:b/>
          <w:color w:val="auto"/>
          <w:sz w:val="28"/>
          <w:szCs w:val="28"/>
          <w:lang w:val="uk-UA"/>
        </w:rPr>
        <w:t>11</w:t>
      </w:r>
      <w:r w:rsidR="00A55B16" w:rsidRPr="003B1F1C">
        <w:rPr>
          <w:rFonts w:eastAsia="Times New Roman"/>
          <w:b/>
          <w:color w:val="auto"/>
          <w:sz w:val="28"/>
          <w:szCs w:val="28"/>
          <w:lang w:val="uk-UA"/>
        </w:rPr>
        <w:t xml:space="preserve">. </w:t>
      </w:r>
      <w:r w:rsidR="009E1DDB" w:rsidRPr="003B1F1C">
        <w:rPr>
          <w:rFonts w:eastAsia="Times New Roman"/>
          <w:color w:val="auto"/>
          <w:sz w:val="28"/>
          <w:szCs w:val="28"/>
          <w:lang w:val="uk-UA"/>
        </w:rPr>
        <w:t xml:space="preserve">У змінах </w:t>
      </w:r>
      <w:r w:rsidR="003B1F1C">
        <w:rPr>
          <w:rFonts w:eastAsia="Times New Roman"/>
          <w:color w:val="auto"/>
          <w:sz w:val="28"/>
          <w:szCs w:val="28"/>
          <w:lang w:val="uk-UA"/>
        </w:rPr>
        <w:t xml:space="preserve">до </w:t>
      </w:r>
      <w:r w:rsidR="009E1DDB" w:rsidRPr="003B1F1C">
        <w:rPr>
          <w:rFonts w:eastAsia="Times New Roman"/>
          <w:color w:val="auto"/>
          <w:sz w:val="28"/>
          <w:szCs w:val="28"/>
          <w:lang w:val="uk-UA"/>
        </w:rPr>
        <w:t>ст. 11 Закону України «Про управління об’єктами права державної власності» визначається, зокрема, що «протягом трьох років з дня набрання чинності Законом України «Про особливості реформування  підприємств оборонно-промислового комплексу державної форми власності» чистий прибуток акціонерного товариства, утвореного шляхом перетворення Державного концерну «</w:t>
      </w:r>
      <w:proofErr w:type="spellStart"/>
      <w:r w:rsidR="009E1DDB" w:rsidRPr="003B1F1C">
        <w:rPr>
          <w:rFonts w:eastAsia="Times New Roman"/>
          <w:color w:val="auto"/>
          <w:sz w:val="28"/>
          <w:szCs w:val="28"/>
          <w:lang w:val="uk-UA"/>
        </w:rPr>
        <w:t>Укроборонпром</w:t>
      </w:r>
      <w:proofErr w:type="spellEnd"/>
      <w:r w:rsidR="009E1DDB" w:rsidRPr="003B1F1C">
        <w:rPr>
          <w:rFonts w:eastAsia="Times New Roman"/>
          <w:color w:val="auto"/>
          <w:sz w:val="28"/>
          <w:szCs w:val="28"/>
          <w:lang w:val="uk-UA"/>
        </w:rPr>
        <w:t xml:space="preserve">», з якого розраховуються та сплачуються дивіденди, зменшується на суму прибутку (доходу), яка виникла в результаті сплати йому внесків та дивідендів, за умови використання цих коштів для поповнення статутних капіталів державних підприємств, у тому числі казенних підприємств, господарських товариств в оборонно-промисловому комплексі, визначених частиною першою статті 1 Закону України «Про особливості реформування підприємств оборонно-промислового комплексу державної форми власності», з метою забезпечення їх фінансового оздоровлення, погашення їх заборгованостей, розвитку і модернізації виробництва, фінансування науково-технічних розробок, забезпечення їх інноваційної діяльності або забезпечення умов для проведення заходів з їх перетворення на господарські товариства, або спрямування цих </w:t>
      </w:r>
      <w:r w:rsidR="009E1DDB" w:rsidRPr="003B1F1C">
        <w:rPr>
          <w:rFonts w:eastAsia="Times New Roman"/>
          <w:color w:val="auto"/>
          <w:sz w:val="28"/>
          <w:szCs w:val="28"/>
          <w:lang w:val="uk-UA"/>
        </w:rPr>
        <w:lastRenderedPageBreak/>
        <w:t>коштів до фондів інвестиційного, інноваційного розвитку». Проте у проекті відсутні положення про контроль за цільовим використанням вказаних коштів.</w:t>
      </w:r>
    </w:p>
    <w:p w:rsidR="00A351EF" w:rsidRPr="003B1F1C" w:rsidRDefault="00030D07" w:rsidP="009E1DDB">
      <w:pPr>
        <w:spacing w:after="0"/>
        <w:ind w:firstLine="709"/>
        <w:contextualSpacing/>
        <w:rPr>
          <w:rFonts w:eastAsia="Times New Roman"/>
          <w:color w:val="auto"/>
          <w:sz w:val="28"/>
          <w:szCs w:val="28"/>
          <w:lang w:val="uk-UA"/>
        </w:rPr>
      </w:pPr>
      <w:r w:rsidRPr="003B1F1C">
        <w:rPr>
          <w:rFonts w:eastAsia="Times New Roman"/>
          <w:b/>
          <w:color w:val="auto"/>
          <w:sz w:val="28"/>
          <w:szCs w:val="28"/>
          <w:lang w:val="uk-UA"/>
        </w:rPr>
        <w:t>1</w:t>
      </w:r>
      <w:r w:rsidR="00F04705" w:rsidRPr="003B1F1C">
        <w:rPr>
          <w:rFonts w:eastAsia="Times New Roman"/>
          <w:b/>
          <w:color w:val="auto"/>
          <w:sz w:val="28"/>
          <w:szCs w:val="28"/>
          <w:lang w:val="uk-UA"/>
        </w:rPr>
        <w:t>2</w:t>
      </w:r>
      <w:r w:rsidRPr="003B1F1C">
        <w:rPr>
          <w:rFonts w:eastAsia="Times New Roman"/>
          <w:b/>
          <w:color w:val="auto"/>
          <w:sz w:val="28"/>
          <w:szCs w:val="28"/>
          <w:lang w:val="uk-UA"/>
        </w:rPr>
        <w:t xml:space="preserve">. </w:t>
      </w:r>
      <w:r w:rsidR="003B1F1C">
        <w:rPr>
          <w:rFonts w:eastAsia="Times New Roman"/>
          <w:color w:val="auto"/>
          <w:sz w:val="28"/>
          <w:szCs w:val="28"/>
          <w:lang w:val="uk-UA"/>
        </w:rPr>
        <w:t xml:space="preserve">Виходячи з </w:t>
      </w:r>
      <w:r w:rsidRPr="003B1F1C">
        <w:rPr>
          <w:rFonts w:eastAsia="Times New Roman"/>
          <w:color w:val="auto"/>
          <w:sz w:val="28"/>
          <w:szCs w:val="28"/>
          <w:lang w:val="uk-UA"/>
        </w:rPr>
        <w:t>вимог ст. 116 Конституції України, згідно з якою Кабінет Міністрів України, зокрема, здійснює управління об’єктами права державної власності відповідно до закону, а також здійснює заходи щодо забезпечення обороноздатності, Головне управління вважає, що щодо внесеного законопроекту доцільно отримати відповідний експертний висновок Уряду.</w:t>
      </w:r>
    </w:p>
    <w:p w:rsidR="009E1DDB" w:rsidRPr="003B1F1C" w:rsidRDefault="009E1DDB" w:rsidP="009E1DDB">
      <w:pPr>
        <w:spacing w:after="0"/>
        <w:ind w:firstLine="709"/>
        <w:rPr>
          <w:rFonts w:eastAsia="Times New Roman"/>
          <w:color w:val="auto"/>
          <w:sz w:val="28"/>
          <w:szCs w:val="28"/>
          <w:lang w:val="uk-UA"/>
        </w:rPr>
      </w:pPr>
    </w:p>
    <w:p w:rsidR="00F04705" w:rsidRPr="003B1F1C" w:rsidRDefault="00F04705" w:rsidP="009E1DDB">
      <w:pPr>
        <w:spacing w:after="0"/>
        <w:ind w:firstLine="709"/>
        <w:rPr>
          <w:rFonts w:eastAsia="Times New Roman"/>
          <w:color w:val="auto"/>
          <w:sz w:val="28"/>
          <w:szCs w:val="28"/>
          <w:lang w:val="uk-UA"/>
        </w:rPr>
      </w:pPr>
    </w:p>
    <w:p w:rsidR="004059B1" w:rsidRPr="003B1F1C" w:rsidRDefault="00CD72EF" w:rsidP="009E1DDB">
      <w:pPr>
        <w:spacing w:after="0"/>
        <w:ind w:firstLine="709"/>
        <w:contextualSpacing/>
        <w:rPr>
          <w:color w:val="auto"/>
          <w:sz w:val="28"/>
          <w:szCs w:val="28"/>
          <w:lang w:val="uk-UA"/>
        </w:rPr>
      </w:pPr>
      <w:r w:rsidRPr="003B1F1C">
        <w:rPr>
          <w:color w:val="auto"/>
          <w:sz w:val="28"/>
          <w:szCs w:val="28"/>
          <w:lang w:val="uk-UA"/>
        </w:rPr>
        <w:t xml:space="preserve">Керівник Головного управління                           </w:t>
      </w:r>
      <w:r w:rsidR="00F04705" w:rsidRPr="003B1F1C">
        <w:rPr>
          <w:color w:val="auto"/>
          <w:sz w:val="28"/>
          <w:szCs w:val="28"/>
          <w:lang w:val="uk-UA"/>
        </w:rPr>
        <w:t xml:space="preserve">            </w:t>
      </w:r>
      <w:r w:rsidRPr="003B1F1C">
        <w:rPr>
          <w:color w:val="auto"/>
          <w:sz w:val="28"/>
          <w:szCs w:val="28"/>
          <w:lang w:val="uk-UA"/>
        </w:rPr>
        <w:t xml:space="preserve">  С. </w:t>
      </w:r>
      <w:proofErr w:type="spellStart"/>
      <w:r w:rsidRPr="003B1F1C">
        <w:rPr>
          <w:color w:val="auto"/>
          <w:sz w:val="28"/>
          <w:szCs w:val="28"/>
          <w:lang w:val="uk-UA"/>
        </w:rPr>
        <w:t>Тихонюк</w:t>
      </w:r>
      <w:proofErr w:type="spellEnd"/>
    </w:p>
    <w:p w:rsidR="00CD72EF" w:rsidRPr="003B1F1C" w:rsidRDefault="00CD72EF" w:rsidP="009E1DDB">
      <w:pPr>
        <w:spacing w:after="0"/>
        <w:ind w:firstLine="709"/>
        <w:contextualSpacing/>
        <w:rPr>
          <w:color w:val="auto"/>
          <w:sz w:val="28"/>
          <w:szCs w:val="28"/>
          <w:lang w:val="uk-UA"/>
        </w:rPr>
      </w:pPr>
    </w:p>
    <w:p w:rsidR="00CD72EF" w:rsidRPr="003B1F1C" w:rsidRDefault="00CD72EF" w:rsidP="009E1DDB">
      <w:pPr>
        <w:spacing w:after="0"/>
        <w:ind w:firstLine="709"/>
        <w:contextualSpacing/>
        <w:rPr>
          <w:color w:val="auto"/>
          <w:sz w:val="28"/>
          <w:szCs w:val="28"/>
          <w:lang w:val="uk-UA"/>
        </w:rPr>
      </w:pPr>
    </w:p>
    <w:p w:rsidR="004F355A" w:rsidRPr="003B1F1C" w:rsidRDefault="00CD72EF" w:rsidP="009E1DDB">
      <w:pPr>
        <w:spacing w:after="0"/>
        <w:ind w:firstLine="709"/>
        <w:contextualSpacing/>
        <w:rPr>
          <w:color w:val="auto"/>
          <w:sz w:val="28"/>
          <w:szCs w:val="28"/>
          <w:lang w:val="uk-UA"/>
        </w:rPr>
      </w:pPr>
      <w:proofErr w:type="spellStart"/>
      <w:r w:rsidRPr="00DA79A2">
        <w:rPr>
          <w:color w:val="auto"/>
          <w:sz w:val="20"/>
          <w:szCs w:val="20"/>
          <w:lang w:val="uk-UA"/>
        </w:rPr>
        <w:t>Вик</w:t>
      </w:r>
      <w:proofErr w:type="spellEnd"/>
      <w:r w:rsidRPr="00DA79A2">
        <w:rPr>
          <w:color w:val="auto"/>
          <w:sz w:val="20"/>
          <w:szCs w:val="20"/>
          <w:lang w:val="uk-UA"/>
        </w:rPr>
        <w:t>.</w:t>
      </w:r>
      <w:r w:rsidR="003B1F1C" w:rsidRPr="00DA79A2">
        <w:rPr>
          <w:color w:val="auto"/>
          <w:sz w:val="20"/>
          <w:szCs w:val="20"/>
          <w:lang w:val="uk-UA"/>
        </w:rPr>
        <w:t>:</w:t>
      </w:r>
      <w:r w:rsidRPr="00DA79A2">
        <w:rPr>
          <w:color w:val="auto"/>
          <w:sz w:val="20"/>
          <w:szCs w:val="20"/>
          <w:lang w:val="uk-UA"/>
        </w:rPr>
        <w:t xml:space="preserve"> І.</w:t>
      </w:r>
      <w:r w:rsidR="009E1DDB" w:rsidRPr="00DA79A2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A79A2">
        <w:rPr>
          <w:color w:val="auto"/>
          <w:sz w:val="20"/>
          <w:szCs w:val="20"/>
          <w:lang w:val="uk-UA"/>
        </w:rPr>
        <w:t>Бондур</w:t>
      </w:r>
      <w:proofErr w:type="spellEnd"/>
      <w:r w:rsidR="00673DFD" w:rsidRPr="00DA79A2">
        <w:rPr>
          <w:color w:val="auto"/>
          <w:sz w:val="20"/>
          <w:szCs w:val="20"/>
          <w:lang w:val="uk-UA"/>
        </w:rPr>
        <w:t>, О.</w:t>
      </w:r>
      <w:r w:rsidR="009E1DDB" w:rsidRPr="00DA79A2">
        <w:rPr>
          <w:color w:val="auto"/>
          <w:sz w:val="20"/>
          <w:szCs w:val="20"/>
          <w:lang w:val="uk-UA"/>
        </w:rPr>
        <w:t xml:space="preserve"> </w:t>
      </w:r>
      <w:r w:rsidR="00673DFD" w:rsidRPr="00DA79A2">
        <w:rPr>
          <w:color w:val="auto"/>
          <w:sz w:val="20"/>
          <w:szCs w:val="20"/>
          <w:lang w:val="uk-UA"/>
        </w:rPr>
        <w:t>Петриченко</w:t>
      </w:r>
      <w:r w:rsidR="006A29A6" w:rsidRPr="003B1F1C">
        <w:rPr>
          <w:color w:val="auto"/>
          <w:sz w:val="20"/>
          <w:szCs w:val="20"/>
          <w:lang w:val="uk-UA"/>
        </w:rPr>
        <w:t xml:space="preserve"> </w:t>
      </w:r>
    </w:p>
    <w:sectPr w:rsidR="004F355A" w:rsidRPr="003B1F1C" w:rsidSect="007D1742">
      <w:headerReference w:type="default" r:id="rId7"/>
      <w:headerReference w:type="first" r:id="rId8"/>
      <w:pgSz w:w="11906" w:h="16838"/>
      <w:pgMar w:top="851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61" w:rsidRDefault="00A01061" w:rsidP="00D81C16">
      <w:pPr>
        <w:spacing w:after="0"/>
      </w:pPr>
      <w:r>
        <w:separator/>
      </w:r>
    </w:p>
  </w:endnote>
  <w:endnote w:type="continuationSeparator" w:id="0">
    <w:p w:rsidR="00A01061" w:rsidRDefault="00A01061" w:rsidP="00D81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61" w:rsidRDefault="00A01061" w:rsidP="00D81C16">
      <w:pPr>
        <w:spacing w:after="0"/>
      </w:pPr>
      <w:r>
        <w:separator/>
      </w:r>
    </w:p>
  </w:footnote>
  <w:footnote w:type="continuationSeparator" w:id="0">
    <w:p w:rsidR="00A01061" w:rsidRDefault="00A01061" w:rsidP="00D81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534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1C16" w:rsidRPr="00462B1C" w:rsidRDefault="00D81C16">
        <w:pPr>
          <w:pStyle w:val="a9"/>
          <w:jc w:val="right"/>
          <w:rPr>
            <w:sz w:val="20"/>
            <w:szCs w:val="20"/>
          </w:rPr>
        </w:pPr>
        <w:r w:rsidRPr="00462B1C">
          <w:rPr>
            <w:sz w:val="20"/>
            <w:szCs w:val="20"/>
          </w:rPr>
          <w:fldChar w:fldCharType="begin"/>
        </w:r>
        <w:r w:rsidRPr="00462B1C">
          <w:rPr>
            <w:sz w:val="20"/>
            <w:szCs w:val="20"/>
          </w:rPr>
          <w:instrText>PAGE   \* MERGEFORMAT</w:instrText>
        </w:r>
        <w:r w:rsidRPr="00462B1C">
          <w:rPr>
            <w:sz w:val="20"/>
            <w:szCs w:val="20"/>
          </w:rPr>
          <w:fldChar w:fldCharType="separate"/>
        </w:r>
        <w:r w:rsidR="0090748E">
          <w:rPr>
            <w:noProof/>
            <w:sz w:val="20"/>
            <w:szCs w:val="20"/>
          </w:rPr>
          <w:t>2</w:t>
        </w:r>
        <w:r w:rsidRPr="00462B1C">
          <w:rPr>
            <w:sz w:val="20"/>
            <w:szCs w:val="20"/>
          </w:rPr>
          <w:fldChar w:fldCharType="end"/>
        </w:r>
      </w:p>
    </w:sdtContent>
  </w:sdt>
  <w:p w:rsidR="00D81C16" w:rsidRDefault="00D81C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1C" w:rsidRPr="00DA79A2" w:rsidRDefault="00462B1C" w:rsidP="00462B1C">
    <w:pPr>
      <w:contextualSpacing/>
      <w:jc w:val="right"/>
      <w:rPr>
        <w:sz w:val="20"/>
        <w:szCs w:val="20"/>
        <w:lang w:val="uk-UA"/>
      </w:rPr>
    </w:pPr>
    <w:r w:rsidRPr="007501E5">
      <w:rPr>
        <w:sz w:val="20"/>
        <w:szCs w:val="20"/>
        <w:lang w:val="uk-UA"/>
      </w:rPr>
      <w:t>До  реєстр. № 3822  від 16.12.</w:t>
    </w:r>
    <w:r w:rsidRPr="00DA79A2">
      <w:rPr>
        <w:sz w:val="20"/>
        <w:szCs w:val="20"/>
        <w:lang w:val="uk-UA"/>
      </w:rPr>
      <w:t xml:space="preserve">2020, </w:t>
    </w:r>
    <w:proofErr w:type="spellStart"/>
    <w:r w:rsidRPr="00DA79A2">
      <w:rPr>
        <w:sz w:val="20"/>
        <w:szCs w:val="20"/>
        <w:lang w:val="uk-UA"/>
      </w:rPr>
      <w:t>дооп</w:t>
    </w:r>
    <w:r w:rsidR="00091A2A" w:rsidRPr="00DA79A2">
      <w:rPr>
        <w:sz w:val="20"/>
        <w:szCs w:val="20"/>
        <w:lang w:val="uk-UA"/>
      </w:rPr>
      <w:t>р</w:t>
    </w:r>
    <w:proofErr w:type="spellEnd"/>
    <w:r w:rsidRPr="00DA79A2">
      <w:rPr>
        <w:sz w:val="20"/>
        <w:szCs w:val="20"/>
        <w:lang w:val="uk-UA"/>
      </w:rPr>
      <w:t>.</w:t>
    </w:r>
  </w:p>
  <w:p w:rsidR="00462B1C" w:rsidRPr="00DA79A2" w:rsidRDefault="00462B1C" w:rsidP="00462B1C">
    <w:pPr>
      <w:contextualSpacing/>
      <w:jc w:val="right"/>
      <w:rPr>
        <w:sz w:val="20"/>
        <w:szCs w:val="20"/>
        <w:lang w:val="uk-UA"/>
      </w:rPr>
    </w:pPr>
    <w:r w:rsidRPr="00DA79A2">
      <w:rPr>
        <w:sz w:val="20"/>
        <w:szCs w:val="20"/>
        <w:lang w:val="uk-UA"/>
      </w:rPr>
      <w:t xml:space="preserve">Народні депутати України </w:t>
    </w:r>
  </w:p>
  <w:p w:rsidR="00462B1C" w:rsidRPr="00091A2A" w:rsidRDefault="00091A2A" w:rsidP="00462B1C">
    <w:pPr>
      <w:contextualSpacing/>
      <w:jc w:val="right"/>
      <w:rPr>
        <w:lang w:val="uk-UA"/>
      </w:rPr>
    </w:pPr>
    <w:r w:rsidRPr="00DA79A2">
      <w:rPr>
        <w:sz w:val="20"/>
        <w:szCs w:val="20"/>
        <w:lang w:val="uk-UA"/>
      </w:rPr>
      <w:t xml:space="preserve">І. </w:t>
    </w:r>
    <w:proofErr w:type="spellStart"/>
    <w:r w:rsidR="00462B1C" w:rsidRPr="00DA79A2">
      <w:rPr>
        <w:sz w:val="20"/>
        <w:szCs w:val="20"/>
        <w:lang w:val="uk-UA"/>
      </w:rPr>
      <w:t>Копитін</w:t>
    </w:r>
    <w:proofErr w:type="spellEnd"/>
    <w:r w:rsidR="00462B1C" w:rsidRPr="00DA79A2">
      <w:rPr>
        <w:sz w:val="20"/>
        <w:szCs w:val="20"/>
        <w:lang w:val="uk-UA"/>
      </w:rPr>
      <w:t xml:space="preserve"> та інші</w:t>
    </w:r>
    <w:r w:rsidR="00462B1C" w:rsidRPr="007501E5">
      <w:rPr>
        <w:sz w:val="20"/>
        <w:szCs w:val="20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A85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32A30"/>
    <w:multiLevelType w:val="multilevel"/>
    <w:tmpl w:val="3BDC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DA1714"/>
    <w:multiLevelType w:val="multilevel"/>
    <w:tmpl w:val="B500451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362A2A8E"/>
    <w:multiLevelType w:val="multilevel"/>
    <w:tmpl w:val="17A6AF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3D3511"/>
    <w:multiLevelType w:val="multilevel"/>
    <w:tmpl w:val="9FFE7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842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C1B6F"/>
    <w:multiLevelType w:val="multilevel"/>
    <w:tmpl w:val="233617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3B63DC7"/>
    <w:multiLevelType w:val="hybridMultilevel"/>
    <w:tmpl w:val="39FA89FC"/>
    <w:lvl w:ilvl="0" w:tplc="250223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087532"/>
    <w:multiLevelType w:val="hybridMultilevel"/>
    <w:tmpl w:val="9C96AD34"/>
    <w:lvl w:ilvl="0" w:tplc="466E5CB4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2"/>
  </w:num>
  <w:num w:numId="11">
    <w:abstractNumId w:val="0"/>
  </w:num>
  <w:num w:numId="12">
    <w:abstractNumId w:val="2"/>
  </w:num>
  <w:num w:numId="13">
    <w:abstractNumId w:val="5"/>
  </w:num>
  <w:num w:numId="14">
    <w:abstractNumId w:val="2"/>
  </w:num>
  <w:num w:numId="15">
    <w:abstractNumId w:val="5"/>
  </w:num>
  <w:num w:numId="16">
    <w:abstractNumId w:val="2"/>
  </w:num>
  <w:num w:numId="17">
    <w:abstractNumId w:val="0"/>
  </w:num>
  <w:num w:numId="18">
    <w:abstractNumId w:val="2"/>
  </w:num>
  <w:num w:numId="19">
    <w:abstractNumId w:val="2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5"/>
    <w:rsid w:val="00027267"/>
    <w:rsid w:val="00030D07"/>
    <w:rsid w:val="000636AF"/>
    <w:rsid w:val="00085DDA"/>
    <w:rsid w:val="00091A2A"/>
    <w:rsid w:val="000B6711"/>
    <w:rsid w:val="000E4855"/>
    <w:rsid w:val="0011021E"/>
    <w:rsid w:val="00150BF3"/>
    <w:rsid w:val="001805DE"/>
    <w:rsid w:val="00192A11"/>
    <w:rsid w:val="001C0E43"/>
    <w:rsid w:val="001E178E"/>
    <w:rsid w:val="001F486A"/>
    <w:rsid w:val="00207B86"/>
    <w:rsid w:val="002378FF"/>
    <w:rsid w:val="00240384"/>
    <w:rsid w:val="00246455"/>
    <w:rsid w:val="00274C34"/>
    <w:rsid w:val="002842F8"/>
    <w:rsid w:val="00296052"/>
    <w:rsid w:val="00297560"/>
    <w:rsid w:val="002D7026"/>
    <w:rsid w:val="00325736"/>
    <w:rsid w:val="00383D74"/>
    <w:rsid w:val="00392A02"/>
    <w:rsid w:val="003A273E"/>
    <w:rsid w:val="003B1F1C"/>
    <w:rsid w:val="003F7F80"/>
    <w:rsid w:val="004059B1"/>
    <w:rsid w:val="00430AE4"/>
    <w:rsid w:val="004374F6"/>
    <w:rsid w:val="0044760B"/>
    <w:rsid w:val="00462B1C"/>
    <w:rsid w:val="00470CE0"/>
    <w:rsid w:val="004924F7"/>
    <w:rsid w:val="004E1F1A"/>
    <w:rsid w:val="004E5921"/>
    <w:rsid w:val="004F355A"/>
    <w:rsid w:val="00516CB1"/>
    <w:rsid w:val="00540DFE"/>
    <w:rsid w:val="0054628F"/>
    <w:rsid w:val="0056627D"/>
    <w:rsid w:val="0057793B"/>
    <w:rsid w:val="005D50BA"/>
    <w:rsid w:val="005E6181"/>
    <w:rsid w:val="005F1601"/>
    <w:rsid w:val="00605DF9"/>
    <w:rsid w:val="006060F8"/>
    <w:rsid w:val="006324F8"/>
    <w:rsid w:val="0063523F"/>
    <w:rsid w:val="00665035"/>
    <w:rsid w:val="00673DFD"/>
    <w:rsid w:val="006A14BF"/>
    <w:rsid w:val="006A29A6"/>
    <w:rsid w:val="006A3087"/>
    <w:rsid w:val="006E0103"/>
    <w:rsid w:val="006E28E2"/>
    <w:rsid w:val="00710280"/>
    <w:rsid w:val="007376D5"/>
    <w:rsid w:val="007501E5"/>
    <w:rsid w:val="00756DCD"/>
    <w:rsid w:val="007D1742"/>
    <w:rsid w:val="007E370F"/>
    <w:rsid w:val="008316BC"/>
    <w:rsid w:val="00863ED8"/>
    <w:rsid w:val="00874739"/>
    <w:rsid w:val="008F4D66"/>
    <w:rsid w:val="0090748E"/>
    <w:rsid w:val="009905C6"/>
    <w:rsid w:val="009D02DA"/>
    <w:rsid w:val="009E1564"/>
    <w:rsid w:val="009E1DDB"/>
    <w:rsid w:val="009F6879"/>
    <w:rsid w:val="00A01061"/>
    <w:rsid w:val="00A04D06"/>
    <w:rsid w:val="00A351EF"/>
    <w:rsid w:val="00A55B16"/>
    <w:rsid w:val="00A64D6E"/>
    <w:rsid w:val="00A93271"/>
    <w:rsid w:val="00A93595"/>
    <w:rsid w:val="00AC4777"/>
    <w:rsid w:val="00AD52BE"/>
    <w:rsid w:val="00AE1F43"/>
    <w:rsid w:val="00AE29A6"/>
    <w:rsid w:val="00AF0DA5"/>
    <w:rsid w:val="00B629A8"/>
    <w:rsid w:val="00B757AA"/>
    <w:rsid w:val="00B803B7"/>
    <w:rsid w:val="00B9422B"/>
    <w:rsid w:val="00B95085"/>
    <w:rsid w:val="00BB28CE"/>
    <w:rsid w:val="00BD2ADE"/>
    <w:rsid w:val="00BE180B"/>
    <w:rsid w:val="00BE5F96"/>
    <w:rsid w:val="00C13EFD"/>
    <w:rsid w:val="00C52073"/>
    <w:rsid w:val="00C57DB8"/>
    <w:rsid w:val="00CA0326"/>
    <w:rsid w:val="00CA58DA"/>
    <w:rsid w:val="00CD1941"/>
    <w:rsid w:val="00CD6AAA"/>
    <w:rsid w:val="00CD72EF"/>
    <w:rsid w:val="00D01296"/>
    <w:rsid w:val="00D41E1A"/>
    <w:rsid w:val="00D4475C"/>
    <w:rsid w:val="00D537A7"/>
    <w:rsid w:val="00D53F3B"/>
    <w:rsid w:val="00D81C16"/>
    <w:rsid w:val="00D821F8"/>
    <w:rsid w:val="00D911BF"/>
    <w:rsid w:val="00DA79A2"/>
    <w:rsid w:val="00DB04EF"/>
    <w:rsid w:val="00DC1AEE"/>
    <w:rsid w:val="00E3503B"/>
    <w:rsid w:val="00E5727E"/>
    <w:rsid w:val="00E87217"/>
    <w:rsid w:val="00ED005D"/>
    <w:rsid w:val="00F0298F"/>
    <w:rsid w:val="00F04705"/>
    <w:rsid w:val="00F21C06"/>
    <w:rsid w:val="00F311ED"/>
    <w:rsid w:val="00F33E2B"/>
    <w:rsid w:val="00F37B8D"/>
    <w:rsid w:val="00F74CE6"/>
    <w:rsid w:val="00F9243D"/>
    <w:rsid w:val="00FC4977"/>
    <w:rsid w:val="00FD3457"/>
    <w:rsid w:val="00FE0C04"/>
    <w:rsid w:val="00FE1C1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2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5736"/>
    <w:rPr>
      <w:u w:color="000000"/>
      <w:lang w:val="ru-RU"/>
    </w:rPr>
  </w:style>
  <w:style w:type="paragraph" w:styleId="1">
    <w:name w:val="heading 1"/>
    <w:basedOn w:val="a1"/>
    <w:next w:val="a0"/>
    <w:link w:val="11"/>
    <w:uiPriority w:val="9"/>
    <w:qFormat/>
    <w:rsid w:val="0063523F"/>
    <w:pPr>
      <w:numPr>
        <w:numId w:val="19"/>
      </w:numPr>
      <w:outlineLvl w:val="0"/>
    </w:pPr>
    <w:rPr>
      <w:rFonts w:ascii="Times New Roman" w:hAnsi="Times New Roman" w:cstheme="majorBidi"/>
      <w:b/>
    </w:rPr>
  </w:style>
  <w:style w:type="paragraph" w:styleId="2">
    <w:name w:val="heading 2"/>
    <w:basedOn w:val="a0"/>
    <w:next w:val="a0"/>
    <w:link w:val="20"/>
    <w:uiPriority w:val="9"/>
    <w:qFormat/>
    <w:rsid w:val="0063523F"/>
    <w:pPr>
      <w:numPr>
        <w:ilvl w:val="1"/>
        <w:numId w:val="28"/>
      </w:numPr>
      <w:spacing w:after="120"/>
      <w:outlineLvl w:val="1"/>
    </w:pPr>
    <w:rPr>
      <w:b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63523F"/>
    <w:pPr>
      <w:numPr>
        <w:ilvl w:val="2"/>
        <w:numId w:val="29"/>
      </w:numPr>
      <w:ind w:left="1191" w:hanging="170"/>
      <w:outlineLvl w:val="2"/>
    </w:pPr>
    <w:rPr>
      <w:b/>
      <w:lang w:val="uk-UA"/>
    </w:rPr>
  </w:style>
  <w:style w:type="paragraph" w:styleId="4">
    <w:name w:val="heading 4"/>
    <w:basedOn w:val="a0"/>
    <w:next w:val="a0"/>
    <w:link w:val="40"/>
    <w:uiPriority w:val="9"/>
    <w:unhideWhenUsed/>
    <w:qFormat/>
    <w:rsid w:val="00325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 док"/>
    <w:basedOn w:val="1"/>
    <w:autoRedefine/>
    <w:qFormat/>
    <w:rsid w:val="00D4475C"/>
    <w:pPr>
      <w:pageBreakBefore/>
      <w:numPr>
        <w:numId w:val="2"/>
      </w:numPr>
      <w:spacing w:before="120" w:after="120"/>
      <w:jc w:val="center"/>
    </w:pPr>
    <w:rPr>
      <w:rFonts w:eastAsia="Times New Roman" w:cs="Arial"/>
      <w:b w:val="0"/>
      <w:bCs/>
      <w:kern w:val="32"/>
      <w:sz w:val="28"/>
      <w:lang w:eastAsia="ru-RU"/>
    </w:rPr>
  </w:style>
  <w:style w:type="character" w:customStyle="1" w:styleId="11">
    <w:name w:val="Заголовок 1 Знак"/>
    <w:basedOn w:val="a2"/>
    <w:link w:val="1"/>
    <w:uiPriority w:val="9"/>
    <w:rsid w:val="00325736"/>
    <w:rPr>
      <w:rFonts w:cstheme="majorBidi"/>
      <w:b/>
      <w:color w:val="auto"/>
      <w:u w:color="000000"/>
    </w:rPr>
  </w:style>
  <w:style w:type="character" w:customStyle="1" w:styleId="20">
    <w:name w:val="Заголовок 2 Знак"/>
    <w:basedOn w:val="a2"/>
    <w:link w:val="2"/>
    <w:uiPriority w:val="9"/>
    <w:rsid w:val="0063523F"/>
    <w:rPr>
      <w:b/>
    </w:rPr>
  </w:style>
  <w:style w:type="paragraph" w:customStyle="1" w:styleId="a5">
    <w:name w:val="Базовый"/>
    <w:rsid w:val="00325736"/>
    <w:pPr>
      <w:widowControl w:val="0"/>
      <w:suppressAutoHyphens/>
    </w:pPr>
    <w:rPr>
      <w:rFonts w:ascii="Times New Roman CYR" w:eastAsia="Times New Roman" w:hAnsi="Times New Roman CYR" w:cs="Times New Roman CYR"/>
      <w:color w:val="00000A"/>
      <w:u w:color="000000"/>
      <w:lang w:eastAsia="ru-RU"/>
    </w:rPr>
  </w:style>
  <w:style w:type="table" w:customStyle="1" w:styleId="110">
    <w:name w:val="Таблица простая 11"/>
    <w:basedOn w:val="a3"/>
    <w:uiPriority w:val="41"/>
    <w:rsid w:val="00325736"/>
    <w:pPr>
      <w:spacing w:after="0"/>
    </w:pPr>
    <w:rPr>
      <w:rFonts w:ascii="Calibri" w:hAnsi="Calibri"/>
      <w:color w:val="auto"/>
      <w:u w:color="00000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Сетка таблицы1"/>
    <w:basedOn w:val="a3"/>
    <w:next w:val="a6"/>
    <w:rsid w:val="00325736"/>
    <w:pPr>
      <w:spacing w:after="0"/>
      <w:ind w:left="1134" w:hanging="425"/>
    </w:pPr>
    <w:rPr>
      <w:rFonts w:asciiTheme="minorHAnsi" w:hAnsiTheme="minorHAnsi" w:cstheme="minorBid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3"/>
    <w:uiPriority w:val="39"/>
    <w:rsid w:val="00325736"/>
    <w:pPr>
      <w:spacing w:after="0"/>
    </w:pPr>
    <w:rPr>
      <w:rFonts w:asciiTheme="minorHAnsi" w:hAnsiTheme="minorHAnsi" w:cstheme="minorBid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6"/>
    <w:uiPriority w:val="39"/>
    <w:rsid w:val="00325736"/>
    <w:pPr>
      <w:spacing w:after="0"/>
    </w:pPr>
    <w:rPr>
      <w:rFonts w:ascii="Calibri" w:hAnsi="Calibr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6"/>
    <w:uiPriority w:val="39"/>
    <w:rsid w:val="00325736"/>
    <w:pPr>
      <w:spacing w:after="0"/>
    </w:pPr>
    <w:rPr>
      <w:rFonts w:ascii="Calibri" w:hAnsi="Calibr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6"/>
    <w:uiPriority w:val="39"/>
    <w:rsid w:val="00325736"/>
    <w:pPr>
      <w:spacing w:after="0"/>
    </w:pPr>
    <w:rPr>
      <w:rFonts w:ascii="Calibri" w:hAnsi="Calibr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39"/>
    <w:rsid w:val="00325736"/>
    <w:pPr>
      <w:spacing w:after="0"/>
    </w:pPr>
    <w:rPr>
      <w:rFonts w:ascii="Calibri" w:hAnsi="Calibr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6"/>
    <w:uiPriority w:val="39"/>
    <w:rsid w:val="00325736"/>
    <w:pPr>
      <w:spacing w:after="0"/>
    </w:pPr>
    <w:rPr>
      <w:rFonts w:ascii="Calibri" w:hAnsi="Calibri"/>
      <w:color w:val="auto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 Spacing"/>
    <w:uiPriority w:val="1"/>
    <w:qFormat/>
    <w:rsid w:val="00325736"/>
    <w:pPr>
      <w:spacing w:after="0"/>
    </w:pPr>
    <w:rPr>
      <w:rFonts w:asciiTheme="minorHAnsi" w:hAnsiTheme="minorHAnsi" w:cstheme="minorBidi"/>
      <w:color w:val="auto"/>
      <w:u w:color="000000"/>
    </w:rPr>
  </w:style>
  <w:style w:type="character" w:customStyle="1" w:styleId="30">
    <w:name w:val="Заголовок 3 Знак"/>
    <w:basedOn w:val="a2"/>
    <w:link w:val="3"/>
    <w:uiPriority w:val="9"/>
    <w:rsid w:val="0063523F"/>
    <w:rPr>
      <w:b/>
    </w:rPr>
  </w:style>
  <w:style w:type="character" w:customStyle="1" w:styleId="40">
    <w:name w:val="Заголовок 4 Знак"/>
    <w:basedOn w:val="a2"/>
    <w:link w:val="4"/>
    <w:uiPriority w:val="9"/>
    <w:rsid w:val="00325736"/>
    <w:rPr>
      <w:rFonts w:asciiTheme="majorHAnsi" w:eastAsiaTheme="majorEastAsia" w:hAnsiTheme="majorHAnsi" w:cstheme="majorBidi"/>
      <w:i/>
      <w:iCs/>
      <w:color w:val="2E74B5" w:themeColor="accent1" w:themeShade="BF"/>
      <w:u w:color="000000"/>
      <w:lang w:val="ru-RU"/>
    </w:rPr>
  </w:style>
  <w:style w:type="paragraph" w:styleId="13">
    <w:name w:val="toc 1"/>
    <w:basedOn w:val="a0"/>
    <w:next w:val="a0"/>
    <w:autoRedefine/>
    <w:uiPriority w:val="39"/>
    <w:unhideWhenUsed/>
    <w:qFormat/>
    <w:rsid w:val="00325736"/>
    <w:pPr>
      <w:tabs>
        <w:tab w:val="left" w:pos="170"/>
        <w:tab w:val="left" w:pos="737"/>
        <w:tab w:val="left" w:pos="1320"/>
        <w:tab w:val="right" w:leader="dot" w:pos="14601"/>
      </w:tabs>
      <w:spacing w:after="30"/>
    </w:pPr>
  </w:style>
  <w:style w:type="paragraph" w:styleId="22">
    <w:name w:val="toc 2"/>
    <w:basedOn w:val="a0"/>
    <w:next w:val="a0"/>
    <w:autoRedefine/>
    <w:uiPriority w:val="39"/>
    <w:unhideWhenUsed/>
    <w:qFormat/>
    <w:rsid w:val="00325736"/>
    <w:pPr>
      <w:tabs>
        <w:tab w:val="left" w:pos="1760"/>
        <w:tab w:val="right" w:leader="dot" w:pos="15128"/>
      </w:tabs>
      <w:spacing w:after="30"/>
      <w:ind w:left="238"/>
    </w:pPr>
  </w:style>
  <w:style w:type="paragraph" w:styleId="32">
    <w:name w:val="toc 3"/>
    <w:basedOn w:val="a0"/>
    <w:next w:val="a0"/>
    <w:autoRedefine/>
    <w:uiPriority w:val="39"/>
    <w:unhideWhenUsed/>
    <w:qFormat/>
    <w:rsid w:val="00325736"/>
    <w:pPr>
      <w:tabs>
        <w:tab w:val="left" w:pos="1560"/>
        <w:tab w:val="right" w:leader="dot" w:pos="14601"/>
      </w:tabs>
      <w:spacing w:after="30"/>
      <w:ind w:left="482"/>
    </w:pPr>
  </w:style>
  <w:style w:type="paragraph" w:styleId="a7">
    <w:name w:val="footnote text"/>
    <w:basedOn w:val="a0"/>
    <w:link w:val="a8"/>
    <w:uiPriority w:val="99"/>
    <w:semiHidden/>
    <w:unhideWhenUsed/>
    <w:rsid w:val="00325736"/>
    <w:rPr>
      <w:sz w:val="20"/>
      <w:szCs w:val="20"/>
    </w:rPr>
  </w:style>
  <w:style w:type="character" w:customStyle="1" w:styleId="a8">
    <w:name w:val="Текст виноски Знак"/>
    <w:basedOn w:val="a2"/>
    <w:link w:val="a7"/>
    <w:uiPriority w:val="99"/>
    <w:semiHidden/>
    <w:rsid w:val="00325736"/>
    <w:rPr>
      <w:sz w:val="20"/>
      <w:szCs w:val="20"/>
      <w:u w:color="000000"/>
      <w:lang w:val="ru-RU"/>
    </w:rPr>
  </w:style>
  <w:style w:type="paragraph" w:styleId="a9">
    <w:name w:val="header"/>
    <w:basedOn w:val="a0"/>
    <w:link w:val="aa"/>
    <w:uiPriority w:val="99"/>
    <w:unhideWhenUsed/>
    <w:rsid w:val="0032573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2"/>
    <w:link w:val="a9"/>
    <w:uiPriority w:val="99"/>
    <w:rsid w:val="00325736"/>
    <w:rPr>
      <w:u w:color="000000"/>
      <w:lang w:val="ru-RU"/>
    </w:rPr>
  </w:style>
  <w:style w:type="paragraph" w:styleId="ab">
    <w:name w:val="footer"/>
    <w:basedOn w:val="a0"/>
    <w:link w:val="ac"/>
    <w:uiPriority w:val="99"/>
    <w:unhideWhenUsed/>
    <w:rsid w:val="0032573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2"/>
    <w:link w:val="ab"/>
    <w:uiPriority w:val="99"/>
    <w:rsid w:val="00325736"/>
    <w:rPr>
      <w:u w:color="000000"/>
      <w:lang w:val="ru-RU"/>
    </w:rPr>
  </w:style>
  <w:style w:type="character" w:styleId="ad">
    <w:name w:val="footnote reference"/>
    <w:basedOn w:val="a2"/>
    <w:uiPriority w:val="99"/>
    <w:semiHidden/>
    <w:unhideWhenUsed/>
    <w:rsid w:val="00325736"/>
    <w:rPr>
      <w:vertAlign w:val="superscript"/>
    </w:rPr>
  </w:style>
  <w:style w:type="paragraph" w:styleId="a">
    <w:name w:val="List Bullet"/>
    <w:basedOn w:val="a0"/>
    <w:uiPriority w:val="99"/>
    <w:unhideWhenUsed/>
    <w:rsid w:val="00325736"/>
    <w:pPr>
      <w:numPr>
        <w:numId w:val="17"/>
      </w:numPr>
      <w:contextualSpacing/>
    </w:pPr>
  </w:style>
  <w:style w:type="character" w:styleId="ae">
    <w:name w:val="Hyperlink"/>
    <w:basedOn w:val="a2"/>
    <w:uiPriority w:val="99"/>
    <w:unhideWhenUsed/>
    <w:rsid w:val="00325736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32573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325736"/>
    <w:rPr>
      <w:rFonts w:ascii="Tahoma" w:hAnsi="Tahoma" w:cs="Tahoma"/>
      <w:sz w:val="16"/>
      <w:szCs w:val="16"/>
      <w:u w:color="000000"/>
      <w:lang w:val="ru-RU"/>
    </w:rPr>
  </w:style>
  <w:style w:type="paragraph" w:styleId="af1">
    <w:name w:val="List Paragraph"/>
    <w:basedOn w:val="a0"/>
    <w:uiPriority w:val="34"/>
    <w:qFormat/>
    <w:rsid w:val="00325736"/>
    <w:pPr>
      <w:ind w:left="720"/>
      <w:contextualSpacing/>
    </w:pPr>
  </w:style>
  <w:style w:type="paragraph" w:styleId="af2">
    <w:name w:val="TOC Heading"/>
    <w:basedOn w:val="1"/>
    <w:next w:val="a0"/>
    <w:uiPriority w:val="39"/>
    <w:unhideWhenUsed/>
    <w:qFormat/>
    <w:rsid w:val="00325736"/>
    <w:pPr>
      <w:spacing w:line="276" w:lineRule="auto"/>
      <w:outlineLvl w:val="9"/>
    </w:pPr>
    <w:rPr>
      <w:rFonts w:cs="Times New Roman"/>
      <w:lang w:eastAsia="uk-UA"/>
    </w:rPr>
  </w:style>
  <w:style w:type="paragraph" w:customStyle="1" w:styleId="Nazva">
    <w:name w:val="Nazva"/>
    <w:basedOn w:val="a0"/>
    <w:rsid w:val="002378FF"/>
    <w:pPr>
      <w:jc w:val="center"/>
    </w:pPr>
    <w:rPr>
      <w:rFonts w:eastAsia="Times New Roman"/>
      <w:b/>
      <w:color w:val="auto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7693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2021-01-15T17:54:00Z</dcterms:created>
  <dcterms:modified xsi:type="dcterms:W3CDTF">2021-01-15T17:55:00Z</dcterms:modified>
</cp:coreProperties>
</file>