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E13" w14:textId="75CA8602" w:rsidR="000D4B81" w:rsidRPr="00C52D8B" w:rsidRDefault="000D4B81" w:rsidP="00F90D8B">
      <w:pPr>
        <w:ind w:firstLine="5245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C52D8B">
        <w:rPr>
          <w:rFonts w:eastAsia="Times New Roman"/>
          <w:b/>
          <w:bCs/>
          <w:iCs/>
          <w:sz w:val="28"/>
          <w:szCs w:val="28"/>
          <w:lang w:val="uk-UA"/>
        </w:rPr>
        <w:t xml:space="preserve">Комітет Верховної Ради України </w:t>
      </w:r>
    </w:p>
    <w:p w14:paraId="6A904CF8" w14:textId="77777777" w:rsidR="00866113" w:rsidRDefault="000D4B81" w:rsidP="00866113">
      <w:pPr>
        <w:ind w:firstLine="5245"/>
        <w:rPr>
          <w:rFonts w:eastAsia="Times New Roman"/>
          <w:b/>
          <w:bCs/>
          <w:iCs/>
          <w:sz w:val="28"/>
          <w:szCs w:val="28"/>
          <w:lang w:val="uk-UA"/>
        </w:rPr>
      </w:pPr>
      <w:r w:rsidRPr="00866113">
        <w:rPr>
          <w:rFonts w:eastAsia="Times New Roman"/>
          <w:b/>
          <w:sz w:val="28"/>
          <w:szCs w:val="28"/>
          <w:lang w:val="uk-UA"/>
        </w:rPr>
        <w:t xml:space="preserve">з питань </w:t>
      </w:r>
      <w:r w:rsidR="00866113" w:rsidRPr="00866113">
        <w:rPr>
          <w:rFonts w:eastAsia="Times New Roman"/>
          <w:b/>
          <w:bCs/>
          <w:iCs/>
          <w:sz w:val="28"/>
          <w:szCs w:val="28"/>
          <w:lang w:val="uk-UA"/>
        </w:rPr>
        <w:t>енергетики та житлово-</w:t>
      </w:r>
    </w:p>
    <w:p w14:paraId="5DA86153" w14:textId="7A8964AC" w:rsidR="000B118F" w:rsidRPr="00D875A1" w:rsidRDefault="00866113" w:rsidP="00D875A1">
      <w:pPr>
        <w:ind w:firstLine="5245"/>
        <w:rPr>
          <w:rFonts w:eastAsia="Times New Roman"/>
          <w:b/>
          <w:bCs/>
          <w:iCs/>
          <w:sz w:val="28"/>
          <w:szCs w:val="28"/>
          <w:lang w:val="uk-UA"/>
        </w:rPr>
      </w:pPr>
      <w:r w:rsidRPr="00866113">
        <w:rPr>
          <w:rFonts w:eastAsia="Times New Roman"/>
          <w:b/>
          <w:bCs/>
          <w:iCs/>
          <w:sz w:val="28"/>
          <w:szCs w:val="28"/>
          <w:lang w:val="uk-UA"/>
        </w:rPr>
        <w:t>комунальних послуг</w:t>
      </w:r>
    </w:p>
    <w:p w14:paraId="5EEE17BA" w14:textId="0419679B" w:rsidR="000D4B81" w:rsidRDefault="000D4B81" w:rsidP="00F90D8B">
      <w:pPr>
        <w:ind w:firstLine="5245"/>
        <w:jc w:val="both"/>
        <w:rPr>
          <w:rFonts w:eastAsia="Times New Roman"/>
          <w:b/>
          <w:sz w:val="28"/>
          <w:szCs w:val="28"/>
          <w:lang w:val="uk-UA"/>
        </w:rPr>
      </w:pPr>
    </w:p>
    <w:p w14:paraId="25E4510D" w14:textId="77777777" w:rsidR="009F473C" w:rsidRDefault="005D7484" w:rsidP="00F90D8B">
      <w:pPr>
        <w:jc w:val="both"/>
        <w:rPr>
          <w:rFonts w:eastAsia="Times New Roman"/>
          <w:i/>
          <w:sz w:val="28"/>
          <w:szCs w:val="28"/>
          <w:lang w:val="uk-UA"/>
        </w:rPr>
      </w:pPr>
      <w:r w:rsidRPr="009F473C">
        <w:rPr>
          <w:rFonts w:eastAsia="Times New Roman"/>
          <w:i/>
          <w:sz w:val="28"/>
          <w:szCs w:val="28"/>
          <w:lang w:val="uk-UA"/>
        </w:rPr>
        <w:t xml:space="preserve">До </w:t>
      </w:r>
      <w:r w:rsidR="009F473C">
        <w:rPr>
          <w:rFonts w:eastAsia="Times New Roman"/>
          <w:i/>
          <w:sz w:val="28"/>
          <w:szCs w:val="28"/>
          <w:lang w:val="uk-UA"/>
        </w:rPr>
        <w:t xml:space="preserve">розгляду </w:t>
      </w:r>
      <w:r w:rsidRPr="009F473C">
        <w:rPr>
          <w:rFonts w:eastAsia="Times New Roman"/>
          <w:i/>
          <w:sz w:val="28"/>
          <w:szCs w:val="28"/>
          <w:lang w:val="uk-UA"/>
        </w:rPr>
        <w:t xml:space="preserve">законопроекту </w:t>
      </w:r>
    </w:p>
    <w:p w14:paraId="34589C20" w14:textId="09232F90" w:rsidR="00F90D8B" w:rsidRPr="009F473C" w:rsidRDefault="005D7484" w:rsidP="00F90D8B">
      <w:pPr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 w:rsidRPr="009F473C">
        <w:rPr>
          <w:rFonts w:eastAsia="Times New Roman"/>
          <w:i/>
          <w:sz w:val="28"/>
          <w:szCs w:val="28"/>
          <w:lang w:val="uk-UA"/>
        </w:rPr>
        <w:t>за реєстр.№</w:t>
      </w:r>
      <w:r w:rsidR="00D875A1" w:rsidRPr="009F473C">
        <w:rPr>
          <w:rFonts w:eastAsia="Times New Roman"/>
          <w:i/>
          <w:sz w:val="28"/>
          <w:szCs w:val="28"/>
          <w:lang w:val="uk-UA"/>
        </w:rPr>
        <w:t>3912</w:t>
      </w:r>
    </w:p>
    <w:p w14:paraId="6F111C20" w14:textId="77777777" w:rsidR="000D4B81" w:rsidRPr="00284E0D" w:rsidRDefault="000D4B81" w:rsidP="000D4B81">
      <w:pPr>
        <w:ind w:firstLine="4962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</w:p>
    <w:p w14:paraId="0E0FA90D" w14:textId="7EE79AB2" w:rsidR="00E50174" w:rsidRPr="00A439DD" w:rsidRDefault="000D4B81" w:rsidP="00BC3F9C">
      <w:pPr>
        <w:ind w:firstLine="900"/>
        <w:jc w:val="both"/>
        <w:rPr>
          <w:sz w:val="28"/>
          <w:szCs w:val="28"/>
          <w:lang w:val="uk-UA"/>
        </w:rPr>
      </w:pPr>
      <w:r w:rsidRPr="00284E0D">
        <w:rPr>
          <w:rFonts w:eastAsia="Times New Roman"/>
          <w:color w:val="000000"/>
          <w:sz w:val="28"/>
          <w:szCs w:val="28"/>
          <w:lang w:val="uk-UA"/>
        </w:rPr>
        <w:t>Комітет Верховної Ради України з питань бюджету на своєму засіданні</w:t>
      </w:r>
      <w:r w:rsidR="00284E0D" w:rsidRPr="00284E0D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171EFD">
        <w:rPr>
          <w:rFonts w:eastAsia="Times New Roman"/>
          <w:color w:val="000000"/>
          <w:sz w:val="28"/>
          <w:szCs w:val="28"/>
          <w:lang w:val="uk-UA"/>
        </w:rPr>
        <w:t xml:space="preserve">27 січня </w:t>
      </w:r>
      <w:r w:rsidR="00284E0D" w:rsidRPr="00284E0D">
        <w:rPr>
          <w:rFonts w:eastAsia="Times New Roman"/>
          <w:color w:val="000000"/>
          <w:sz w:val="28"/>
          <w:szCs w:val="28"/>
          <w:lang w:val="uk-UA"/>
        </w:rPr>
        <w:t>202</w:t>
      </w:r>
      <w:r w:rsidR="003B3787">
        <w:rPr>
          <w:rFonts w:eastAsia="Times New Roman"/>
          <w:color w:val="000000"/>
          <w:sz w:val="28"/>
          <w:szCs w:val="28"/>
          <w:lang w:val="uk-UA"/>
        </w:rPr>
        <w:t>1</w:t>
      </w:r>
      <w:r w:rsidR="00284E0D" w:rsidRPr="00284E0D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284E0D">
        <w:rPr>
          <w:rFonts w:eastAsia="Times New Roman"/>
          <w:color w:val="000000"/>
          <w:sz w:val="28"/>
          <w:szCs w:val="28"/>
          <w:lang w:val="uk-UA"/>
        </w:rPr>
        <w:t>року (протокол № </w:t>
      </w:r>
      <w:r w:rsidR="00171EFD">
        <w:rPr>
          <w:rFonts w:eastAsia="Times New Roman"/>
          <w:color w:val="000000"/>
          <w:sz w:val="28"/>
          <w:szCs w:val="28"/>
          <w:lang w:val="uk-UA"/>
        </w:rPr>
        <w:t>75</w:t>
      </w:r>
      <w:r w:rsidRPr="00284E0D">
        <w:rPr>
          <w:rFonts w:eastAsia="Times New Roman"/>
          <w:color w:val="000000"/>
          <w:sz w:val="28"/>
          <w:szCs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284E0D">
        <w:rPr>
          <w:rFonts w:eastAsia="Times New Roman"/>
          <w:sz w:val="28"/>
          <w:szCs w:val="28"/>
          <w:lang w:val="uk-UA"/>
        </w:rPr>
        <w:t xml:space="preserve">проект закону про </w:t>
      </w:r>
      <w:r w:rsidR="00E50174" w:rsidRPr="00E50174">
        <w:rPr>
          <w:rFonts w:eastAsia="Times New Roman"/>
          <w:bCs/>
          <w:sz w:val="28"/>
          <w:szCs w:val="28"/>
          <w:lang w:val="uk-UA"/>
        </w:rPr>
        <w:t>внесення змін до деяких законодавчих актів України щодо регулювання діяльності суб'єктів господарювання у сфері теплопостачання</w:t>
      </w:r>
      <w:r w:rsidR="00E50174" w:rsidRPr="000A2AD6">
        <w:rPr>
          <w:sz w:val="28"/>
          <w:szCs w:val="28"/>
          <w:lang w:val="uk-UA"/>
        </w:rPr>
        <w:t xml:space="preserve"> </w:t>
      </w:r>
      <w:r w:rsidRPr="00E50174">
        <w:rPr>
          <w:rFonts w:eastAsia="Times New Roman"/>
          <w:sz w:val="28"/>
          <w:szCs w:val="28"/>
          <w:lang w:val="uk-UA"/>
        </w:rPr>
        <w:t>(</w:t>
      </w:r>
      <w:r w:rsidR="005D7484" w:rsidRPr="00E50174">
        <w:rPr>
          <w:rFonts w:eastAsia="Times New Roman"/>
          <w:sz w:val="28"/>
          <w:szCs w:val="28"/>
          <w:lang w:val="uk-UA"/>
        </w:rPr>
        <w:t>реєстр. № </w:t>
      </w:r>
      <w:r w:rsidR="00E50174" w:rsidRPr="00E50174">
        <w:rPr>
          <w:rFonts w:eastAsia="Times New Roman"/>
          <w:sz w:val="28"/>
          <w:szCs w:val="28"/>
        </w:rPr>
        <w:t>3912</w:t>
      </w:r>
      <w:r w:rsidRPr="00E50174">
        <w:rPr>
          <w:rFonts w:eastAsia="Times New Roman"/>
          <w:sz w:val="28"/>
          <w:szCs w:val="28"/>
          <w:lang w:val="uk-UA"/>
        </w:rPr>
        <w:t>), поданий народним</w:t>
      </w:r>
      <w:r w:rsidR="005D7484" w:rsidRPr="00E50174">
        <w:rPr>
          <w:rFonts w:eastAsia="Times New Roman"/>
          <w:sz w:val="28"/>
          <w:szCs w:val="28"/>
          <w:lang w:val="uk-UA"/>
        </w:rPr>
        <w:t>и депутата</w:t>
      </w:r>
      <w:r w:rsidRPr="00E50174">
        <w:rPr>
          <w:rFonts w:eastAsia="Times New Roman"/>
          <w:sz w:val="28"/>
          <w:szCs w:val="28"/>
          <w:lang w:val="uk-UA"/>
        </w:rPr>
        <w:t>м</w:t>
      </w:r>
      <w:r w:rsidR="005D7484" w:rsidRPr="00E50174">
        <w:rPr>
          <w:rFonts w:eastAsia="Times New Roman"/>
          <w:sz w:val="28"/>
          <w:szCs w:val="28"/>
          <w:lang w:val="uk-UA"/>
        </w:rPr>
        <w:t>и</w:t>
      </w:r>
      <w:r w:rsidR="00B30D85" w:rsidRPr="00E50174">
        <w:rPr>
          <w:rFonts w:eastAsia="Times New Roman"/>
          <w:sz w:val="28"/>
          <w:szCs w:val="28"/>
          <w:lang w:val="uk-UA"/>
        </w:rPr>
        <w:t xml:space="preserve"> України </w:t>
      </w:r>
      <w:proofErr w:type="spellStart"/>
      <w:r w:rsidR="00E50174" w:rsidRPr="00E50174">
        <w:rPr>
          <w:rFonts w:eastAsia="Times New Roman"/>
          <w:sz w:val="28"/>
          <w:szCs w:val="28"/>
          <w:lang w:val="uk-UA"/>
        </w:rPr>
        <w:t>Семінськи</w:t>
      </w:r>
      <w:r w:rsidR="00710B37">
        <w:rPr>
          <w:rFonts w:eastAsia="Times New Roman"/>
          <w:sz w:val="28"/>
          <w:szCs w:val="28"/>
          <w:lang w:val="uk-UA"/>
        </w:rPr>
        <w:t>м</w:t>
      </w:r>
      <w:proofErr w:type="spellEnd"/>
      <w:r w:rsidR="00710B37">
        <w:rPr>
          <w:rFonts w:eastAsia="Times New Roman"/>
          <w:sz w:val="28"/>
          <w:szCs w:val="28"/>
          <w:lang w:val="uk-UA"/>
        </w:rPr>
        <w:t xml:space="preserve"> </w:t>
      </w:r>
      <w:r w:rsidR="00E50174" w:rsidRPr="00E50174">
        <w:rPr>
          <w:rFonts w:eastAsia="Times New Roman"/>
          <w:sz w:val="28"/>
          <w:szCs w:val="28"/>
          <w:lang w:val="uk-UA"/>
        </w:rPr>
        <w:t>О.В.</w:t>
      </w:r>
      <w:r w:rsidR="00B30D85" w:rsidRPr="00E50174">
        <w:rPr>
          <w:rFonts w:eastAsia="Times New Roman"/>
          <w:sz w:val="28"/>
          <w:szCs w:val="28"/>
          <w:lang w:val="uk-UA"/>
        </w:rPr>
        <w:t>,</w:t>
      </w:r>
      <w:r w:rsidR="00B30D85">
        <w:rPr>
          <w:rFonts w:eastAsia="Times New Roman"/>
          <w:sz w:val="28"/>
          <w:szCs w:val="28"/>
          <w:lang w:val="uk-UA"/>
        </w:rPr>
        <w:t xml:space="preserve"> </w:t>
      </w:r>
      <w:r w:rsidR="00710B37" w:rsidRPr="00710B37">
        <w:rPr>
          <w:rFonts w:eastAsia="Times New Roman"/>
          <w:bCs/>
          <w:sz w:val="28"/>
          <w:szCs w:val="28"/>
          <w:lang w:val="uk-UA"/>
        </w:rPr>
        <w:t>Пивоваров</w:t>
      </w:r>
      <w:r w:rsidR="00710B37">
        <w:rPr>
          <w:rFonts w:eastAsia="Times New Roman"/>
          <w:bCs/>
          <w:sz w:val="28"/>
          <w:szCs w:val="28"/>
          <w:lang w:val="uk-UA"/>
        </w:rPr>
        <w:t>им</w:t>
      </w:r>
      <w:r w:rsidR="00710B37" w:rsidRPr="00710B37">
        <w:rPr>
          <w:rFonts w:eastAsia="Times New Roman"/>
          <w:bCs/>
          <w:sz w:val="28"/>
          <w:szCs w:val="28"/>
          <w:lang w:val="uk-UA"/>
        </w:rPr>
        <w:t xml:space="preserve"> Є.П.</w:t>
      </w:r>
      <w:r w:rsidR="00B30D85">
        <w:rPr>
          <w:rFonts w:eastAsia="Times New Roman"/>
          <w:sz w:val="28"/>
          <w:szCs w:val="28"/>
          <w:lang w:val="uk-UA"/>
        </w:rPr>
        <w:t xml:space="preserve">, </w:t>
      </w:r>
      <w:r w:rsidR="00710B37" w:rsidRPr="00710B37">
        <w:rPr>
          <w:rFonts w:eastAsia="Times New Roman"/>
          <w:bCs/>
          <w:sz w:val="28"/>
          <w:szCs w:val="28"/>
          <w:lang w:val="uk-UA"/>
        </w:rPr>
        <w:t>Горобц</w:t>
      </w:r>
      <w:r w:rsidR="00A439DD" w:rsidRPr="00E50174">
        <w:rPr>
          <w:rFonts w:eastAsia="Times New Roman"/>
          <w:sz w:val="28"/>
          <w:szCs w:val="28"/>
          <w:lang w:val="uk-UA"/>
        </w:rPr>
        <w:t>е</w:t>
      </w:r>
      <w:r w:rsidR="00710B37">
        <w:rPr>
          <w:rFonts w:eastAsia="Times New Roman"/>
          <w:bCs/>
          <w:sz w:val="28"/>
          <w:szCs w:val="28"/>
          <w:lang w:val="uk-UA"/>
        </w:rPr>
        <w:t>м</w:t>
      </w:r>
      <w:r w:rsidR="00710B37" w:rsidRPr="00710B37">
        <w:rPr>
          <w:rFonts w:eastAsia="Times New Roman"/>
          <w:bCs/>
          <w:sz w:val="28"/>
          <w:szCs w:val="28"/>
          <w:lang w:val="uk-UA"/>
        </w:rPr>
        <w:t xml:space="preserve"> О.С.</w:t>
      </w:r>
      <w:r w:rsidR="00710B37" w:rsidRPr="00710B37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B30D85">
        <w:rPr>
          <w:rFonts w:eastAsia="Times New Roman"/>
          <w:sz w:val="28"/>
          <w:szCs w:val="28"/>
          <w:lang w:val="uk-UA"/>
        </w:rPr>
        <w:t xml:space="preserve">та іншими </w:t>
      </w:r>
      <w:r w:rsidR="00B30D85" w:rsidRPr="00284E0D">
        <w:rPr>
          <w:rFonts w:eastAsia="Times New Roman"/>
          <w:sz w:val="28"/>
          <w:szCs w:val="28"/>
          <w:lang w:val="uk-UA"/>
        </w:rPr>
        <w:t>народними депутатами</w:t>
      </w:r>
      <w:r w:rsidR="00B30D85">
        <w:rPr>
          <w:rFonts w:eastAsia="Times New Roman"/>
          <w:sz w:val="28"/>
          <w:szCs w:val="28"/>
          <w:lang w:val="uk-UA"/>
        </w:rPr>
        <w:t xml:space="preserve"> України.</w:t>
      </w:r>
    </w:p>
    <w:p w14:paraId="336B7D14" w14:textId="3266AE74" w:rsidR="00166A55" w:rsidRPr="00A439DD" w:rsidRDefault="00B30D85" w:rsidP="00BC3F9C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 з</w:t>
      </w:r>
      <w:r w:rsidR="000D4B81" w:rsidRPr="00284E0D">
        <w:rPr>
          <w:rFonts w:eastAsia="Times New Roman"/>
          <w:sz w:val="28"/>
          <w:szCs w:val="28"/>
          <w:lang w:val="uk-UA"/>
        </w:rPr>
        <w:t>аконопро</w:t>
      </w:r>
      <w:r>
        <w:rPr>
          <w:rFonts w:eastAsia="Times New Roman"/>
          <w:sz w:val="28"/>
          <w:szCs w:val="28"/>
          <w:lang w:val="uk-UA"/>
        </w:rPr>
        <w:t>екті шляхом внесення</w:t>
      </w:r>
      <w:r w:rsidR="00591E37">
        <w:rPr>
          <w:rFonts w:eastAsia="Times New Roman"/>
          <w:sz w:val="28"/>
          <w:szCs w:val="28"/>
          <w:lang w:val="uk-UA"/>
        </w:rPr>
        <w:t xml:space="preserve"> змін до законів</w:t>
      </w:r>
      <w:r w:rsidRPr="00B30D85">
        <w:rPr>
          <w:rFonts w:eastAsia="Times New Roman"/>
          <w:sz w:val="28"/>
          <w:szCs w:val="28"/>
          <w:lang w:val="uk-UA"/>
        </w:rPr>
        <w:t xml:space="preserve"> України «</w:t>
      </w:r>
      <w:r w:rsidR="00A439DD" w:rsidRPr="00080B95">
        <w:rPr>
          <w:sz w:val="28"/>
          <w:szCs w:val="28"/>
        </w:rPr>
        <w:t xml:space="preserve">Про </w:t>
      </w:r>
      <w:r w:rsidR="00A439DD" w:rsidRPr="00A439DD">
        <w:rPr>
          <w:sz w:val="28"/>
          <w:szCs w:val="28"/>
          <w:lang w:val="uk-UA"/>
        </w:rPr>
        <w:t>теплопостачання</w:t>
      </w:r>
      <w:r w:rsidRPr="00A439DD">
        <w:rPr>
          <w:rFonts w:eastAsia="Times New Roman"/>
          <w:sz w:val="28"/>
          <w:szCs w:val="28"/>
          <w:lang w:val="uk-UA"/>
        </w:rPr>
        <w:t>»</w:t>
      </w:r>
      <w:r w:rsidR="00591E37" w:rsidRPr="00A439DD">
        <w:rPr>
          <w:rFonts w:eastAsia="Times New Roman"/>
          <w:sz w:val="28"/>
          <w:szCs w:val="28"/>
          <w:lang w:val="uk-UA"/>
        </w:rPr>
        <w:t xml:space="preserve">, </w:t>
      </w:r>
      <w:r w:rsidRPr="00A439DD">
        <w:rPr>
          <w:rFonts w:eastAsia="Times New Roman"/>
          <w:sz w:val="28"/>
          <w:szCs w:val="28"/>
          <w:lang w:val="uk-UA"/>
        </w:rPr>
        <w:t>«</w:t>
      </w:r>
      <w:r w:rsidR="00A439DD" w:rsidRPr="00A439DD">
        <w:rPr>
          <w:sz w:val="28"/>
          <w:szCs w:val="28"/>
          <w:lang w:val="uk-UA"/>
        </w:rPr>
        <w:t>Про виконавче провадження</w:t>
      </w:r>
      <w:r w:rsidRPr="00A439DD">
        <w:rPr>
          <w:rFonts w:eastAsia="Times New Roman"/>
          <w:sz w:val="28"/>
          <w:szCs w:val="28"/>
          <w:lang w:val="uk-UA"/>
        </w:rPr>
        <w:t xml:space="preserve">», </w:t>
      </w:r>
      <w:r w:rsidR="001E19DC" w:rsidRPr="00A439DD">
        <w:rPr>
          <w:rFonts w:eastAsia="Times New Roman"/>
          <w:sz w:val="28"/>
          <w:szCs w:val="28"/>
          <w:lang w:val="uk-UA"/>
        </w:rPr>
        <w:t>пропонується</w:t>
      </w:r>
      <w:r w:rsidR="00231367">
        <w:rPr>
          <w:rFonts w:eastAsia="Times New Roman"/>
          <w:sz w:val="28"/>
          <w:szCs w:val="28"/>
          <w:lang w:val="uk-UA"/>
        </w:rPr>
        <w:t xml:space="preserve"> серед іншого</w:t>
      </w:r>
      <w:r w:rsidR="006B4320">
        <w:rPr>
          <w:rFonts w:eastAsia="Times New Roman"/>
          <w:sz w:val="28"/>
          <w:szCs w:val="28"/>
          <w:lang w:val="uk-UA"/>
        </w:rPr>
        <w:t>:</w:t>
      </w:r>
    </w:p>
    <w:p w14:paraId="7B8C3D4E" w14:textId="776E1C42" w:rsidR="00997D23" w:rsidRPr="00997D23" w:rsidRDefault="006B4320" w:rsidP="00BC3F9C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997D23">
        <w:rPr>
          <w:rFonts w:eastAsia="Times New Roman"/>
          <w:sz w:val="28"/>
          <w:szCs w:val="28"/>
          <w:lang w:val="uk-UA"/>
        </w:rPr>
        <w:t>уточн</w:t>
      </w:r>
      <w:r>
        <w:rPr>
          <w:rFonts w:eastAsia="Times New Roman"/>
          <w:sz w:val="28"/>
          <w:szCs w:val="28"/>
          <w:lang w:val="uk-UA"/>
        </w:rPr>
        <w:t>ити</w:t>
      </w:r>
      <w:r w:rsidRPr="00997D23">
        <w:rPr>
          <w:rFonts w:eastAsia="Times New Roman"/>
          <w:sz w:val="28"/>
          <w:szCs w:val="28"/>
          <w:lang w:val="uk-UA"/>
        </w:rPr>
        <w:t xml:space="preserve"> повноважен</w:t>
      </w:r>
      <w:r>
        <w:rPr>
          <w:rFonts w:eastAsia="Times New Roman"/>
          <w:sz w:val="28"/>
          <w:szCs w:val="28"/>
          <w:lang w:val="uk-UA"/>
        </w:rPr>
        <w:t>ня</w:t>
      </w:r>
      <w:r w:rsidRPr="00997D23">
        <w:rPr>
          <w:rFonts w:eastAsia="Times New Roman"/>
          <w:sz w:val="28"/>
          <w:szCs w:val="28"/>
          <w:lang w:val="uk-UA"/>
        </w:rPr>
        <w:t xml:space="preserve"> Кабінету Міністрів України, Ради міністрів Автономної Республіки Крим, </w:t>
      </w:r>
      <w:r w:rsidR="00231367">
        <w:rPr>
          <w:rFonts w:eastAsia="Times New Roman"/>
          <w:sz w:val="28"/>
          <w:szCs w:val="28"/>
          <w:lang w:val="uk-UA"/>
        </w:rPr>
        <w:t>місцевих</w:t>
      </w:r>
      <w:r w:rsidRPr="00997D23">
        <w:rPr>
          <w:rFonts w:eastAsia="Times New Roman"/>
          <w:sz w:val="28"/>
          <w:szCs w:val="28"/>
          <w:lang w:val="uk-UA"/>
        </w:rPr>
        <w:t xml:space="preserve"> державних адміністрацій, органів місцевого самоврядування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6B4320">
        <w:rPr>
          <w:rFonts w:eastAsia="Times New Roman"/>
          <w:sz w:val="28"/>
          <w:szCs w:val="28"/>
          <w:lang w:val="uk-UA"/>
        </w:rPr>
        <w:t>централь</w:t>
      </w:r>
      <w:r>
        <w:rPr>
          <w:rFonts w:eastAsia="Times New Roman"/>
          <w:sz w:val="28"/>
          <w:szCs w:val="28"/>
          <w:lang w:val="uk-UA"/>
        </w:rPr>
        <w:t>них</w:t>
      </w:r>
      <w:r w:rsidRPr="006B4320">
        <w:rPr>
          <w:rFonts w:eastAsia="Times New Roman"/>
          <w:sz w:val="28"/>
          <w:szCs w:val="28"/>
          <w:lang w:val="uk-UA"/>
        </w:rPr>
        <w:t xml:space="preserve"> орган</w:t>
      </w:r>
      <w:r>
        <w:rPr>
          <w:rFonts w:eastAsia="Times New Roman"/>
          <w:sz w:val="28"/>
          <w:szCs w:val="28"/>
          <w:lang w:val="uk-UA"/>
        </w:rPr>
        <w:t>ів</w:t>
      </w:r>
      <w:r w:rsidRPr="006B4320">
        <w:rPr>
          <w:rFonts w:eastAsia="Times New Roman"/>
          <w:sz w:val="28"/>
          <w:szCs w:val="28"/>
          <w:lang w:val="uk-UA"/>
        </w:rPr>
        <w:t xml:space="preserve"> виконавчої влади </w:t>
      </w:r>
      <w:r w:rsidRPr="00162C06">
        <w:rPr>
          <w:rFonts w:eastAsia="Times New Roman"/>
          <w:sz w:val="28"/>
          <w:szCs w:val="28"/>
          <w:lang w:val="uk-UA"/>
        </w:rPr>
        <w:t>у сфері теплопостачання</w:t>
      </w:r>
      <w:r w:rsidR="00CD27EC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231367" w:rsidRPr="00A439DD">
        <w:rPr>
          <w:rFonts w:eastAsia="Times New Roman"/>
          <w:sz w:val="28"/>
          <w:szCs w:val="28"/>
          <w:lang w:val="uk-UA"/>
        </w:rPr>
        <w:t>зокрема</w:t>
      </w:r>
      <w:r w:rsidR="00CD27EC">
        <w:rPr>
          <w:rFonts w:eastAsia="Times New Roman"/>
          <w:sz w:val="28"/>
          <w:szCs w:val="28"/>
          <w:lang w:val="uk-UA"/>
        </w:rPr>
        <w:t>,</w:t>
      </w:r>
      <w:r w:rsidR="00231367">
        <w:rPr>
          <w:rFonts w:eastAsia="Times New Roman"/>
          <w:sz w:val="28"/>
          <w:szCs w:val="28"/>
          <w:lang w:val="uk-UA"/>
        </w:rPr>
        <w:t xml:space="preserve"> </w:t>
      </w:r>
      <w:r w:rsidR="00747566">
        <w:rPr>
          <w:rFonts w:eastAsia="Times New Roman"/>
          <w:sz w:val="28"/>
          <w:szCs w:val="28"/>
          <w:lang w:val="uk-UA"/>
        </w:rPr>
        <w:t>у</w:t>
      </w:r>
      <w:r w:rsidR="00747566" w:rsidRPr="00747566">
        <w:rPr>
          <w:rFonts w:eastAsia="Times New Roman"/>
          <w:sz w:val="28"/>
          <w:szCs w:val="28"/>
          <w:lang w:val="uk-UA"/>
        </w:rPr>
        <w:t>повноваж</w:t>
      </w:r>
      <w:r w:rsidR="00747566"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  <w:lang w:val="uk-UA"/>
        </w:rPr>
        <w:t>вш</w:t>
      </w:r>
      <w:r w:rsidR="00747566">
        <w:rPr>
          <w:rFonts w:eastAsia="Times New Roman"/>
          <w:sz w:val="28"/>
          <w:szCs w:val="28"/>
          <w:lang w:val="uk-UA"/>
        </w:rPr>
        <w:t>и</w:t>
      </w:r>
      <w:r w:rsidR="00747566" w:rsidRPr="00747566">
        <w:rPr>
          <w:rFonts w:eastAsia="Times New Roman"/>
          <w:sz w:val="28"/>
          <w:szCs w:val="28"/>
          <w:lang w:val="uk-UA"/>
        </w:rPr>
        <w:t xml:space="preserve"> центральн</w:t>
      </w:r>
      <w:r w:rsidR="00747566">
        <w:rPr>
          <w:rFonts w:eastAsia="Times New Roman"/>
          <w:sz w:val="28"/>
          <w:szCs w:val="28"/>
          <w:lang w:val="uk-UA"/>
        </w:rPr>
        <w:t>ий</w:t>
      </w:r>
      <w:r w:rsidR="00747566" w:rsidRPr="00747566">
        <w:rPr>
          <w:rFonts w:eastAsia="Times New Roman"/>
          <w:sz w:val="28"/>
          <w:szCs w:val="28"/>
          <w:lang w:val="uk-UA"/>
        </w:rPr>
        <w:t xml:space="preserve"> орган виконавчої влади, що забезпечує формування та реалізує державну політику у сфері житлово-комунального господарства</w:t>
      </w:r>
      <w:r w:rsidR="00747566">
        <w:rPr>
          <w:rFonts w:eastAsia="Times New Roman"/>
          <w:sz w:val="28"/>
          <w:szCs w:val="28"/>
          <w:lang w:val="uk-UA"/>
        </w:rPr>
        <w:t xml:space="preserve"> </w:t>
      </w:r>
      <w:r w:rsidR="00747566" w:rsidRPr="00747566">
        <w:rPr>
          <w:rFonts w:eastAsia="Times New Roman"/>
          <w:sz w:val="28"/>
          <w:szCs w:val="28"/>
          <w:lang w:val="uk-UA"/>
        </w:rPr>
        <w:t>здійсн</w:t>
      </w:r>
      <w:r w:rsidR="00747566">
        <w:rPr>
          <w:rFonts w:eastAsia="Times New Roman"/>
          <w:sz w:val="28"/>
          <w:szCs w:val="28"/>
          <w:lang w:val="uk-UA"/>
        </w:rPr>
        <w:t>ювати</w:t>
      </w:r>
      <w:r w:rsidR="00747566" w:rsidRPr="00747566">
        <w:rPr>
          <w:rFonts w:eastAsia="Times New Roman"/>
          <w:sz w:val="28"/>
          <w:szCs w:val="28"/>
          <w:lang w:val="uk-UA"/>
        </w:rPr>
        <w:t xml:space="preserve"> розрахун</w:t>
      </w:r>
      <w:r w:rsidR="00747566">
        <w:rPr>
          <w:rFonts w:eastAsia="Times New Roman"/>
          <w:sz w:val="28"/>
          <w:szCs w:val="28"/>
          <w:lang w:val="uk-UA"/>
        </w:rPr>
        <w:t>о</w:t>
      </w:r>
      <w:r w:rsidR="00747566" w:rsidRPr="00747566">
        <w:rPr>
          <w:rFonts w:eastAsia="Times New Roman"/>
          <w:sz w:val="28"/>
          <w:szCs w:val="28"/>
          <w:lang w:val="uk-UA"/>
        </w:rPr>
        <w:t>к середньозважених тарифів на теплову енергію, вироблену з використанням природного газу, для потреб населення, установ та організацій, що фінансуються з державного чи місцев</w:t>
      </w:r>
      <w:r w:rsidR="00747566">
        <w:rPr>
          <w:rFonts w:eastAsia="Times New Roman"/>
          <w:sz w:val="28"/>
          <w:szCs w:val="28"/>
          <w:lang w:val="uk-UA"/>
        </w:rPr>
        <w:t>их</w:t>
      </w:r>
      <w:r w:rsidR="00747566" w:rsidRPr="00747566">
        <w:rPr>
          <w:rFonts w:eastAsia="Times New Roman"/>
          <w:sz w:val="28"/>
          <w:szCs w:val="28"/>
          <w:lang w:val="uk-UA"/>
        </w:rPr>
        <w:t xml:space="preserve"> бюдже</w:t>
      </w:r>
      <w:r w:rsidR="00747566">
        <w:rPr>
          <w:rFonts w:eastAsia="Times New Roman"/>
          <w:sz w:val="28"/>
          <w:szCs w:val="28"/>
          <w:lang w:val="uk-UA"/>
        </w:rPr>
        <w:t>тів</w:t>
      </w:r>
      <w:r w:rsidR="00747566" w:rsidRPr="00747566">
        <w:rPr>
          <w:rFonts w:eastAsia="Times New Roman"/>
          <w:sz w:val="28"/>
          <w:szCs w:val="28"/>
          <w:lang w:val="uk-UA"/>
        </w:rPr>
        <w:t>, а також інших споживачів, її транспортування та постачання відповідно до порядку, встановленого Кабінетом Міністрів України</w:t>
      </w:r>
      <w:r w:rsidR="00747566">
        <w:rPr>
          <w:rFonts w:eastAsia="Times New Roman"/>
          <w:sz w:val="28"/>
          <w:szCs w:val="28"/>
          <w:lang w:val="uk-UA"/>
        </w:rPr>
        <w:t>;</w:t>
      </w:r>
    </w:p>
    <w:p w14:paraId="7CA71AB5" w14:textId="323FC71F" w:rsidR="00327820" w:rsidRPr="00B80F79" w:rsidRDefault="00B80F79" w:rsidP="00BC3F9C">
      <w:pPr>
        <w:ind w:firstLine="900"/>
        <w:jc w:val="both"/>
        <w:rPr>
          <w:sz w:val="28"/>
          <w:szCs w:val="28"/>
          <w:lang w:val="uk-UA"/>
        </w:rPr>
      </w:pPr>
      <w:r w:rsidRPr="00B80F79">
        <w:rPr>
          <w:bCs/>
          <w:color w:val="000000"/>
          <w:sz w:val="28"/>
          <w:szCs w:val="28"/>
          <w:lang w:val="uk-UA"/>
        </w:rPr>
        <w:t>нада</w:t>
      </w:r>
      <w:r>
        <w:rPr>
          <w:bCs/>
          <w:color w:val="000000"/>
          <w:sz w:val="28"/>
          <w:szCs w:val="28"/>
          <w:lang w:val="uk-UA"/>
        </w:rPr>
        <w:t>ти право</w:t>
      </w:r>
      <w:r w:rsidRPr="00B80F79">
        <w:rPr>
          <w:bCs/>
          <w:color w:val="000000"/>
          <w:sz w:val="28"/>
          <w:szCs w:val="28"/>
          <w:lang w:val="uk-UA"/>
        </w:rPr>
        <w:t xml:space="preserve"> суб’єкту </w:t>
      </w:r>
      <w:r>
        <w:rPr>
          <w:bCs/>
          <w:color w:val="000000"/>
          <w:sz w:val="28"/>
          <w:szCs w:val="28"/>
          <w:lang w:val="uk-UA"/>
        </w:rPr>
        <w:t xml:space="preserve">господарювання </w:t>
      </w:r>
      <w:r>
        <w:rPr>
          <w:sz w:val="28"/>
          <w:szCs w:val="28"/>
          <w:lang w:val="uk-UA"/>
        </w:rPr>
        <w:t>у</w:t>
      </w:r>
      <w:r w:rsidR="00327820" w:rsidRPr="00B80F79">
        <w:rPr>
          <w:sz w:val="28"/>
          <w:szCs w:val="28"/>
          <w:lang w:val="uk-UA"/>
        </w:rPr>
        <w:t xml:space="preserve"> разі</w:t>
      </w:r>
      <w:r w:rsidR="009A1B6C">
        <w:rPr>
          <w:sz w:val="28"/>
          <w:szCs w:val="28"/>
          <w:lang w:val="uk-UA"/>
        </w:rPr>
        <w:t>,</w:t>
      </w:r>
      <w:r w:rsidR="00327820" w:rsidRPr="00B80F79">
        <w:rPr>
          <w:sz w:val="28"/>
          <w:szCs w:val="28"/>
          <w:lang w:val="uk-UA"/>
        </w:rPr>
        <w:t xml:space="preserve"> коли розрахований згідно з вимогами </w:t>
      </w:r>
      <w:r w:rsidR="0038314E">
        <w:rPr>
          <w:sz w:val="28"/>
          <w:szCs w:val="28"/>
          <w:lang w:val="uk-UA"/>
        </w:rPr>
        <w:t xml:space="preserve">законодавства </w:t>
      </w:r>
      <w:r w:rsidR="00327820" w:rsidRPr="00B80F79">
        <w:rPr>
          <w:sz w:val="28"/>
          <w:szCs w:val="28"/>
          <w:lang w:val="uk-UA"/>
        </w:rPr>
        <w:t>розмір тарифів на теплову енергію, її виробництво не відповідає рівню економічно обґрунтованих витрат, понесених на виробництво теплової енергії</w:t>
      </w:r>
      <w:r w:rsidR="0038314E">
        <w:rPr>
          <w:sz w:val="28"/>
          <w:szCs w:val="28"/>
          <w:lang w:val="uk-UA"/>
        </w:rPr>
        <w:t xml:space="preserve">, </w:t>
      </w:r>
      <w:r w:rsidR="00327820" w:rsidRPr="00B80F79">
        <w:rPr>
          <w:sz w:val="28"/>
          <w:szCs w:val="28"/>
          <w:lang w:val="uk-UA"/>
        </w:rPr>
        <w:t>сформувати такі тарифи відповідно до порядків (</w:t>
      </w:r>
      <w:proofErr w:type="spellStart"/>
      <w:r w:rsidR="00327820" w:rsidRPr="00B80F79">
        <w:rPr>
          <w:sz w:val="28"/>
          <w:szCs w:val="28"/>
          <w:lang w:val="uk-UA"/>
        </w:rPr>
        <w:t>методик</w:t>
      </w:r>
      <w:proofErr w:type="spellEnd"/>
      <w:r w:rsidR="00327820" w:rsidRPr="00B80F79">
        <w:rPr>
          <w:sz w:val="28"/>
          <w:szCs w:val="28"/>
          <w:lang w:val="uk-UA"/>
        </w:rPr>
        <w:t>) формування тарифів на теплову енергію, її виробництво, транспортування та постачання, затверджених Кабінетом Міністрів України або  національною комісією, що здійснює державне регулювання у сферах енергетики та комунальних послуг, відповідно до їх повноважень, визначених законом.</w:t>
      </w:r>
    </w:p>
    <w:p w14:paraId="0CEDFC26" w14:textId="35846EA3" w:rsidR="005F101B" w:rsidRPr="0008406A" w:rsidRDefault="00F12007" w:rsidP="00BC3F9C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Слід відмітити, що </w:t>
      </w:r>
      <w:r w:rsidR="001510D0">
        <w:rPr>
          <w:rFonts w:eastAsia="Times New Roman"/>
          <w:sz w:val="28"/>
          <w:szCs w:val="28"/>
          <w:lang w:val="uk-UA"/>
        </w:rPr>
        <w:t xml:space="preserve">реалізація положень законопроекту, </w:t>
      </w:r>
      <w:r w:rsidR="009166BA">
        <w:rPr>
          <w:rFonts w:eastAsia="Times New Roman"/>
          <w:sz w:val="28"/>
          <w:szCs w:val="28"/>
          <w:lang w:val="uk-UA"/>
        </w:rPr>
        <w:t>що</w:t>
      </w:r>
      <w:r w:rsidR="001510D0">
        <w:rPr>
          <w:rFonts w:eastAsia="Times New Roman"/>
          <w:sz w:val="28"/>
          <w:szCs w:val="28"/>
          <w:lang w:val="uk-UA"/>
        </w:rPr>
        <w:t xml:space="preserve"> дозволяють збільшити тариф на теплову енергію, вироблену з використанням альтернативних джерел енергії порівняно із тарифом на теплову енергію, вироблену із газовою </w:t>
      </w:r>
      <w:r w:rsidR="001510D0">
        <w:rPr>
          <w:rFonts w:eastAsia="Times New Roman"/>
          <w:sz w:val="28"/>
          <w:szCs w:val="28"/>
          <w:lang w:val="uk-UA"/>
        </w:rPr>
        <w:lastRenderedPageBreak/>
        <w:t xml:space="preserve">складовою, може потребувати додаткових видатків з державного та місцевих бюджетів на утримання бюджетних установ та надання пільг і житлових субсидій населенню на оплату житлово-комунальних послуг, </w:t>
      </w:r>
      <w:r w:rsidR="0046704F">
        <w:rPr>
          <w:rFonts w:eastAsia="Times New Roman"/>
          <w:sz w:val="28"/>
          <w:szCs w:val="28"/>
          <w:lang w:val="uk-UA"/>
        </w:rPr>
        <w:t xml:space="preserve">про що також зауважує Міністерство фінансів у своєму експертному висновку до даного законопроекту, </w:t>
      </w:r>
      <w:r w:rsidR="00DC044A">
        <w:rPr>
          <w:rFonts w:eastAsia="Times New Roman"/>
          <w:sz w:val="28"/>
          <w:szCs w:val="28"/>
          <w:lang w:val="uk-UA"/>
        </w:rPr>
        <w:t>зазначаючи, що ненадання розробниками законопроекту</w:t>
      </w:r>
      <w:r w:rsidR="0008561A">
        <w:rPr>
          <w:rFonts w:eastAsia="Times New Roman"/>
          <w:sz w:val="28"/>
          <w:szCs w:val="28"/>
          <w:lang w:val="uk-UA"/>
        </w:rPr>
        <w:t xml:space="preserve"> прогнозу щодо збільшення тарифів на теплову енергію</w:t>
      </w:r>
      <w:r w:rsidR="00B4088D">
        <w:rPr>
          <w:rFonts w:eastAsia="Times New Roman"/>
          <w:sz w:val="28"/>
          <w:szCs w:val="28"/>
          <w:lang w:val="uk-UA"/>
        </w:rPr>
        <w:t>, вироблену з використанням альтернативних джерел енергії, та розрахунку обсягу внесків на регулювання, що сплачуються суб’єктами господарювання, які провадять діяльність у сферах тепло-, водопостачання та водовідведення, унеможливило здійснення розрахунку вартісної величини його впливу</w:t>
      </w:r>
      <w:r w:rsidR="002D2294">
        <w:rPr>
          <w:rFonts w:eastAsia="Times New Roman"/>
          <w:sz w:val="28"/>
          <w:szCs w:val="28"/>
          <w:lang w:val="uk-UA"/>
        </w:rPr>
        <w:t xml:space="preserve"> на показники бюджетів</w:t>
      </w:r>
      <w:r w:rsidR="00B4088D">
        <w:rPr>
          <w:rFonts w:eastAsia="Times New Roman"/>
          <w:sz w:val="28"/>
          <w:szCs w:val="28"/>
          <w:lang w:val="uk-UA"/>
        </w:rPr>
        <w:t xml:space="preserve">.  </w:t>
      </w:r>
      <w:r w:rsidR="0008561A">
        <w:rPr>
          <w:rFonts w:eastAsia="Times New Roman"/>
          <w:sz w:val="28"/>
          <w:szCs w:val="28"/>
          <w:lang w:val="uk-UA"/>
        </w:rPr>
        <w:t xml:space="preserve"> </w:t>
      </w:r>
      <w:r w:rsidR="00DC044A">
        <w:rPr>
          <w:rFonts w:eastAsia="Times New Roman"/>
          <w:sz w:val="28"/>
          <w:szCs w:val="28"/>
          <w:lang w:val="uk-UA"/>
        </w:rPr>
        <w:t xml:space="preserve"> </w:t>
      </w:r>
    </w:p>
    <w:p w14:paraId="2D1417C4" w14:textId="2CE535A6" w:rsidR="00621126" w:rsidRPr="00621126" w:rsidRDefault="00621126" w:rsidP="00BC3F9C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621126">
        <w:rPr>
          <w:rFonts w:eastAsia="Times New Roman"/>
          <w:sz w:val="28"/>
          <w:szCs w:val="28"/>
          <w:lang w:val="uk-UA"/>
        </w:rPr>
        <w:t xml:space="preserve">Відтак, в порушення вимог частини третьої статті 91 Регламенту Верховної Ради України та частини першої статті 27 Бюджетного кодексу України </w:t>
      </w:r>
      <w:r>
        <w:rPr>
          <w:rFonts w:eastAsia="Times New Roman"/>
          <w:sz w:val="28"/>
          <w:szCs w:val="28"/>
          <w:lang w:val="uk-UA"/>
        </w:rPr>
        <w:t>до</w:t>
      </w:r>
      <w:r w:rsidRPr="00621126">
        <w:rPr>
          <w:rFonts w:eastAsia="Times New Roman"/>
          <w:sz w:val="28"/>
          <w:szCs w:val="28"/>
          <w:lang w:val="uk-UA"/>
        </w:rPr>
        <w:t xml:space="preserve"> законопроекту не надано належного фінансово-економічного обґрунтування (включаючи відповідні розрахунки) та пропозицій змін до законодавчих актів щодо скорочення витрат бюджет</w:t>
      </w:r>
      <w:r w:rsidR="00C231D4">
        <w:rPr>
          <w:rFonts w:eastAsia="Times New Roman"/>
          <w:sz w:val="28"/>
          <w:szCs w:val="28"/>
          <w:lang w:val="uk-UA"/>
        </w:rPr>
        <w:t>ів</w:t>
      </w:r>
      <w:r w:rsidRPr="00621126">
        <w:rPr>
          <w:rFonts w:eastAsia="Times New Roman"/>
          <w:sz w:val="28"/>
          <w:szCs w:val="28"/>
          <w:lang w:val="uk-UA"/>
        </w:rPr>
        <w:t xml:space="preserve"> та/або джерел додаткових надходжень бюджету для досягнення збалансованості бюджет</w:t>
      </w:r>
      <w:r w:rsidR="00C231D4">
        <w:rPr>
          <w:rFonts w:eastAsia="Times New Roman"/>
          <w:sz w:val="28"/>
          <w:szCs w:val="28"/>
          <w:lang w:val="uk-UA"/>
        </w:rPr>
        <w:t>ів</w:t>
      </w:r>
      <w:r w:rsidRPr="00621126">
        <w:rPr>
          <w:rFonts w:eastAsia="Times New Roman"/>
          <w:sz w:val="28"/>
          <w:szCs w:val="28"/>
          <w:lang w:val="uk-UA"/>
        </w:rPr>
        <w:t>.</w:t>
      </w:r>
    </w:p>
    <w:p w14:paraId="4C790760" w14:textId="119D8D18" w:rsidR="00621126" w:rsidRDefault="00621126" w:rsidP="00BC3F9C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621126">
        <w:rPr>
          <w:rFonts w:eastAsia="Times New Roman"/>
          <w:sz w:val="28"/>
          <w:szCs w:val="28"/>
          <w:lang w:val="uk-UA"/>
        </w:rPr>
        <w:t>Щодо набрання чинності Законом, то визначений у законопроекті термін</w:t>
      </w:r>
      <w:r w:rsidR="00C231D4">
        <w:rPr>
          <w:rFonts w:eastAsia="Times New Roman"/>
          <w:sz w:val="28"/>
          <w:szCs w:val="28"/>
          <w:lang w:val="uk-UA"/>
        </w:rPr>
        <w:t>,</w:t>
      </w:r>
      <w:r w:rsidRPr="00621126">
        <w:rPr>
          <w:rFonts w:eastAsia="Times New Roman"/>
          <w:sz w:val="28"/>
          <w:szCs w:val="28"/>
          <w:lang w:val="uk-UA"/>
        </w:rPr>
        <w:t> не відповідає положенням частини третьої статті 27 Бюджетного кодексу України, що встановлює вимоги щодо введення в дію законів України або їх окремих положень, які впливають на показники бюджету (зменшують надходження бюджету та/або збільшують витрати бюджету).</w:t>
      </w:r>
    </w:p>
    <w:p w14:paraId="7732A829" w14:textId="68F6E119" w:rsidR="00621126" w:rsidRPr="003721DE" w:rsidRDefault="000D4B81" w:rsidP="00BC3F9C">
      <w:pPr>
        <w:ind w:firstLine="900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84E0D">
        <w:rPr>
          <w:rFonts w:eastAsia="Times New Roman"/>
          <w:bCs/>
          <w:iCs/>
          <w:sz w:val="28"/>
          <w:szCs w:val="28"/>
          <w:lang w:val="uk-UA"/>
        </w:rPr>
        <w:t>За підсумками р</w:t>
      </w:r>
      <w:r w:rsidR="00A0364D" w:rsidRPr="00284E0D">
        <w:rPr>
          <w:rFonts w:eastAsia="Times New Roman"/>
          <w:bCs/>
          <w:iCs/>
          <w:sz w:val="28"/>
          <w:szCs w:val="28"/>
          <w:lang w:val="uk-UA"/>
        </w:rPr>
        <w:t>озгляду Комітет ухвалив рішення, що п</w:t>
      </w:r>
      <w:r w:rsidRPr="00284E0D">
        <w:rPr>
          <w:rFonts w:eastAsia="Times New Roman"/>
          <w:sz w:val="28"/>
          <w:szCs w:val="28"/>
          <w:lang w:val="uk-UA"/>
        </w:rPr>
        <w:t xml:space="preserve">роект закону </w:t>
      </w:r>
      <w:r w:rsidR="00621126" w:rsidRPr="00621126">
        <w:rPr>
          <w:rFonts w:eastAsia="Times New Roman"/>
          <w:sz w:val="28"/>
          <w:szCs w:val="28"/>
          <w:lang w:val="uk-UA"/>
        </w:rPr>
        <w:t xml:space="preserve">про </w:t>
      </w:r>
      <w:r w:rsidR="00C231D4" w:rsidRPr="00E50174">
        <w:rPr>
          <w:rFonts w:eastAsia="Times New Roman"/>
          <w:bCs/>
          <w:sz w:val="28"/>
          <w:szCs w:val="28"/>
          <w:lang w:val="uk-UA"/>
        </w:rPr>
        <w:t>внесення змін до деяких законодавчих актів України щодо регулювання діяльності суб'єктів господарювання у сфері теплопостачання</w:t>
      </w:r>
      <w:r w:rsidR="00C231D4" w:rsidRPr="000A2AD6">
        <w:rPr>
          <w:sz w:val="28"/>
          <w:szCs w:val="28"/>
          <w:lang w:val="uk-UA"/>
        </w:rPr>
        <w:t xml:space="preserve"> </w:t>
      </w:r>
      <w:r w:rsidR="00C231D4" w:rsidRPr="00E50174">
        <w:rPr>
          <w:rFonts w:eastAsia="Times New Roman"/>
          <w:sz w:val="28"/>
          <w:szCs w:val="28"/>
          <w:lang w:val="uk-UA"/>
        </w:rPr>
        <w:t>(реєстр. № </w:t>
      </w:r>
      <w:r w:rsidR="00C231D4" w:rsidRPr="00C231D4">
        <w:rPr>
          <w:rFonts w:eastAsia="Times New Roman"/>
          <w:sz w:val="28"/>
          <w:szCs w:val="28"/>
          <w:lang w:val="uk-UA"/>
        </w:rPr>
        <w:t>3912</w:t>
      </w:r>
      <w:r w:rsidR="00C231D4" w:rsidRPr="00E50174">
        <w:rPr>
          <w:rFonts w:eastAsia="Times New Roman"/>
          <w:sz w:val="28"/>
          <w:szCs w:val="28"/>
          <w:lang w:val="uk-UA"/>
        </w:rPr>
        <w:t xml:space="preserve">), поданий народними депутатами України </w:t>
      </w:r>
      <w:proofErr w:type="spellStart"/>
      <w:r w:rsidR="00C231D4" w:rsidRPr="00E50174">
        <w:rPr>
          <w:rFonts w:eastAsia="Times New Roman"/>
          <w:sz w:val="28"/>
          <w:szCs w:val="28"/>
          <w:lang w:val="uk-UA"/>
        </w:rPr>
        <w:t>Семінськи</w:t>
      </w:r>
      <w:r w:rsidR="00C231D4">
        <w:rPr>
          <w:rFonts w:eastAsia="Times New Roman"/>
          <w:sz w:val="28"/>
          <w:szCs w:val="28"/>
          <w:lang w:val="uk-UA"/>
        </w:rPr>
        <w:t>м</w:t>
      </w:r>
      <w:proofErr w:type="spellEnd"/>
      <w:r w:rsidR="00C231D4">
        <w:rPr>
          <w:rFonts w:eastAsia="Times New Roman"/>
          <w:sz w:val="28"/>
          <w:szCs w:val="28"/>
          <w:lang w:val="uk-UA"/>
        </w:rPr>
        <w:t xml:space="preserve"> </w:t>
      </w:r>
      <w:r w:rsidR="00C231D4" w:rsidRPr="00E50174">
        <w:rPr>
          <w:rFonts w:eastAsia="Times New Roman"/>
          <w:sz w:val="28"/>
          <w:szCs w:val="28"/>
          <w:lang w:val="uk-UA"/>
        </w:rPr>
        <w:t>О.В.,</w:t>
      </w:r>
      <w:r w:rsidR="00C231D4">
        <w:rPr>
          <w:rFonts w:eastAsia="Times New Roman"/>
          <w:sz w:val="28"/>
          <w:szCs w:val="28"/>
          <w:lang w:val="uk-UA"/>
        </w:rPr>
        <w:t xml:space="preserve"> </w:t>
      </w:r>
      <w:r w:rsidR="00C231D4" w:rsidRPr="00710B37">
        <w:rPr>
          <w:rFonts w:eastAsia="Times New Roman"/>
          <w:bCs/>
          <w:sz w:val="28"/>
          <w:szCs w:val="28"/>
          <w:lang w:val="uk-UA"/>
        </w:rPr>
        <w:t>Пивоваров</w:t>
      </w:r>
      <w:r w:rsidR="00C231D4">
        <w:rPr>
          <w:rFonts w:eastAsia="Times New Roman"/>
          <w:bCs/>
          <w:sz w:val="28"/>
          <w:szCs w:val="28"/>
          <w:lang w:val="uk-UA"/>
        </w:rPr>
        <w:t>им</w:t>
      </w:r>
      <w:r w:rsidR="00C231D4" w:rsidRPr="00710B37">
        <w:rPr>
          <w:rFonts w:eastAsia="Times New Roman"/>
          <w:bCs/>
          <w:sz w:val="28"/>
          <w:szCs w:val="28"/>
          <w:lang w:val="uk-UA"/>
        </w:rPr>
        <w:t xml:space="preserve"> Є.П.</w:t>
      </w:r>
      <w:r w:rsidR="00C231D4">
        <w:rPr>
          <w:rFonts w:eastAsia="Times New Roman"/>
          <w:sz w:val="28"/>
          <w:szCs w:val="28"/>
          <w:lang w:val="uk-UA"/>
        </w:rPr>
        <w:t xml:space="preserve">, </w:t>
      </w:r>
      <w:r w:rsidR="00C231D4" w:rsidRPr="00710B37">
        <w:rPr>
          <w:rFonts w:eastAsia="Times New Roman"/>
          <w:bCs/>
          <w:sz w:val="28"/>
          <w:szCs w:val="28"/>
          <w:lang w:val="uk-UA"/>
        </w:rPr>
        <w:t>Горобц</w:t>
      </w:r>
      <w:r w:rsidR="00C231D4" w:rsidRPr="00E50174">
        <w:rPr>
          <w:rFonts w:eastAsia="Times New Roman"/>
          <w:sz w:val="28"/>
          <w:szCs w:val="28"/>
          <w:lang w:val="uk-UA"/>
        </w:rPr>
        <w:t>е</w:t>
      </w:r>
      <w:r w:rsidR="00C231D4">
        <w:rPr>
          <w:rFonts w:eastAsia="Times New Roman"/>
          <w:bCs/>
          <w:sz w:val="28"/>
          <w:szCs w:val="28"/>
          <w:lang w:val="uk-UA"/>
        </w:rPr>
        <w:t>м</w:t>
      </w:r>
      <w:r w:rsidR="00C231D4" w:rsidRPr="00710B37">
        <w:rPr>
          <w:rFonts w:eastAsia="Times New Roman"/>
          <w:bCs/>
          <w:sz w:val="28"/>
          <w:szCs w:val="28"/>
          <w:lang w:val="uk-UA"/>
        </w:rPr>
        <w:t xml:space="preserve"> О.С.</w:t>
      </w:r>
      <w:r w:rsidR="00C231D4" w:rsidRPr="00710B37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C231D4">
        <w:rPr>
          <w:rFonts w:eastAsia="Times New Roman"/>
          <w:sz w:val="28"/>
          <w:szCs w:val="28"/>
          <w:lang w:val="uk-UA"/>
        </w:rPr>
        <w:t xml:space="preserve">та іншими </w:t>
      </w:r>
      <w:r w:rsidR="00C231D4" w:rsidRPr="00284E0D">
        <w:rPr>
          <w:rFonts w:eastAsia="Times New Roman"/>
          <w:sz w:val="28"/>
          <w:szCs w:val="28"/>
          <w:lang w:val="uk-UA"/>
        </w:rPr>
        <w:t>народними депутатами</w:t>
      </w:r>
      <w:r w:rsidR="00C231D4">
        <w:rPr>
          <w:rFonts w:eastAsia="Times New Roman"/>
          <w:sz w:val="28"/>
          <w:szCs w:val="28"/>
          <w:lang w:val="uk-UA"/>
        </w:rPr>
        <w:t xml:space="preserve"> України</w:t>
      </w:r>
      <w:r w:rsidR="00D8412A">
        <w:rPr>
          <w:rFonts w:eastAsia="Times New Roman"/>
          <w:sz w:val="28"/>
          <w:szCs w:val="28"/>
          <w:lang w:val="uk-UA"/>
        </w:rPr>
        <w:t>, матиме</w:t>
      </w:r>
      <w:r w:rsidR="00621126" w:rsidRPr="00621126">
        <w:rPr>
          <w:rFonts w:eastAsia="Times New Roman"/>
          <w:sz w:val="28"/>
          <w:szCs w:val="28"/>
          <w:lang w:val="uk-UA"/>
        </w:rPr>
        <w:t xml:space="preserve"> вплив на показники державного </w:t>
      </w:r>
      <w:r w:rsidR="003721DE">
        <w:rPr>
          <w:rFonts w:eastAsia="Times New Roman"/>
          <w:sz w:val="28"/>
          <w:szCs w:val="28"/>
          <w:lang w:val="uk-UA"/>
        </w:rPr>
        <w:t>і місцевих бюджетів</w:t>
      </w:r>
      <w:r w:rsidR="00621126" w:rsidRPr="00621126">
        <w:rPr>
          <w:rFonts w:eastAsia="Times New Roman"/>
          <w:sz w:val="28"/>
          <w:szCs w:val="28"/>
          <w:lang w:val="uk-UA"/>
        </w:rPr>
        <w:t xml:space="preserve"> (</w:t>
      </w:r>
      <w:r w:rsidR="00D8412A" w:rsidRPr="00D8412A">
        <w:rPr>
          <w:rFonts w:eastAsia="Times New Roman"/>
          <w:sz w:val="28"/>
          <w:szCs w:val="28"/>
          <w:lang w:val="uk-UA"/>
        </w:rPr>
        <w:t xml:space="preserve">може потребувати додаткових видатків </w:t>
      </w:r>
      <w:r w:rsidR="00031E4B">
        <w:rPr>
          <w:rFonts w:eastAsia="Times New Roman"/>
          <w:sz w:val="28"/>
          <w:szCs w:val="28"/>
          <w:lang w:val="uk-UA"/>
        </w:rPr>
        <w:t xml:space="preserve">на </w:t>
      </w:r>
      <w:r w:rsidR="00C231D4">
        <w:rPr>
          <w:rFonts w:eastAsia="Times New Roman"/>
          <w:sz w:val="28"/>
          <w:szCs w:val="28"/>
          <w:lang w:val="uk-UA"/>
        </w:rPr>
        <w:t>забезпечення функціонування бюджетних установ та надання пільг і житлових субсидій населенню</w:t>
      </w:r>
      <w:r w:rsidR="00621126" w:rsidRPr="00621126">
        <w:rPr>
          <w:rFonts w:eastAsia="Times New Roman"/>
          <w:sz w:val="28"/>
          <w:szCs w:val="28"/>
          <w:lang w:val="uk-UA"/>
        </w:rPr>
        <w:t>). У разі прийняття відп</w:t>
      </w:r>
      <w:r w:rsidR="00871404">
        <w:rPr>
          <w:rFonts w:eastAsia="Times New Roman"/>
          <w:sz w:val="28"/>
          <w:szCs w:val="28"/>
          <w:lang w:val="uk-UA"/>
        </w:rPr>
        <w:t>овідного закону до 15 липня 2021</w:t>
      </w:r>
      <w:r w:rsidR="00621126" w:rsidRPr="00621126">
        <w:rPr>
          <w:rFonts w:eastAsia="Times New Roman"/>
          <w:sz w:val="28"/>
          <w:szCs w:val="28"/>
          <w:lang w:val="uk-UA"/>
        </w:rPr>
        <w:t> року він має вводит</w:t>
      </w:r>
      <w:r w:rsidR="00871404">
        <w:rPr>
          <w:rFonts w:eastAsia="Times New Roman"/>
          <w:sz w:val="28"/>
          <w:szCs w:val="28"/>
          <w:lang w:val="uk-UA"/>
        </w:rPr>
        <w:t>ися в дію не раніше 1 січня 2022 року, а після 15 липня 2021 року – не раніше 1 січня 2023</w:t>
      </w:r>
      <w:r w:rsidR="00621126" w:rsidRPr="00621126">
        <w:rPr>
          <w:rFonts w:eastAsia="Times New Roman"/>
          <w:sz w:val="28"/>
          <w:szCs w:val="28"/>
          <w:lang w:val="uk-UA"/>
        </w:rPr>
        <w:t> року (або 1 січня наступного за цим року залежно від часу прийняття закону).</w:t>
      </w:r>
    </w:p>
    <w:p w14:paraId="15042B64" w14:textId="77777777" w:rsidR="00FD1DD0" w:rsidRPr="00284E0D" w:rsidRDefault="00FD1DD0" w:rsidP="000D4B81">
      <w:pPr>
        <w:jc w:val="both"/>
        <w:rPr>
          <w:rFonts w:eastAsia="Times New Roman"/>
          <w:sz w:val="28"/>
          <w:szCs w:val="28"/>
          <w:lang w:val="uk-UA"/>
        </w:rPr>
      </w:pPr>
    </w:p>
    <w:p w14:paraId="007B5E02" w14:textId="6E87545E" w:rsidR="000D4B81" w:rsidRPr="00284E0D" w:rsidRDefault="006E6015" w:rsidP="000D4B81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Голова Комітету </w:t>
      </w:r>
      <w:r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</w:r>
      <w:r w:rsidR="000D4B81" w:rsidRPr="00284E0D">
        <w:rPr>
          <w:rFonts w:eastAsia="Times New Roman"/>
          <w:b/>
          <w:sz w:val="28"/>
          <w:szCs w:val="28"/>
          <w:lang w:val="uk-UA"/>
        </w:rPr>
        <w:tab/>
        <w:t>Ю.Ю. Арістов</w:t>
      </w:r>
    </w:p>
    <w:p w14:paraId="17D21246" w14:textId="77777777" w:rsidR="000D4B81" w:rsidRPr="00284E0D" w:rsidRDefault="000D4B81" w:rsidP="000D4B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113CCF6" w14:textId="0BD1D45F" w:rsidR="000D4B81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BCD072C" w14:textId="46808A5A" w:rsidR="00FF4206" w:rsidRDefault="00FF4206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C48735D" w14:textId="67861F4A" w:rsidR="00FF4206" w:rsidRDefault="00FF4206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F6B530B" w14:textId="73945C0E" w:rsidR="00FF4206" w:rsidRDefault="00FF4206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D9C7615" w14:textId="325AA482" w:rsidR="00FF4206" w:rsidRDefault="00FF4206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A65CD1E" w14:textId="226BB9A5" w:rsidR="00FF4206" w:rsidRDefault="00FF4206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9BDA14C" w14:textId="5C1E2FCA" w:rsidR="00FF4206" w:rsidRDefault="00FF4206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FAAF44A" w14:textId="77777777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  <w:bookmarkStart w:id="0" w:name="_GoBack"/>
      <w:bookmarkEnd w:id="0"/>
    </w:p>
    <w:p w14:paraId="7C6A80F0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Криволап М.К.</w:t>
      </w:r>
    </w:p>
    <w:p w14:paraId="1CE17106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2554456</w:t>
      </w:r>
    </w:p>
    <w:p w14:paraId="0FB9B425" w14:textId="77777777" w:rsidR="00FE560D" w:rsidRDefault="00A63ECF"/>
    <w:sectPr w:rsidR="00FE560D" w:rsidSect="003369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1" w:bottom="1418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947C" w14:textId="77777777" w:rsidR="00A63ECF" w:rsidRDefault="00A63ECF">
      <w:r>
        <w:separator/>
      </w:r>
    </w:p>
  </w:endnote>
  <w:endnote w:type="continuationSeparator" w:id="0">
    <w:p w14:paraId="5A5B12EE" w14:textId="77777777" w:rsidR="00A63ECF" w:rsidRDefault="00A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2132"/>
      <w:docPartObj>
        <w:docPartGallery w:val="Page Numbers (Bottom of Page)"/>
        <w:docPartUnique/>
      </w:docPartObj>
    </w:sdtPr>
    <w:sdtEndPr/>
    <w:sdtContent>
      <w:p w14:paraId="64E3FC2F" w14:textId="41A4FC25" w:rsidR="00C52D8B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06" w:rsidRPr="00FF4206">
          <w:rPr>
            <w:noProof/>
            <w:lang w:val="uk-UA"/>
          </w:rPr>
          <w:t>3</w:t>
        </w:r>
        <w:r>
          <w:fldChar w:fldCharType="end"/>
        </w:r>
      </w:p>
    </w:sdtContent>
  </w:sdt>
  <w:p w14:paraId="194E732A" w14:textId="77777777" w:rsidR="00C52D8B" w:rsidRDefault="00A63E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20852"/>
      <w:docPartObj>
        <w:docPartGallery w:val="Page Numbers (Bottom of Page)"/>
        <w:docPartUnique/>
      </w:docPartObj>
    </w:sdtPr>
    <w:sdtEndPr/>
    <w:sdtContent>
      <w:p w14:paraId="4E2484A1" w14:textId="77777777" w:rsidR="00A7635E" w:rsidRDefault="00A63ECF">
        <w:pPr>
          <w:pStyle w:val="a5"/>
          <w:jc w:val="center"/>
        </w:pPr>
      </w:p>
    </w:sdtContent>
  </w:sdt>
  <w:p w14:paraId="6A00FD63" w14:textId="77777777" w:rsidR="00A7635E" w:rsidRDefault="00A63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057A" w14:textId="77777777" w:rsidR="00A63ECF" w:rsidRDefault="00A63ECF">
      <w:r>
        <w:separator/>
      </w:r>
    </w:p>
  </w:footnote>
  <w:footnote w:type="continuationSeparator" w:id="0">
    <w:p w14:paraId="3F4BF40E" w14:textId="77777777" w:rsidR="00A63ECF" w:rsidRDefault="00A6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CE6A4B" w:rsidRDefault="00F044E2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2486881" w14:textId="77777777" w:rsidTr="00C52D8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CE6A4B" w:rsidRPr="00AD7F82" w:rsidRDefault="00A63EC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CE6A4B" w:rsidRPr="00AD7F82" w:rsidRDefault="00A63EC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CE6A4B" w:rsidRPr="00AD7F82" w:rsidRDefault="00A63EC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CE6A4B" w:rsidRPr="0021032F" w:rsidRDefault="00F044E2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CE6A4B" w:rsidRPr="008D7BBE" w:rsidRDefault="00F044E2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C27AE9" w:rsidRPr="007B31A3" w:rsidRDefault="00F044E2" w:rsidP="00C52D8B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1821" w:rsidRPr="00053776" w14:paraId="4E8DCEA0" w14:textId="77777777" w:rsidTr="00C52D8B">
      <w:tc>
        <w:tcPr>
          <w:tcW w:w="1538" w:type="dxa"/>
          <w:tcBorders>
            <w:top w:val="nil"/>
          </w:tcBorders>
        </w:tcPr>
        <w:p w14:paraId="6EDDFD38" w14:textId="77777777" w:rsidR="00811821" w:rsidRPr="00053776" w:rsidRDefault="00A63ECF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811821" w:rsidRPr="00053776" w:rsidRDefault="00A63ECF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811821" w:rsidRPr="00053776" w:rsidRDefault="00A63ECF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F91DD3" w:rsidRPr="004F7B8A" w:rsidRDefault="00A63ECF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31E4B"/>
    <w:rsid w:val="000519FC"/>
    <w:rsid w:val="00060695"/>
    <w:rsid w:val="0008406A"/>
    <w:rsid w:val="0008561A"/>
    <w:rsid w:val="00085DA0"/>
    <w:rsid w:val="000932A0"/>
    <w:rsid w:val="000A2AD6"/>
    <w:rsid w:val="000B118F"/>
    <w:rsid w:val="000B7CC8"/>
    <w:rsid w:val="000D4B81"/>
    <w:rsid w:val="00147C3D"/>
    <w:rsid w:val="001510D0"/>
    <w:rsid w:val="00161690"/>
    <w:rsid w:val="00162C06"/>
    <w:rsid w:val="00166A55"/>
    <w:rsid w:val="00171EFD"/>
    <w:rsid w:val="001A0B60"/>
    <w:rsid w:val="001D2605"/>
    <w:rsid w:val="001E19DC"/>
    <w:rsid w:val="001F1719"/>
    <w:rsid w:val="00210198"/>
    <w:rsid w:val="00231367"/>
    <w:rsid w:val="00273D45"/>
    <w:rsid w:val="0027579A"/>
    <w:rsid w:val="00284E0D"/>
    <w:rsid w:val="002A0A0F"/>
    <w:rsid w:val="002A3159"/>
    <w:rsid w:val="002D2294"/>
    <w:rsid w:val="002E2B0A"/>
    <w:rsid w:val="00321CCA"/>
    <w:rsid w:val="00327820"/>
    <w:rsid w:val="00335DE0"/>
    <w:rsid w:val="0033692C"/>
    <w:rsid w:val="00371930"/>
    <w:rsid w:val="003721DE"/>
    <w:rsid w:val="0038314E"/>
    <w:rsid w:val="003B3787"/>
    <w:rsid w:val="00443A98"/>
    <w:rsid w:val="00451EE7"/>
    <w:rsid w:val="0045718D"/>
    <w:rsid w:val="0046704F"/>
    <w:rsid w:val="004A1FCA"/>
    <w:rsid w:val="004B4E56"/>
    <w:rsid w:val="005376C3"/>
    <w:rsid w:val="00591E37"/>
    <w:rsid w:val="005A1207"/>
    <w:rsid w:val="005A5B36"/>
    <w:rsid w:val="005B4B68"/>
    <w:rsid w:val="005D7484"/>
    <w:rsid w:val="005E1A08"/>
    <w:rsid w:val="005E6ACF"/>
    <w:rsid w:val="005F101B"/>
    <w:rsid w:val="00607F6B"/>
    <w:rsid w:val="00612DFA"/>
    <w:rsid w:val="00621126"/>
    <w:rsid w:val="00642599"/>
    <w:rsid w:val="00677984"/>
    <w:rsid w:val="006823A2"/>
    <w:rsid w:val="006A6DA1"/>
    <w:rsid w:val="006B11CA"/>
    <w:rsid w:val="006B4320"/>
    <w:rsid w:val="006B5281"/>
    <w:rsid w:val="006C47A0"/>
    <w:rsid w:val="006D0A2A"/>
    <w:rsid w:val="006E5212"/>
    <w:rsid w:val="006E6015"/>
    <w:rsid w:val="006E63B2"/>
    <w:rsid w:val="007102E6"/>
    <w:rsid w:val="00710B37"/>
    <w:rsid w:val="007147AB"/>
    <w:rsid w:val="007307E3"/>
    <w:rsid w:val="00747566"/>
    <w:rsid w:val="00787310"/>
    <w:rsid w:val="00787792"/>
    <w:rsid w:val="007B4EA2"/>
    <w:rsid w:val="007D2E42"/>
    <w:rsid w:val="007F1E70"/>
    <w:rsid w:val="00827A17"/>
    <w:rsid w:val="00851724"/>
    <w:rsid w:val="00866113"/>
    <w:rsid w:val="00871404"/>
    <w:rsid w:val="008F5B79"/>
    <w:rsid w:val="008F7614"/>
    <w:rsid w:val="009158ED"/>
    <w:rsid w:val="009166BA"/>
    <w:rsid w:val="0092640E"/>
    <w:rsid w:val="00967FC3"/>
    <w:rsid w:val="00991B36"/>
    <w:rsid w:val="00997D23"/>
    <w:rsid w:val="009A1B6C"/>
    <w:rsid w:val="009B6F83"/>
    <w:rsid w:val="009F473C"/>
    <w:rsid w:val="009F7418"/>
    <w:rsid w:val="00A0364D"/>
    <w:rsid w:val="00A439DD"/>
    <w:rsid w:val="00A55447"/>
    <w:rsid w:val="00A63ECF"/>
    <w:rsid w:val="00A7781B"/>
    <w:rsid w:val="00AA1E3F"/>
    <w:rsid w:val="00AE2801"/>
    <w:rsid w:val="00AE3021"/>
    <w:rsid w:val="00AE732A"/>
    <w:rsid w:val="00B20AF5"/>
    <w:rsid w:val="00B30D85"/>
    <w:rsid w:val="00B34957"/>
    <w:rsid w:val="00B4088D"/>
    <w:rsid w:val="00B51F19"/>
    <w:rsid w:val="00B80F79"/>
    <w:rsid w:val="00BA5711"/>
    <w:rsid w:val="00BB64F7"/>
    <w:rsid w:val="00BC3F9C"/>
    <w:rsid w:val="00BD4515"/>
    <w:rsid w:val="00C103A8"/>
    <w:rsid w:val="00C231D4"/>
    <w:rsid w:val="00C4604E"/>
    <w:rsid w:val="00C50C24"/>
    <w:rsid w:val="00C52A10"/>
    <w:rsid w:val="00CA100E"/>
    <w:rsid w:val="00CB2896"/>
    <w:rsid w:val="00CB7E32"/>
    <w:rsid w:val="00CD27EC"/>
    <w:rsid w:val="00CE2D95"/>
    <w:rsid w:val="00D20416"/>
    <w:rsid w:val="00D3686B"/>
    <w:rsid w:val="00D379C3"/>
    <w:rsid w:val="00D7750B"/>
    <w:rsid w:val="00D8412A"/>
    <w:rsid w:val="00D86A79"/>
    <w:rsid w:val="00D875A1"/>
    <w:rsid w:val="00DB0E59"/>
    <w:rsid w:val="00DB395C"/>
    <w:rsid w:val="00DC044A"/>
    <w:rsid w:val="00DD2F1B"/>
    <w:rsid w:val="00DD361A"/>
    <w:rsid w:val="00DD45C8"/>
    <w:rsid w:val="00DE5E65"/>
    <w:rsid w:val="00E00F78"/>
    <w:rsid w:val="00E10FD2"/>
    <w:rsid w:val="00E128C2"/>
    <w:rsid w:val="00E30771"/>
    <w:rsid w:val="00E33D47"/>
    <w:rsid w:val="00E41C9E"/>
    <w:rsid w:val="00E44079"/>
    <w:rsid w:val="00E50174"/>
    <w:rsid w:val="00E5268A"/>
    <w:rsid w:val="00E65E33"/>
    <w:rsid w:val="00E707F4"/>
    <w:rsid w:val="00E80DC4"/>
    <w:rsid w:val="00EA1EC5"/>
    <w:rsid w:val="00EC60C1"/>
    <w:rsid w:val="00ED2D71"/>
    <w:rsid w:val="00ED3B27"/>
    <w:rsid w:val="00ED5ECC"/>
    <w:rsid w:val="00F044E2"/>
    <w:rsid w:val="00F12007"/>
    <w:rsid w:val="00F75162"/>
    <w:rsid w:val="00F90D8B"/>
    <w:rsid w:val="00FB0E62"/>
    <w:rsid w:val="00FD1DD0"/>
    <w:rsid w:val="00FE5CB7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521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E52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11</cp:revision>
  <cp:lastPrinted>2020-12-18T16:32:00Z</cp:lastPrinted>
  <dcterms:created xsi:type="dcterms:W3CDTF">2020-12-18T16:34:00Z</dcterms:created>
  <dcterms:modified xsi:type="dcterms:W3CDTF">2021-02-01T08:36:00Z</dcterms:modified>
</cp:coreProperties>
</file>