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8F4E88" w:rsidRPr="008F4E88" w:rsidTr="006258ED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8F4E88" w:rsidRPr="008F4E88" w:rsidRDefault="008F4E88" w:rsidP="008F4E88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8F4E88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3090DDD7" wp14:editId="409B5EC4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E88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8F4E88" w:rsidRPr="008F4E88" w:rsidRDefault="008F4E88" w:rsidP="008F4E8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правоохоронної діяльності</w:t>
            </w:r>
          </w:p>
          <w:p w:rsidR="008F4E88" w:rsidRPr="008F4E88" w:rsidRDefault="008F4E88" w:rsidP="008F4E88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.: 255-35-06</w:t>
            </w:r>
          </w:p>
        </w:tc>
      </w:tr>
    </w:tbl>
    <w:p w:rsidR="008F4E88" w:rsidRPr="008F4E88" w:rsidRDefault="008F4E88" w:rsidP="008F4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822"/>
        <w:gridCol w:w="9497"/>
        <w:gridCol w:w="568"/>
      </w:tblGrid>
      <w:tr w:rsidR="008F4E88" w:rsidRPr="008F4E88" w:rsidTr="006258ED">
        <w:tc>
          <w:tcPr>
            <w:tcW w:w="1822" w:type="dxa"/>
            <w:tcBorders>
              <w:top w:val="nil"/>
            </w:tcBorders>
            <w:shd w:val="clear" w:color="auto" w:fill="auto"/>
          </w:tcPr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8F4E88" w:rsidRPr="008F4E88" w:rsidRDefault="008F4E88" w:rsidP="008F4E88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val="ru-RU"/>
        </w:rPr>
      </w:pPr>
    </w:p>
    <w:p w:rsidR="001207FE" w:rsidRPr="001207FE" w:rsidRDefault="00AA627A" w:rsidP="00120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GB"/>
        </w:rPr>
        <w:t xml:space="preserve"> </w:t>
      </w:r>
    </w:p>
    <w:p w:rsidR="006F1321" w:rsidRPr="007F50DB" w:rsidRDefault="006F1321" w:rsidP="006F132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en-GB"/>
        </w:rPr>
      </w:pPr>
      <w:r w:rsidRPr="007F50DB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en-GB"/>
        </w:rPr>
        <w:t>ВЕРХОВНА РАДА УКРАЇНИ</w:t>
      </w:r>
    </w:p>
    <w:p w:rsidR="006F1321" w:rsidRPr="007F50DB" w:rsidRDefault="006F1321" w:rsidP="006F1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en-GB"/>
        </w:rPr>
      </w:pPr>
    </w:p>
    <w:p w:rsidR="006F1321" w:rsidRPr="007F50DB" w:rsidRDefault="006F1321" w:rsidP="006F1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en-GB"/>
        </w:rPr>
      </w:pPr>
    </w:p>
    <w:p w:rsidR="006F1321" w:rsidRPr="007F50DB" w:rsidRDefault="006F1321" w:rsidP="006F1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50D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Комітет 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 xml:space="preserve">з питань правоохоронної діяльності 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 виконання доручення Голови Верховної Ради України Д. Разумкова </w:t>
      </w:r>
      <w:r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розглянув на своєму засіданні 03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.0</w:t>
      </w:r>
      <w:r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2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.202</w:t>
      </w:r>
      <w:r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1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 xml:space="preserve"> р. (протокол № </w:t>
      </w:r>
      <w:r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57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 xml:space="preserve">) проект Закону України «Про </w:t>
      </w:r>
      <w:r w:rsidRPr="007F50DB">
        <w:rPr>
          <w:rFonts w:ascii="Times New Roman" w:eastAsia="Times New Roman" w:hAnsi="Times New Roman"/>
          <w:sz w:val="28"/>
          <w:szCs w:val="28"/>
        </w:rPr>
        <w:t xml:space="preserve">внесення змін до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статті 83</w:t>
      </w:r>
      <w:r w:rsidRPr="007F50DB">
        <w:rPr>
          <w:rFonts w:ascii="Times New Roman" w:eastAsia="Times New Roman" w:hAnsi="Times New Roman"/>
          <w:sz w:val="28"/>
          <w:szCs w:val="28"/>
        </w:rPr>
        <w:t xml:space="preserve"> Кодексу України про адміністративні правопорушення щодо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321">
        <w:rPr>
          <w:rFonts w:ascii="Times New Roman" w:hAnsi="Times New Roman"/>
          <w:sz w:val="28"/>
          <w:szCs w:val="28"/>
        </w:rPr>
        <w:t xml:space="preserve">підвищення відповідальності за порушення правил застосування, зберігання, транспортування, знешкодження, ліквідації та захоронення пестицидів і агрохімікатів,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321">
        <w:rPr>
          <w:rFonts w:ascii="Times New Roman" w:hAnsi="Times New Roman"/>
          <w:sz w:val="28"/>
          <w:szCs w:val="28"/>
        </w:rPr>
        <w:t>токсичних  хімічних   речовин  та   інших  препаратів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» (</w:t>
      </w:r>
      <w:r w:rsidRPr="007F50DB">
        <w:rPr>
          <w:rFonts w:ascii="Times New Roman" w:eastAsia="Times New Roman" w:hAnsi="Times New Roman"/>
          <w:b/>
          <w:spacing w:val="-2"/>
          <w:sz w:val="28"/>
          <w:szCs w:val="28"/>
          <w:lang w:eastAsia="en-GB"/>
        </w:rPr>
        <w:t xml:space="preserve">реєстр. № </w:t>
      </w:r>
      <w:r>
        <w:rPr>
          <w:rFonts w:ascii="Times New Roman" w:eastAsia="Times New Roman" w:hAnsi="Times New Roman"/>
          <w:b/>
          <w:spacing w:val="-2"/>
          <w:sz w:val="28"/>
          <w:szCs w:val="28"/>
          <w:lang w:eastAsia="en-GB"/>
        </w:rPr>
        <w:t>3926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)</w:t>
      </w:r>
      <w:r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, внесе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 xml:space="preserve">ний народним депутатом України </w:t>
      </w:r>
      <w:r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Мельником П.В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>.</w:t>
      </w:r>
    </w:p>
    <w:p w:rsidR="006F1321" w:rsidRPr="007F50DB" w:rsidRDefault="006F1321" w:rsidP="004F554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 w:rsidRPr="007F50DB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Метою законопроекту, як зазначено в Пояснювальній записці до нього, є 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en-GB"/>
        </w:rPr>
        <w:t>підвищення захисту населення від систематичного та безконтрольного порушення встановленого порядку використання пестицидів, агрохімікатів, токсичних хімічних речовин та інших препаратів, результатом якого є постійне забруднення навколишнього середовища, завдання шкоди водним об’єктам, лісовій рослинності і тваринному світу, та спричинення  шкоди здоров’ю населенню.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F554A" w:rsidRPr="004F554A" w:rsidRDefault="006F1321" w:rsidP="004F554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F50DB">
        <w:rPr>
          <w:rFonts w:ascii="Times New Roman" w:eastAsia="Times New Roman" w:hAnsi="Times New Roman"/>
          <w:sz w:val="28"/>
        </w:rPr>
        <w:t>Для досягнення зазначеної мети з</w:t>
      </w:r>
      <w:r w:rsid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>аконопроектом пропонується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>в назві статті 83 К</w:t>
      </w:r>
      <w:r w:rsid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>одексу України про адміністративні правопорушення (далі - КУпАП)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слова «інших препаратів» замінити словами </w:t>
      </w:r>
      <w:r w:rsid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>«токсичних хімічних речовин» та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збільшити </w:t>
      </w:r>
      <w:r w:rsid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>розмір штрафу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 порушення правил застосування, зберігання, транспортування, знешкодження, ліквідації та захоронення пестицидів, агрохімікатів та токсичних хімічних речовин,</w:t>
      </w:r>
      <w:r w:rsid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посиливши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відповідальн</w:t>
      </w:r>
      <w:r w:rsid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>ість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 такі порушення з трьох до семи неоподатковуваних мінімумів доходів на громадян і на посадових осіб - від семи до десяти неоподатковуваних мінімумів доходів громадян до суттєво більших розмірів штрафів: на громадян від дев’яноста до двохсот сімдесяти неоподатковуваних мінімумів доходів громадян і на посадових осіб - від двохсот сімдесяти до дев’ятисот неоподатковуваних мінімумів доходів громадян.</w:t>
      </w:r>
    </w:p>
    <w:p w:rsidR="006F1321" w:rsidRPr="007F50DB" w:rsidRDefault="00FA7DFB" w:rsidP="006F132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Крім цього,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стаття 83</w:t>
      </w:r>
      <w:r w:rsid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КУпАП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доповнюється новою частиною другою, згідно з якою передбачається встановити адміністративну відповідальність за повторне вчинення такого правопорушення особою, яку протягом року було піддано адміністративному стягненню за одне з порушень, передбачених частиною першою </w:t>
      </w:r>
      <w:r w:rsidR="00111B49">
        <w:rPr>
          <w:rFonts w:ascii="Times New Roman" w:eastAsia="Times New Roman" w:hAnsi="Times New Roman"/>
          <w:bCs/>
          <w:sz w:val="28"/>
          <w:szCs w:val="28"/>
          <w:lang w:eastAsia="uk-UA"/>
        </w:rPr>
        <w:t>цієї статті,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 виді штрафу на громадян від двохсот сімдесяти неоподатковуваних мінімумів доходів громадян до дев’ятисот </w:t>
      </w:r>
      <w:r w:rsidR="004F554A" w:rsidRPr="004F554A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неоподатковуваних мінімумів доходів громадян і на посадових осіб - від дев’ятисот до двох тисяч неоподатковуваних мінімумів доходів громадян.</w:t>
      </w:r>
    </w:p>
    <w:p w:rsidR="006F1321" w:rsidRDefault="006F1321" w:rsidP="006F132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F50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E7E24">
        <w:rPr>
          <w:rFonts w:ascii="Times New Roman" w:eastAsia="Times New Roman" w:hAnsi="Times New Roman"/>
          <w:bCs/>
          <w:sz w:val="28"/>
          <w:szCs w:val="28"/>
          <w:lang w:eastAsia="uk-UA"/>
        </w:rPr>
        <w:t>Головним науково-експертним</w:t>
      </w:r>
      <w:r w:rsidRPr="007F50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управління</w:t>
      </w:r>
      <w:r w:rsidR="00BE7E24">
        <w:rPr>
          <w:rFonts w:ascii="Times New Roman" w:eastAsia="Times New Roman" w:hAnsi="Times New Roman"/>
          <w:bCs/>
          <w:sz w:val="28"/>
          <w:szCs w:val="28"/>
          <w:lang w:eastAsia="uk-UA"/>
        </w:rPr>
        <w:t>м</w:t>
      </w:r>
      <w:r w:rsidRPr="007F50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Апарату Верховної Ради України</w:t>
      </w:r>
      <w:r w:rsidRPr="007F50DB">
        <w:rPr>
          <w:rFonts w:ascii="Times New Roman" w:eastAsia="Times New Roman" w:hAnsi="Times New Roman"/>
          <w:sz w:val="28"/>
        </w:rPr>
        <w:t xml:space="preserve"> </w:t>
      </w:r>
      <w:r w:rsidR="00BE7E24">
        <w:rPr>
          <w:rFonts w:ascii="Times New Roman" w:eastAsia="Times New Roman" w:hAnsi="Times New Roman"/>
          <w:sz w:val="28"/>
        </w:rPr>
        <w:t>висловлені зауваження до поданого законопроекту.</w:t>
      </w:r>
    </w:p>
    <w:p w:rsidR="006F1321" w:rsidRPr="00CD6BB7" w:rsidRDefault="00CD6BB7" w:rsidP="006F1321">
      <w:pPr>
        <w:tabs>
          <w:tab w:val="center" w:pos="2677"/>
        </w:tabs>
        <w:spacing w:after="17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           </w:t>
      </w:r>
      <w:r w:rsidR="00FA7DF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Як вбачається з </w:t>
      </w:r>
      <w:proofErr w:type="spellStart"/>
      <w:r w:rsidR="00FA7DFB">
        <w:rPr>
          <w:rFonts w:ascii="Times New Roman" w:eastAsia="Times New Roman" w:hAnsi="Times New Roman"/>
          <w:bCs/>
          <w:sz w:val="28"/>
          <w:szCs w:val="28"/>
          <w:lang w:eastAsia="uk-UA"/>
        </w:rPr>
        <w:t>обгрунтування</w:t>
      </w:r>
      <w:proofErr w:type="spellEnd"/>
      <w:r w:rsidR="00FA7DFB">
        <w:rPr>
          <w:rFonts w:ascii="Times New Roman" w:eastAsia="Times New Roman" w:hAnsi="Times New Roman"/>
          <w:bCs/>
          <w:sz w:val="28"/>
          <w:szCs w:val="28"/>
          <w:lang w:eastAsia="uk-UA"/>
        </w:rPr>
        <w:t>, наведеного</w:t>
      </w:r>
      <w:r w:rsidR="00FA7DFB"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 Пояснювальній </w:t>
      </w:r>
      <w:r w:rsidR="00FA7DFB">
        <w:rPr>
          <w:rFonts w:ascii="Times New Roman" w:eastAsia="Times New Roman" w:hAnsi="Times New Roman"/>
          <w:bCs/>
          <w:sz w:val="28"/>
          <w:szCs w:val="28"/>
          <w:lang w:eastAsia="uk-UA"/>
        </w:rPr>
        <w:t>записці до проекту</w:t>
      </w:r>
      <w:r w:rsidR="003F4ADF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bookmarkStart w:id="0" w:name="_GoBack"/>
      <w:bookmarkEnd w:id="0"/>
      <w:r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слова «та інших препаратів» </w:t>
      </w:r>
      <w:r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>необхідно виключити не тільки з назви</w:t>
      </w:r>
      <w:r w:rsidR="00FA7DF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чинної</w:t>
      </w:r>
      <w:r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>статті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83 КУпАП</w:t>
      </w:r>
      <w:r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>, як це пропонується пр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оектом, але й з диспозиції цієї статті</w:t>
      </w:r>
      <w:r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C06377"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>що узгоджу</w:t>
      </w:r>
      <w:r w:rsidR="00C06377">
        <w:rPr>
          <w:rFonts w:ascii="Times New Roman" w:eastAsia="Times New Roman" w:hAnsi="Times New Roman"/>
          <w:bCs/>
          <w:sz w:val="28"/>
          <w:szCs w:val="28"/>
          <w:lang w:eastAsia="uk-UA"/>
        </w:rPr>
        <w:t>ватиметься зі змістом проекту</w:t>
      </w:r>
      <w:r w:rsidR="002E6DA9" w:rsidRPr="002E6DA9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2E6DA9" w:rsidRPr="002E6DA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 з </w:t>
      </w:r>
      <w:proofErr w:type="spellStart"/>
      <w:r w:rsidR="002E6DA9" w:rsidRPr="002E6DA9">
        <w:rPr>
          <w:rFonts w:ascii="Times New Roman" w:eastAsia="Times New Roman" w:hAnsi="Times New Roman"/>
          <w:bCs/>
          <w:sz w:val="28"/>
          <w:szCs w:val="28"/>
          <w:lang w:eastAsia="uk-UA"/>
        </w:rPr>
        <w:t>обгрунтуванням</w:t>
      </w:r>
      <w:proofErr w:type="spellEnd"/>
      <w:r w:rsidR="002E6DA9" w:rsidRPr="002E6DA9">
        <w:rPr>
          <w:rFonts w:ascii="Times New Roman" w:eastAsia="Times New Roman" w:hAnsi="Times New Roman"/>
          <w:bCs/>
          <w:sz w:val="28"/>
          <w:szCs w:val="28"/>
          <w:lang w:eastAsia="uk-UA"/>
        </w:rPr>
        <w:t>, наведеним у Пояснювальній записці до проекту</w:t>
      </w:r>
      <w:r w:rsidR="00C06377" w:rsidRPr="00C0637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адже </w:t>
      </w:r>
      <w:r w:rsidR="00C0637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C06377" w:rsidRPr="00C06377">
        <w:rPr>
          <w:rFonts w:ascii="Times New Roman" w:eastAsia="Times New Roman" w:hAnsi="Times New Roman"/>
          <w:bCs/>
          <w:sz w:val="28"/>
          <w:szCs w:val="28"/>
          <w:lang w:eastAsia="uk-UA"/>
        </w:rPr>
        <w:t>переліку таких інших препаратів</w:t>
      </w:r>
      <w:r w:rsidR="00C06377" w:rsidRPr="00CD6BB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C06377" w:rsidRPr="00C06377">
        <w:rPr>
          <w:rFonts w:ascii="Times New Roman" w:eastAsia="Times New Roman" w:hAnsi="Times New Roman"/>
          <w:bCs/>
          <w:sz w:val="28"/>
          <w:szCs w:val="28"/>
          <w:lang w:eastAsia="uk-UA"/>
        </w:rPr>
        <w:t>немає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C06377" w:rsidRPr="00C06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321" w:rsidRPr="007F50DB" w:rsidRDefault="00C527D1" w:rsidP="006F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Заслухавши </w:t>
      </w:r>
      <w:r w:rsidR="006F1321" w:rsidRPr="007F50DB">
        <w:rPr>
          <w:rFonts w:ascii="Times New Roman" w:eastAsia="Times New Roman" w:hAnsi="Times New Roman"/>
          <w:bCs/>
          <w:sz w:val="28"/>
          <w:szCs w:val="28"/>
        </w:rPr>
        <w:t>інформацію підкомітету з питань законодавства про адміністративні правопорушення та охоронної і детективної діяльності, з’ясувавши позицію народних депутатів України – членів Комітету, якими від</w:t>
      </w:r>
      <w:r w:rsidR="006F1321">
        <w:rPr>
          <w:rFonts w:ascii="Times New Roman" w:eastAsia="Times New Roman" w:hAnsi="Times New Roman"/>
          <w:bCs/>
          <w:sz w:val="28"/>
          <w:szCs w:val="28"/>
        </w:rPr>
        <w:t>знач</w:t>
      </w:r>
      <w:r w:rsidR="006F1321" w:rsidRPr="007F50DB">
        <w:rPr>
          <w:rFonts w:ascii="Times New Roman" w:eastAsia="Times New Roman" w:hAnsi="Times New Roman"/>
          <w:bCs/>
          <w:sz w:val="28"/>
          <w:szCs w:val="28"/>
        </w:rPr>
        <w:t xml:space="preserve">ено, </w:t>
      </w:r>
      <w:r w:rsidR="006F1321" w:rsidRPr="007F50DB">
        <w:rPr>
          <w:rFonts w:ascii="Times New Roman" w:eastAsia="Times New Roman" w:hAnsi="Times New Roman"/>
          <w:sz w:val="28"/>
          <w:szCs w:val="28"/>
        </w:rPr>
        <w:t>що</w:t>
      </w:r>
      <w:r w:rsidR="00E317A6" w:rsidRPr="00E3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оновлення </w:t>
      </w:r>
      <w:r w:rsidR="00E3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застарілих, з 1997 року, </w:t>
      </w:r>
      <w:r w:rsidR="00E317A6" w:rsidRPr="00E3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розмірів санкцій за вчинення адміністративних правопорушень у </w:t>
      </w:r>
      <w:r w:rsidR="00E317A6" w:rsidRPr="00E317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сфері охорони природи</w:t>
      </w:r>
      <w:r w:rsidR="00BE7E24">
        <w:rPr>
          <w:rFonts w:ascii="Times New Roman" w:eastAsia="Times New Roman" w:hAnsi="Times New Roman"/>
          <w:sz w:val="28"/>
          <w:szCs w:val="28"/>
        </w:rPr>
        <w:t xml:space="preserve"> </w:t>
      </w:r>
      <w:r w:rsidR="00E317A6">
        <w:rPr>
          <w:rFonts w:ascii="Times New Roman" w:eastAsia="Times New Roman" w:hAnsi="Times New Roman"/>
          <w:sz w:val="28"/>
          <w:szCs w:val="28"/>
        </w:rPr>
        <w:t>є доцільним та актуальним</w:t>
      </w:r>
      <w:r w:rsidR="006F1321" w:rsidRPr="007F50D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6F1321" w:rsidRPr="007F50DB">
        <w:rPr>
          <w:rFonts w:ascii="Times New Roman" w:eastAsia="Times New Roman" w:hAnsi="Times New Roman"/>
          <w:sz w:val="28"/>
          <w:szCs w:val="28"/>
        </w:rPr>
        <w:t>в</w:t>
      </w:r>
      <w:r w:rsidR="006F1321" w:rsidRPr="007F50DB">
        <w:rPr>
          <w:rFonts w:ascii="Times New Roman" w:eastAsia="Times New Roman" w:hAnsi="Times New Roman"/>
          <w:bCs/>
          <w:sz w:val="28"/>
          <w:szCs w:val="28"/>
        </w:rPr>
        <w:t xml:space="preserve">ідповідно до пункту 1 частини першої статті 114 Регламенту Верховної Ради України, Комітет рекомендує Верховній Раді України </w:t>
      </w:r>
      <w:r w:rsidR="006F1321" w:rsidRPr="007F50DB">
        <w:rPr>
          <w:rFonts w:ascii="Times New Roman" w:eastAsia="Times New Roman" w:hAnsi="Times New Roman"/>
          <w:sz w:val="28"/>
          <w:szCs w:val="28"/>
        </w:rPr>
        <w:t>проект Закону України «Про внесення змін</w:t>
      </w:r>
      <w:r w:rsidR="00BE7E24">
        <w:rPr>
          <w:rFonts w:ascii="Times New Roman" w:eastAsia="Times New Roman" w:hAnsi="Times New Roman"/>
          <w:sz w:val="28"/>
          <w:szCs w:val="28"/>
        </w:rPr>
        <w:t xml:space="preserve"> до</w:t>
      </w:r>
      <w:r w:rsidR="006F1321" w:rsidRPr="007F50DB">
        <w:rPr>
          <w:rFonts w:ascii="Times New Roman" w:eastAsia="Times New Roman" w:hAnsi="Times New Roman"/>
          <w:sz w:val="28"/>
          <w:szCs w:val="28"/>
        </w:rPr>
        <w:t xml:space="preserve"> </w:t>
      </w:r>
      <w:r w:rsidR="00BE7E24">
        <w:rPr>
          <w:rFonts w:ascii="Times New Roman" w:eastAsia="Times New Roman" w:hAnsi="Times New Roman"/>
          <w:sz w:val="28"/>
          <w:szCs w:val="28"/>
        </w:rPr>
        <w:t xml:space="preserve"> </w:t>
      </w:r>
      <w:r w:rsidR="00BE7E24">
        <w:rPr>
          <w:rFonts w:ascii="Times New Roman" w:eastAsia="Times New Roman" w:hAnsi="Times New Roman"/>
          <w:sz w:val="28"/>
          <w:szCs w:val="28"/>
        </w:rPr>
        <w:t>статті 83</w:t>
      </w:r>
      <w:r w:rsidR="00BE7E24" w:rsidRPr="007F50DB">
        <w:rPr>
          <w:rFonts w:ascii="Times New Roman" w:eastAsia="Times New Roman" w:hAnsi="Times New Roman"/>
          <w:sz w:val="28"/>
          <w:szCs w:val="28"/>
        </w:rPr>
        <w:t xml:space="preserve"> Кодексу України про адміністративні правопорушення щодо</w:t>
      </w:r>
      <w:r w:rsidR="00BE7E2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 xml:space="preserve">підвищення відповідальності за порушення правил застосування, зберігання, транспортування, 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 xml:space="preserve">знешкодження, 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 xml:space="preserve">ліквідації 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 xml:space="preserve">та 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 xml:space="preserve">захоронення 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 xml:space="preserve">пестицидів 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>і агрохімікатів,</w:t>
      </w:r>
      <w:r w:rsidR="00BE7E24">
        <w:rPr>
          <w:rFonts w:ascii="Times New Roman" w:hAnsi="Times New Roman"/>
          <w:sz w:val="28"/>
          <w:szCs w:val="28"/>
        </w:rPr>
        <w:t xml:space="preserve"> </w:t>
      </w:r>
      <w:r w:rsidR="009510F4">
        <w:rPr>
          <w:rFonts w:ascii="Times New Roman" w:hAnsi="Times New Roman"/>
          <w:sz w:val="28"/>
          <w:szCs w:val="28"/>
        </w:rPr>
        <w:t xml:space="preserve">  </w:t>
      </w:r>
      <w:r w:rsidR="00BE7E24">
        <w:rPr>
          <w:rFonts w:ascii="Times New Roman" w:hAnsi="Times New Roman"/>
          <w:sz w:val="28"/>
          <w:szCs w:val="28"/>
        </w:rPr>
        <w:t>токсичних</w:t>
      </w:r>
      <w:r w:rsidR="00BE7E24" w:rsidRPr="006F1321">
        <w:rPr>
          <w:rFonts w:ascii="Times New Roman" w:hAnsi="Times New Roman"/>
          <w:sz w:val="28"/>
          <w:szCs w:val="28"/>
        </w:rPr>
        <w:t xml:space="preserve"> 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>хімічних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 xml:space="preserve"> речовин</w:t>
      </w:r>
      <w:r w:rsidR="009510F4">
        <w:rPr>
          <w:rFonts w:ascii="Times New Roman" w:hAnsi="Times New Roman"/>
          <w:sz w:val="28"/>
          <w:szCs w:val="28"/>
        </w:rPr>
        <w:t xml:space="preserve"> </w:t>
      </w:r>
      <w:r w:rsidR="00BE7E24" w:rsidRPr="006F1321">
        <w:rPr>
          <w:rFonts w:ascii="Times New Roman" w:hAnsi="Times New Roman"/>
          <w:sz w:val="28"/>
          <w:szCs w:val="28"/>
        </w:rPr>
        <w:t xml:space="preserve"> </w:t>
      </w:r>
      <w:r w:rsidR="009510F4">
        <w:rPr>
          <w:rFonts w:ascii="Times New Roman" w:hAnsi="Times New Roman"/>
          <w:sz w:val="28"/>
          <w:szCs w:val="28"/>
        </w:rPr>
        <w:t xml:space="preserve">та </w:t>
      </w:r>
      <w:r w:rsidR="00BE7E24" w:rsidRPr="006F1321">
        <w:rPr>
          <w:rFonts w:ascii="Times New Roman" w:hAnsi="Times New Roman"/>
          <w:sz w:val="28"/>
          <w:szCs w:val="28"/>
        </w:rPr>
        <w:t xml:space="preserve"> </w:t>
      </w:r>
      <w:r w:rsidR="009510F4">
        <w:rPr>
          <w:rFonts w:ascii="Times New Roman" w:hAnsi="Times New Roman"/>
          <w:sz w:val="28"/>
          <w:szCs w:val="28"/>
        </w:rPr>
        <w:t xml:space="preserve">інших  </w:t>
      </w:r>
      <w:r w:rsidR="00BE7E24" w:rsidRPr="006F1321">
        <w:rPr>
          <w:rFonts w:ascii="Times New Roman" w:hAnsi="Times New Roman"/>
          <w:sz w:val="28"/>
          <w:szCs w:val="28"/>
        </w:rPr>
        <w:t>препаратів</w:t>
      </w:r>
      <w:r w:rsidR="006F1321" w:rsidRPr="007F50DB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 xml:space="preserve">» </w:t>
      </w:r>
      <w:r w:rsidR="009510F4">
        <w:rPr>
          <w:rFonts w:ascii="Times New Roman" w:eastAsia="Times New Roman" w:hAnsi="Times New Roman"/>
          <w:spacing w:val="-2"/>
          <w:sz w:val="28"/>
          <w:szCs w:val="28"/>
          <w:lang w:eastAsia="en-GB"/>
        </w:rPr>
        <w:t xml:space="preserve">  </w:t>
      </w:r>
      <w:r w:rsidR="006F1321" w:rsidRPr="007F50DB">
        <w:rPr>
          <w:rFonts w:ascii="Times New Roman" w:eastAsia="Times New Roman" w:hAnsi="Times New Roman"/>
          <w:sz w:val="28"/>
          <w:szCs w:val="28"/>
        </w:rPr>
        <w:t xml:space="preserve">(реєстр. </w:t>
      </w:r>
      <w:r w:rsidR="009510F4">
        <w:rPr>
          <w:rFonts w:ascii="Times New Roman" w:eastAsia="Times New Roman" w:hAnsi="Times New Roman"/>
          <w:sz w:val="28"/>
          <w:szCs w:val="28"/>
        </w:rPr>
        <w:t xml:space="preserve"> </w:t>
      </w:r>
      <w:r w:rsidR="006F1321" w:rsidRPr="007F50DB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F1321">
        <w:rPr>
          <w:rFonts w:ascii="Times New Roman" w:eastAsia="Times New Roman" w:hAnsi="Times New Roman"/>
          <w:sz w:val="28"/>
          <w:szCs w:val="28"/>
        </w:rPr>
        <w:t>3</w:t>
      </w:r>
      <w:r w:rsidR="00BE7E24">
        <w:rPr>
          <w:rFonts w:ascii="Times New Roman" w:eastAsia="Times New Roman" w:hAnsi="Times New Roman"/>
          <w:sz w:val="28"/>
          <w:szCs w:val="28"/>
        </w:rPr>
        <w:t>926</w:t>
      </w:r>
      <w:r w:rsidR="00421541">
        <w:rPr>
          <w:rFonts w:ascii="Times New Roman" w:eastAsia="Times New Roman" w:hAnsi="Times New Roman"/>
          <w:sz w:val="28"/>
          <w:szCs w:val="28"/>
        </w:rPr>
        <w:t>), за результат</w:t>
      </w:r>
      <w:r w:rsidR="006F1321" w:rsidRPr="007F50DB">
        <w:rPr>
          <w:rFonts w:ascii="Times New Roman" w:eastAsia="Times New Roman" w:hAnsi="Times New Roman"/>
          <w:sz w:val="28"/>
          <w:szCs w:val="28"/>
        </w:rPr>
        <w:t>ами розгляду в першому читанні прийняти за основу</w:t>
      </w:r>
      <w:r w:rsidR="006F1321" w:rsidRPr="007F50DB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F1321" w:rsidRPr="007F50DB" w:rsidRDefault="006F1321" w:rsidP="006F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50DB">
        <w:rPr>
          <w:rFonts w:ascii="Times New Roman" w:eastAsia="Times New Roman" w:hAnsi="Times New Roman"/>
          <w:sz w:val="28"/>
          <w:szCs w:val="28"/>
        </w:rPr>
        <w:t>Співдоповідачем з цього питання на пленарному засіданні В</w:t>
      </w:r>
      <w:r>
        <w:rPr>
          <w:rFonts w:ascii="Times New Roman" w:eastAsia="Times New Roman" w:hAnsi="Times New Roman"/>
          <w:sz w:val="28"/>
          <w:szCs w:val="28"/>
        </w:rPr>
        <w:t>ерховної Ради України визначено Голову</w:t>
      </w:r>
      <w:r w:rsidRPr="007F50D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підк</w:t>
      </w:r>
      <w:r w:rsidRPr="007F50DB">
        <w:rPr>
          <w:rFonts w:ascii="Times New Roman" w:eastAsia="Times New Roman" w:hAnsi="Times New Roman"/>
          <w:sz w:val="28"/>
          <w:szCs w:val="28"/>
        </w:rPr>
        <w:t>омітету</w:t>
      </w:r>
      <w:r>
        <w:rPr>
          <w:rFonts w:ascii="Times New Roman" w:eastAsia="Times New Roman" w:hAnsi="Times New Roman"/>
          <w:sz w:val="28"/>
          <w:szCs w:val="28"/>
        </w:rPr>
        <w:t xml:space="preserve"> з</w:t>
      </w:r>
      <w:r w:rsidRPr="007F50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930">
        <w:rPr>
          <w:rFonts w:ascii="Times New Roman" w:eastAsia="Times New Roman" w:hAnsi="Times New Roman"/>
          <w:sz w:val="28"/>
          <w:szCs w:val="28"/>
        </w:rPr>
        <w:t>питань законодавства про адміністративні правопорушення та охоронної і детективної діяльності</w:t>
      </w:r>
      <w:r>
        <w:rPr>
          <w:rFonts w:ascii="Times New Roman" w:eastAsia="Times New Roman" w:hAnsi="Times New Roman"/>
          <w:sz w:val="28"/>
          <w:szCs w:val="28"/>
        </w:rPr>
        <w:t xml:space="preserve"> Медяника В.А.</w:t>
      </w:r>
    </w:p>
    <w:p w:rsidR="006F1321" w:rsidRPr="007F50DB" w:rsidRDefault="006F1321" w:rsidP="006F1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роект постанови Верховної Ради України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додається</w:t>
      </w:r>
      <w:r w:rsidRPr="007F50D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 </w:t>
      </w:r>
    </w:p>
    <w:p w:rsidR="006F1321" w:rsidRPr="007F50DB" w:rsidRDefault="006F1321" w:rsidP="006F1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6F1321" w:rsidRPr="007F50DB" w:rsidRDefault="006F1321" w:rsidP="006F1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6F1321" w:rsidRPr="007F50DB" w:rsidRDefault="006F1321" w:rsidP="006F1321">
      <w:pPr>
        <w:widowControl w:val="0"/>
        <w:autoSpaceDE w:val="0"/>
        <w:autoSpaceDN w:val="0"/>
        <w:adjustRightInd w:val="0"/>
        <w:spacing w:before="120" w:after="120" w:line="240" w:lineRule="auto"/>
        <w:ind w:right="-4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50DB">
        <w:rPr>
          <w:rFonts w:ascii="Times New Roman" w:eastAsia="Times New Roman" w:hAnsi="Times New Roman"/>
          <w:b/>
          <w:sz w:val="28"/>
          <w:szCs w:val="28"/>
          <w:lang w:eastAsia="en-GB"/>
        </w:rPr>
        <w:t>Голова Комітету</w:t>
      </w:r>
      <w:r w:rsidRPr="007F50DB">
        <w:rPr>
          <w:rFonts w:ascii="Times New Roman" w:eastAsia="Times New Roman" w:hAnsi="Times New Roman"/>
          <w:b/>
          <w:sz w:val="28"/>
          <w:szCs w:val="28"/>
          <w:lang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eastAsia="en-GB"/>
        </w:rPr>
        <w:tab/>
      </w:r>
      <w:r w:rsidRPr="007F50DB">
        <w:rPr>
          <w:rFonts w:ascii="Times New Roman" w:eastAsia="Times New Roman" w:hAnsi="Times New Roman"/>
          <w:b/>
          <w:sz w:val="28"/>
          <w:szCs w:val="28"/>
          <w:lang w:eastAsia="en-GB"/>
        </w:rPr>
        <w:tab/>
        <w:t xml:space="preserve"> Д. Монастирський</w:t>
      </w:r>
    </w:p>
    <w:p w:rsidR="006F1321" w:rsidRPr="007F50DB" w:rsidRDefault="006F1321" w:rsidP="006F1321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6F1321" w:rsidRPr="007F50DB" w:rsidRDefault="006F1321" w:rsidP="006F1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6F1321" w:rsidRPr="007F50DB" w:rsidRDefault="006F1321" w:rsidP="006F1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6F1321" w:rsidRPr="007F50DB" w:rsidRDefault="006F1321" w:rsidP="006F1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6F1321" w:rsidRPr="007F50DB" w:rsidRDefault="006F1321" w:rsidP="006F1321">
      <w:pPr>
        <w:rPr>
          <w:rFonts w:ascii="Times New Roman" w:eastAsia="Times New Roman" w:hAnsi="Times New Roman"/>
          <w:sz w:val="28"/>
        </w:rPr>
      </w:pPr>
    </w:p>
    <w:p w:rsidR="006F1321" w:rsidRPr="007F50DB" w:rsidRDefault="006F1321" w:rsidP="006F1321">
      <w:pPr>
        <w:rPr>
          <w:rFonts w:ascii="Times New Roman" w:eastAsia="Times New Roman" w:hAnsi="Times New Roman"/>
          <w:sz w:val="28"/>
        </w:rPr>
      </w:pPr>
    </w:p>
    <w:p w:rsidR="006F1321" w:rsidRPr="007F50DB" w:rsidRDefault="006F1321" w:rsidP="006F1321">
      <w:pPr>
        <w:rPr>
          <w:rFonts w:ascii="Times New Roman" w:eastAsia="Times New Roman" w:hAnsi="Times New Roman"/>
          <w:sz w:val="28"/>
        </w:rPr>
      </w:pPr>
    </w:p>
    <w:p w:rsidR="006F1321" w:rsidRPr="00407DBF" w:rsidRDefault="006F1321" w:rsidP="006F132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6F1321" w:rsidRPr="00B47F60" w:rsidRDefault="006F1321" w:rsidP="006F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C67" w:rsidRPr="00C05D18" w:rsidRDefault="003F4ADF" w:rsidP="00C05D18">
      <w:pPr>
        <w:widowControl w:val="0"/>
        <w:autoSpaceDE w:val="0"/>
        <w:autoSpaceDN w:val="0"/>
        <w:adjustRightInd w:val="0"/>
        <w:spacing w:before="120" w:after="12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266C67" w:rsidRPr="00C05D18" w:rsidSect="002E6DA9">
      <w:pgSz w:w="11906" w:h="16838"/>
      <w:pgMar w:top="568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8"/>
    <w:rsid w:val="000A7717"/>
    <w:rsid w:val="00111B49"/>
    <w:rsid w:val="001207FE"/>
    <w:rsid w:val="002E6DA9"/>
    <w:rsid w:val="003F4ADF"/>
    <w:rsid w:val="004118A0"/>
    <w:rsid w:val="00421541"/>
    <w:rsid w:val="004F554A"/>
    <w:rsid w:val="006F1321"/>
    <w:rsid w:val="008F4E88"/>
    <w:rsid w:val="009510F4"/>
    <w:rsid w:val="00AA627A"/>
    <w:rsid w:val="00BE7E24"/>
    <w:rsid w:val="00C05D18"/>
    <w:rsid w:val="00C06377"/>
    <w:rsid w:val="00C527D1"/>
    <w:rsid w:val="00CD6BB7"/>
    <w:rsid w:val="00DA3D55"/>
    <w:rsid w:val="00E317A6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92A3"/>
  <w15:chartTrackingRefBased/>
  <w15:docId w15:val="{05A8FD58-E01F-4D33-B187-767C5D99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Булаш Михайло Петрович</cp:lastModifiedBy>
  <cp:revision>13</cp:revision>
  <cp:lastPrinted>2021-02-04T10:37:00Z</cp:lastPrinted>
  <dcterms:created xsi:type="dcterms:W3CDTF">2021-02-04T09:07:00Z</dcterms:created>
  <dcterms:modified xsi:type="dcterms:W3CDTF">2021-02-04T10:38:00Z</dcterms:modified>
</cp:coreProperties>
</file>