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2F" w:rsidRPr="001D1B4E" w:rsidRDefault="007D3B2F" w:rsidP="00A72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D1B4E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763A1D" w:rsidRDefault="00733161" w:rsidP="00A72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B4E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  <w:r w:rsidR="002F066F" w:rsidRPr="001D1B4E">
        <w:rPr>
          <w:rFonts w:ascii="Times New Roman" w:hAnsi="Times New Roman"/>
          <w:b/>
          <w:sz w:val="28"/>
          <w:szCs w:val="28"/>
        </w:rPr>
        <w:t>«</w:t>
      </w:r>
      <w:r w:rsidR="00395AC5" w:rsidRPr="001D1B4E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395AC5" w:rsidRPr="001D1B4E">
        <w:rPr>
          <w:rFonts w:ascii="Times New Roman" w:hAnsi="Times New Roman"/>
          <w:b/>
          <w:sz w:val="28"/>
          <w:szCs w:val="28"/>
          <w:lang w:val="ru-RU"/>
        </w:rPr>
        <w:t>Бюджетн</w:t>
      </w:r>
      <w:r w:rsidR="007D3B2F" w:rsidRPr="001D1B4E">
        <w:rPr>
          <w:rFonts w:ascii="Times New Roman" w:hAnsi="Times New Roman"/>
          <w:b/>
          <w:sz w:val="28"/>
          <w:szCs w:val="28"/>
        </w:rPr>
        <w:t xml:space="preserve">ого кодексу України </w:t>
      </w:r>
    </w:p>
    <w:p w:rsidR="007D3B2F" w:rsidRPr="00250D96" w:rsidRDefault="00BE3037" w:rsidP="00250D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1D1B4E">
        <w:rPr>
          <w:rFonts w:ascii="Times New Roman" w:hAnsi="Times New Roman"/>
          <w:b/>
          <w:sz w:val="28"/>
          <w:szCs w:val="28"/>
        </w:rPr>
        <w:t>щодо</w:t>
      </w:r>
      <w:r w:rsidR="00763A1D">
        <w:rPr>
          <w:rFonts w:ascii="Times New Roman" w:hAnsi="Times New Roman"/>
          <w:b/>
          <w:sz w:val="28"/>
          <w:szCs w:val="28"/>
        </w:rPr>
        <w:t xml:space="preserve"> створення Державного фонду </w:t>
      </w:r>
      <w:r w:rsidR="00763A1D" w:rsidRPr="00763A1D">
        <w:rPr>
          <w:rFonts w:ascii="Times New Roman" w:hAnsi="Times New Roman"/>
          <w:b/>
          <w:sz w:val="28"/>
          <w:szCs w:val="28"/>
        </w:rPr>
        <w:t xml:space="preserve">підтримки </w:t>
      </w:r>
      <w:r w:rsidR="00763A1D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>медицини,</w:t>
      </w:r>
      <w:r w:rsidR="00A7671B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спорту, </w:t>
      </w:r>
      <w:r w:rsidR="00763A1D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A7671B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освіти, культури</w:t>
      </w:r>
      <w:r w:rsidR="00250D96">
        <w:rPr>
          <w:rFonts w:ascii="Times New Roman" w:hAnsi="Times New Roman"/>
          <w:b/>
          <w:color w:val="000000"/>
          <w:sz w:val="28"/>
          <w:szCs w:val="28"/>
          <w:lang w:eastAsia="uk-UA"/>
        </w:rPr>
        <w:t>,</w:t>
      </w:r>
      <w:r w:rsidR="00A7671B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науки</w:t>
      </w:r>
      <w:r w:rsidR="00250D9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та туризму</w:t>
      </w:r>
      <w:r w:rsidR="002F066F" w:rsidRPr="00C122CF">
        <w:rPr>
          <w:rFonts w:ascii="Times New Roman" w:hAnsi="Times New Roman"/>
          <w:b/>
          <w:color w:val="000000"/>
          <w:sz w:val="28"/>
          <w:szCs w:val="28"/>
          <w:lang w:eastAsia="uk-UA"/>
        </w:rPr>
        <w:t>»</w:t>
      </w:r>
    </w:p>
    <w:p w:rsidR="00974A63" w:rsidRPr="0087793E" w:rsidRDefault="00974A63" w:rsidP="00A72B0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8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9"/>
        <w:gridCol w:w="7"/>
        <w:gridCol w:w="7402"/>
      </w:tblGrid>
      <w:tr w:rsidR="007D3B2F" w:rsidRPr="001D1B4E" w:rsidTr="007B53BB">
        <w:tc>
          <w:tcPr>
            <w:tcW w:w="7409" w:type="dxa"/>
          </w:tcPr>
          <w:p w:rsidR="007D3B2F" w:rsidRPr="001D1B4E" w:rsidRDefault="007D3B2F" w:rsidP="00A72B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Чинна редакція</w:t>
            </w:r>
          </w:p>
        </w:tc>
        <w:tc>
          <w:tcPr>
            <w:tcW w:w="7409" w:type="dxa"/>
            <w:gridSpan w:val="2"/>
          </w:tcPr>
          <w:p w:rsidR="007D3B2F" w:rsidRPr="001D1B4E" w:rsidRDefault="007D3B2F" w:rsidP="00A72B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Запропонована редакція</w:t>
            </w:r>
          </w:p>
        </w:tc>
      </w:tr>
      <w:tr w:rsidR="007D3B2F" w:rsidRPr="001D1B4E" w:rsidTr="00250D96">
        <w:trPr>
          <w:trHeight w:val="355"/>
        </w:trPr>
        <w:tc>
          <w:tcPr>
            <w:tcW w:w="14818" w:type="dxa"/>
            <w:gridSpan w:val="3"/>
          </w:tcPr>
          <w:p w:rsidR="007D3B2F" w:rsidRPr="001D1B4E" w:rsidRDefault="00395AC5" w:rsidP="00A7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Бюджетний</w:t>
            </w:r>
            <w:r w:rsidR="007D3B2F" w:rsidRPr="001D1B4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кодекс України</w:t>
            </w:r>
          </w:p>
        </w:tc>
      </w:tr>
      <w:tr w:rsidR="001C1E48" w:rsidRPr="001D1B4E" w:rsidTr="007B53BB">
        <w:trPr>
          <w:trHeight w:val="129"/>
        </w:trPr>
        <w:tc>
          <w:tcPr>
            <w:tcW w:w="7409" w:type="dxa"/>
          </w:tcPr>
          <w:p w:rsidR="001C1E48" w:rsidRPr="00EF5381" w:rsidRDefault="00A72B02" w:rsidP="00A72B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F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Стаття</w:t>
            </w:r>
            <w:r w:rsidR="00075527" w:rsidRPr="00EF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24</w:t>
            </w:r>
            <w:r w:rsidR="00075527" w:rsidRPr="00EF5381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  <w:t>5</w:t>
            </w:r>
            <w:r w:rsidR="00075527" w:rsidRPr="00EF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Відсутня. </w:t>
            </w:r>
          </w:p>
        </w:tc>
        <w:tc>
          <w:tcPr>
            <w:tcW w:w="7409" w:type="dxa"/>
            <w:gridSpan w:val="2"/>
          </w:tcPr>
          <w:p w:rsidR="00A7671B" w:rsidRPr="00C122CF" w:rsidRDefault="00A72B02" w:rsidP="00250D96">
            <w:pPr>
              <w:spacing w:after="12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72B02">
              <w:rPr>
                <w:rFonts w:ascii="Times New Roman" w:hAnsi="Times New Roman"/>
                <w:b/>
                <w:sz w:val="28"/>
                <w:szCs w:val="28"/>
              </w:rPr>
              <w:t>Стаття 24</w:t>
            </w:r>
            <w:r w:rsidR="00AE04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="00763A1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72B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3A1D">
              <w:rPr>
                <w:rFonts w:ascii="Times New Roman" w:hAnsi="Times New Roman"/>
                <w:b/>
                <w:sz w:val="28"/>
                <w:szCs w:val="28"/>
              </w:rPr>
              <w:t xml:space="preserve">Державний </w:t>
            </w:r>
            <w:r w:rsid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фонд</w:t>
            </w:r>
            <w:r w:rsidR="00763A1D" w:rsidRP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підтримки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медицини, спорту, освіти, культури</w:t>
            </w:r>
            <w:r w:rsidR="00781E3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 туризму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та науки.</w:t>
            </w:r>
          </w:p>
          <w:p w:rsidR="00A72B02" w:rsidRPr="00C122CF" w:rsidRDefault="00A72B02" w:rsidP="00250D96">
            <w:pPr>
              <w:spacing w:after="12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1" w:name="n3058"/>
            <w:bookmarkEnd w:id="1"/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1. </w:t>
            </w:r>
            <w:r w:rsid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Державний фонд</w:t>
            </w:r>
            <w:r w:rsidR="00A767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підтримки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медицини, спорту, освіти, культури</w:t>
            </w:r>
            <w:r w:rsidR="00781E3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науки</w:t>
            </w:r>
            <w:r w:rsidR="00250D9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та туризму</w:t>
            </w:r>
            <w:r w:rsidR="00250D96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створюється у складі спеціального фонду Державного бюджету України.</w:t>
            </w:r>
          </w:p>
          <w:p w:rsidR="00A72B02" w:rsidRPr="00C122CF" w:rsidRDefault="00A72B02" w:rsidP="00250D96">
            <w:pPr>
              <w:spacing w:after="12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2" w:name="n3059"/>
            <w:bookmarkEnd w:id="2"/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2. Джерелами </w:t>
            </w:r>
            <w:r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формування </w:t>
            </w:r>
            <w:r w:rsidR="00A767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</w:t>
            </w:r>
            <w:r w:rsidR="00763A1D"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ержавного фонду підтримки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медицини, сп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орту, освіти, культури</w:t>
            </w:r>
            <w:r w:rsidR="00781E3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науки</w:t>
            </w:r>
            <w:r w:rsidR="00250D9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та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50D9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туризму</w:t>
            </w:r>
            <w:r w:rsidR="00250D96"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є:</w:t>
            </w:r>
          </w:p>
          <w:p w:rsidR="00A72B02" w:rsidRPr="00A72B02" w:rsidRDefault="00A72B02" w:rsidP="00250D96">
            <w:pPr>
              <w:shd w:val="clear" w:color="auto" w:fill="FFFFFF"/>
              <w:spacing w:after="15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3" w:name="n3060"/>
            <w:bookmarkEnd w:id="3"/>
            <w:r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1) доходи державного бюджету, визначені пунктом 13</w:t>
            </w:r>
            <w:r w:rsidR="007B53BB" w:rsidRPr="00C122CF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  <w:t>9</w:t>
            </w:r>
            <w:r w:rsidRPr="007B53B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 частини третьої статті 29 цього Кодексу;</w:t>
            </w:r>
          </w:p>
          <w:p w:rsidR="00A72B02" w:rsidRPr="00A72B02" w:rsidRDefault="00A72B02" w:rsidP="00250D96">
            <w:pPr>
              <w:shd w:val="clear" w:color="auto" w:fill="FFFFFF"/>
              <w:spacing w:after="15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4" w:name="n3061"/>
            <w:bookmarkEnd w:id="4"/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2) інші надходження, визначені законом про Державний бюджет України.</w:t>
            </w:r>
          </w:p>
          <w:p w:rsidR="00763A1D" w:rsidRPr="00C122CF" w:rsidRDefault="00A72B02" w:rsidP="00250D96">
            <w:pPr>
              <w:spacing w:after="12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bookmarkStart w:id="5" w:name="n3062"/>
            <w:bookmarkEnd w:id="5"/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3. Кошти </w:t>
            </w:r>
            <w:r w:rsidR="00A767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</w:t>
            </w:r>
            <w:r w:rsid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ержавного фонду</w:t>
            </w:r>
            <w:r w:rsidR="00763A1D" w:rsidRP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підтримки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медицини, спорту, освіти, культури</w:t>
            </w:r>
            <w:r w:rsidR="00781E3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A7671B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науки</w:t>
            </w:r>
            <w:r w:rsidR="00763A1D"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50D9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та туризму</w:t>
            </w:r>
            <w:r w:rsidR="00250D96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72B0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спрямовуються на:</w:t>
            </w:r>
          </w:p>
          <w:p w:rsidR="00B10613" w:rsidRDefault="00763A1D" w:rsidP="00B10613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1) </w:t>
            </w:r>
            <w:r w:rsidRP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профілактику та надання медичної допомоги хворим на лудоманію; розвиток системи надання медичної допомоги, у тому числі і екстреної; створення лікарень інтенсивного лікування, лікарень планового лікування, центрів реабілітації, хоспісів, спеціалізованих центрів з визначенням профілів надання медичної допомоги (медичних послуг) для к</w:t>
            </w:r>
            <w:r w:rsid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ожного закладу </w:t>
            </w:r>
            <w:r w:rsid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охорони здоров’я</w:t>
            </w:r>
            <w:r w:rsidR="00B10613" w:rsidRPr="00B1061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B1061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за рахунок отриманих доходів </w:t>
            </w:r>
            <w:r w:rsidR="00B10613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B1061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</w:t>
            </w:r>
            <w:r w:rsidR="00B10613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на провадження діяльності з організації та </w:t>
            </w:r>
            <w:r w:rsidR="00B1061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проведення азартних ігор в залах гральних автоматів та </w:t>
            </w:r>
            <w:r w:rsidR="00B10613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на провадження діяльності з організації та </w:t>
            </w:r>
            <w:r w:rsidR="00B1061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проведення азартних ігор казино </w:t>
            </w:r>
            <w:r w:rsidR="00B10613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 мережі Інтернет</w:t>
            </w:r>
            <w:r w:rsidR="00B10613" w:rsidRPr="001D1B4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;</w:t>
            </w:r>
          </w:p>
          <w:p w:rsidR="004F658F" w:rsidRDefault="004D3EB6" w:rsidP="004F658F">
            <w:pPr>
              <w:shd w:val="clear" w:color="auto" w:fill="FFFFFF"/>
              <w:spacing w:after="150" w:line="240" w:lineRule="auto"/>
              <w:ind w:firstLine="312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2)  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розвиток </w:t>
            </w:r>
            <w:r w:rsidR="0017097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внутрішнього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туризму шляхом надання грантів </w:t>
            </w:r>
            <w:r w:rsidR="0055010C" w:rsidRPr="00AE2D7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а </w:t>
            </w:r>
            <w:r w:rsidR="001C3C0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здешевлення кредитів шляхом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компенсації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відсоткової ставки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17097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за 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кр</w:t>
            </w:r>
            <w:r w:rsidR="0017097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едитами</w:t>
            </w:r>
            <w:r w:rsidR="0055010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комерційних банків для с</w:t>
            </w:r>
            <w:r w:rsidR="0055010C">
              <w:rPr>
                <w:rFonts w:ascii="Times New Roman" w:hAnsi="Times New Roman"/>
                <w:b/>
                <w:sz w:val="28"/>
                <w:szCs w:val="28"/>
              </w:rPr>
              <w:t xml:space="preserve">уб’єктів </w:t>
            </w:r>
            <w:r w:rsidR="00170978">
              <w:rPr>
                <w:rFonts w:ascii="Times New Roman" w:hAnsi="Times New Roman"/>
                <w:b/>
                <w:sz w:val="28"/>
                <w:szCs w:val="28"/>
              </w:rPr>
              <w:t>туристичної діяльності</w:t>
            </w:r>
            <w:r w:rsidR="00EC253E">
              <w:rPr>
                <w:rFonts w:ascii="Times New Roman" w:hAnsi="Times New Roman"/>
                <w:b/>
                <w:sz w:val="28"/>
                <w:szCs w:val="28"/>
              </w:rPr>
              <w:t>, п</w:t>
            </w:r>
            <w:r w:rsidR="0055010C">
              <w:rPr>
                <w:rFonts w:ascii="Times New Roman" w:hAnsi="Times New Roman"/>
                <w:b/>
                <w:sz w:val="28"/>
                <w:szCs w:val="28"/>
              </w:rPr>
              <w:t xml:space="preserve">орядок надання </w:t>
            </w:r>
            <w:r w:rsidR="00EC253E">
              <w:rPr>
                <w:rFonts w:ascii="Times New Roman" w:hAnsi="Times New Roman"/>
                <w:b/>
                <w:sz w:val="28"/>
                <w:szCs w:val="28"/>
              </w:rPr>
              <w:t xml:space="preserve">яких </w:t>
            </w:r>
            <w:r w:rsidR="00550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978">
              <w:rPr>
                <w:rFonts w:ascii="Times New Roman" w:hAnsi="Times New Roman"/>
                <w:b/>
                <w:sz w:val="28"/>
                <w:szCs w:val="28"/>
              </w:rPr>
              <w:t>формує центральний орган виконавчої влади, що забезпечує формування державної політи</w:t>
            </w:r>
            <w:r w:rsidR="00EC253E">
              <w:rPr>
                <w:rFonts w:ascii="Times New Roman" w:hAnsi="Times New Roman"/>
                <w:b/>
                <w:sz w:val="28"/>
                <w:szCs w:val="28"/>
              </w:rPr>
              <w:t>ки у сфері туризму та курортів та затверджує</w:t>
            </w:r>
            <w:r w:rsidR="00170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253E">
              <w:rPr>
                <w:rFonts w:ascii="Times New Roman" w:hAnsi="Times New Roman"/>
                <w:b/>
                <w:sz w:val="28"/>
                <w:szCs w:val="28"/>
              </w:rPr>
              <w:t xml:space="preserve">Кабінет </w:t>
            </w:r>
            <w:r w:rsidR="001C3C06">
              <w:rPr>
                <w:rFonts w:ascii="Times New Roman" w:hAnsi="Times New Roman"/>
                <w:b/>
                <w:sz w:val="28"/>
                <w:szCs w:val="28"/>
              </w:rPr>
              <w:t xml:space="preserve">Міністрів України, </w:t>
            </w:r>
            <w:r w:rsidR="0055010C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86467">
              <w:rPr>
                <w:rFonts w:ascii="Times New Roman" w:hAnsi="Times New Roman"/>
                <w:b/>
                <w:sz w:val="28"/>
                <w:szCs w:val="28"/>
              </w:rPr>
              <w:t>рахун</w:t>
            </w:r>
            <w:r w:rsidR="0088646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ок</w:t>
            </w:r>
            <w:r w:rsid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отриманих доходів </w:t>
            </w:r>
            <w:r w:rsidR="007150AB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</w:t>
            </w:r>
            <w:r w:rsidR="007150AB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на провадження діяльності з організації та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проведення азартних ігор в залах гральних автоматів та </w:t>
            </w:r>
            <w:r w:rsidR="00D54338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на провадження діяльності з організації та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проведення азартних ігор казино </w:t>
            </w:r>
            <w:r w:rsidR="007150AB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 мережі Інтернет</w:t>
            </w:r>
            <w:r w:rsidR="004F658F" w:rsidRPr="004F65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4F658F" w:rsidRPr="00D576A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 також 50% отриманих доходів від податку на прибуток підприємств в частині оподаткування доходу від діяльності з організації та проведення азартних ігор;</w:t>
            </w:r>
          </w:p>
          <w:p w:rsidR="006735EB" w:rsidRDefault="0055010C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  <w:r w:rsid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) </w:t>
            </w:r>
            <w:r w:rsidR="00763A1D" w:rsidRP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підтримку масового, дитячого, дитячо-юнацького, резервного спорту, спорту вищих досягнень, спорту інвалідів та ветеранів; фінансування заходів, спрямованих на популяризацію здорового способу життя, розвиток олімпійських, неолімпійських видів </w:t>
            </w:r>
            <w:r w:rsidR="00763A1D" w:rsidRP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спорту та спорту інвалідів; розбудову спортивної інфраструктури, у тому числі будівництва та модернізації спортивних споруд </w:t>
            </w:r>
            <w:r w:rsid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за рахунок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отриманих доходів </w:t>
            </w:r>
            <w:r w:rsidR="00D54338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 </w:t>
            </w:r>
            <w:r w:rsidR="007150AB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провадження діяльності з організації та проведення букмекерської діяльності</w:t>
            </w:r>
            <w:r w:rsid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;</w:t>
            </w:r>
          </w:p>
          <w:p w:rsidR="00D54338" w:rsidRDefault="0055010C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</w:t>
            </w:r>
            <w:r w:rsidR="00763A1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)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освіта 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підтримка фінансування освітньої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діяльності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проведення будівництва та реконструкції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освітніх закладів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експериментальних розробок університетів, академій, інститутів, фінансування окремих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освітніх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програм та проектів, модернізац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ія професійно-технічної освіти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за рахунок 50% отриманих доходів </w:t>
            </w:r>
            <w:r w:rsidR="00D54338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 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провадження діяльності з надання послуг у сфері азартних ігор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50% отриманих доходів </w:t>
            </w:r>
            <w:r w:rsidR="00D54338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 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провадження діяльності з</w:t>
            </w:r>
            <w:r w:rsidR="00D543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D54338" w:rsidRPr="00440F5E">
              <w:rPr>
                <w:rFonts w:ascii="Times New Roman" w:hAnsi="Times New Roman"/>
                <w:b/>
                <w:sz w:val="28"/>
                <w:szCs w:val="28"/>
              </w:rPr>
              <w:t>провадження діяльності з організації та проведення азартних ігор в казино</w:t>
            </w:r>
            <w:r w:rsidR="00D54338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;</w:t>
            </w:r>
          </w:p>
          <w:p w:rsidR="007474F3" w:rsidRPr="00FC67AF" w:rsidRDefault="007474F3" w:rsidP="00A7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  <w:lang w:eastAsia="uk-UA"/>
              </w:rPr>
            </w:pPr>
          </w:p>
          <w:p w:rsidR="00A72B02" w:rsidRDefault="0055010C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</w:t>
            </w:r>
            <w:r w:rsidR="00D54338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) </w:t>
            </w:r>
            <w:r w:rsidR="00763A1D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фінансування програм з підвищення культурного та духовного рівня населення України; будівництво нових та модернізація застарілих закладів культури (бібліотек, театрів, музеїв, центрів творчості</w:t>
            </w:r>
            <w:r w:rsidR="00781E33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763A1D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тощо)</w:t>
            </w:r>
            <w:bookmarkStart w:id="6" w:name="n3063"/>
            <w:bookmarkEnd w:id="6"/>
            <w:r w:rsidR="00910D15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D54338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за рахунок отриманих доходів від платежів за ліцензії </w:t>
            </w:r>
            <w:r w:rsidR="006735EB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випуск та проведення лотерей</w:t>
            </w:r>
            <w:r w:rsidR="00D54338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ліцензій на </w:t>
            </w:r>
            <w:r w:rsidR="00D54338" w:rsidRPr="007474F3">
              <w:rPr>
                <w:rFonts w:ascii="Times New Roman" w:hAnsi="Times New Roman"/>
                <w:b/>
                <w:sz w:val="28"/>
                <w:szCs w:val="28"/>
              </w:rPr>
              <w:t>провадження діяльності з організації та проведення гри в покер в мережі Інтернет</w:t>
            </w:r>
            <w:r w:rsidR="006735EB" w:rsidRPr="007474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;</w:t>
            </w:r>
          </w:p>
          <w:p w:rsidR="00250D96" w:rsidRPr="00FC67AF" w:rsidRDefault="00250D96" w:rsidP="00C60747">
            <w:pPr>
              <w:spacing w:after="120" w:line="240" w:lineRule="auto"/>
              <w:ind w:firstLine="720"/>
              <w:jc w:val="both"/>
              <w:rPr>
                <w:rFonts w:ascii="Times New Roman" w:hAnsi="Times New Roman"/>
                <w:b/>
                <w:sz w:val="12"/>
                <w:szCs w:val="12"/>
                <w:lang w:eastAsia="uk-UA"/>
              </w:rPr>
            </w:pPr>
          </w:p>
          <w:p w:rsidR="00763A1D" w:rsidRPr="00763A1D" w:rsidRDefault="0055010C" w:rsidP="00250D96">
            <w:pPr>
              <w:spacing w:after="120" w:line="240" w:lineRule="auto"/>
              <w:ind w:firstLine="449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  <w:r w:rsidR="000E30FE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) підтримка фінансування наукової та науково-технічної діяльності, конкурсне фінансування проектів через Національний фонд досліджень України, гранти, базове фінансування основної діяльнос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ті наукових установ, організації</w:t>
            </w:r>
            <w:r w:rsidR="000E30FE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наукових досліджень, проведення будівництва та реконструкції наукових та науково-технічних установ, окремих наукових і науково-технічних програм та проектів, проведення фундаментальних наукових досліджень, розвиток інфраструктури наукової та науково-технічної діяльності, збереження і розвиток наукових об’єктів, що с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тановлять національне надбання </w:t>
            </w:r>
            <w:r w:rsidR="000E30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 рахунок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50% отриманих доходів </w:t>
            </w:r>
            <w:r w:rsidR="00C60747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платежів за ліцензії </w:t>
            </w:r>
            <w:r w:rsidR="00C60747" w:rsidRPr="00C122C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провадження діяльності з надання послуг у сфері азартних ігор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r w:rsidR="000E30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50% отриманих доходів </w:t>
            </w:r>
            <w:r w:rsidR="00C60747" w:rsidRPr="007150A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</w:t>
            </w:r>
            <w:bookmarkStart w:id="7" w:name="n3068"/>
            <w:bookmarkEnd w:id="7"/>
            <w:r w:rsidR="00C6074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д </w:t>
            </w:r>
            <w:r w:rsidR="00C60747">
              <w:rPr>
                <w:rFonts w:ascii="Times New Roman" w:hAnsi="Times New Roman"/>
                <w:b/>
                <w:sz w:val="28"/>
                <w:szCs w:val="28"/>
              </w:rPr>
              <w:t>платежів за ліцензії на гральні столи та гральні автомати.</w:t>
            </w:r>
          </w:p>
        </w:tc>
      </w:tr>
      <w:tr w:rsidR="007B53BB" w:rsidRPr="001D1B4E" w:rsidTr="007B53BB">
        <w:trPr>
          <w:trHeight w:val="129"/>
        </w:trPr>
        <w:tc>
          <w:tcPr>
            <w:tcW w:w="14818" w:type="dxa"/>
            <w:gridSpan w:val="3"/>
          </w:tcPr>
          <w:p w:rsidR="007B53BB" w:rsidRPr="0087793E" w:rsidRDefault="007B53BB" w:rsidP="00250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1D1B4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Стаття 29. Склад доходів Державного бюджету України</w:t>
            </w:r>
          </w:p>
        </w:tc>
      </w:tr>
      <w:tr w:rsidR="007D3B2F" w:rsidRPr="001D1B4E" w:rsidTr="007B53BB">
        <w:trPr>
          <w:trHeight w:val="129"/>
        </w:trPr>
        <w:tc>
          <w:tcPr>
            <w:tcW w:w="7409" w:type="dxa"/>
          </w:tcPr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bookmarkStart w:id="8" w:name="n658"/>
            <w:bookmarkEnd w:id="8"/>
            <w:r w:rsidRPr="004F658F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…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 До доходів загального фонду Державного бюджету України (з урахуванням особливостей, визначених </w:t>
            </w:r>
            <w:hyperlink r:id="rId11" w:anchor="n2001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1 частини другої статті 67</w:t>
              </w:r>
            </w:hyperlink>
            <w:hyperlink r:id="rId12" w:anchor="n2001" w:history="1">
              <w:r w:rsidRPr="004F658F">
                <w:rPr>
                  <w:rStyle w:val="a3"/>
                  <w:rFonts w:ascii="Times New Roman" w:hAnsi="Times New Roman"/>
                  <w:b/>
                  <w:bCs/>
                  <w:color w:val="006600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цього Кодексу) належать: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E326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F658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0 відсотків податку на прибуток підприємств (крім податку на прибуток підприємств державної власності, що </w:t>
            </w: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зараховується до загального фонду державного бюджету в повному обсязі, та податку, визначеного </w:t>
            </w:r>
            <w:hyperlink r:id="rId13" w:anchor="n2149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18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частини першої статті 64, </w:t>
            </w:r>
            <w:hyperlink r:id="rId14" w:anchor="n2209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1</w:t>
              </w:r>
            </w:hyperlink>
            <w:hyperlink r:id="rId15" w:anchor="n2209" w:history="1">
              <w:r w:rsidRPr="004F658F">
                <w:rPr>
                  <w:rStyle w:val="a3"/>
                  <w:rFonts w:ascii="Times New Roman" w:hAnsi="Times New Roman"/>
                  <w:b/>
                  <w:bCs/>
                  <w:color w:val="006600"/>
                  <w:sz w:val="28"/>
                  <w:szCs w:val="28"/>
                  <w:shd w:val="clear" w:color="auto" w:fill="FFFFFF"/>
                  <w:vertAlign w:val="superscript"/>
                </w:rPr>
                <w:t>-2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частини першої статті 66 та </w:t>
            </w:r>
            <w:hyperlink r:id="rId16" w:anchor="n1099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2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частини першої статті 69 цього Кодексу);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7D3B2F" w:rsidRPr="001D1B4E" w:rsidRDefault="00395AC5" w:rsidP="004F658F">
            <w:pPr>
              <w:spacing w:after="0" w:line="240" w:lineRule="auto"/>
              <w:ind w:firstLine="4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 Джерелами формування спеціального фонду Державного бюджету України в частині доходів (з урахуванням особливостей, визначених</w:t>
            </w:r>
            <w:r w:rsidRPr="001D1B4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hyperlink r:id="rId17" w:anchor="n2001" w:history="1">
              <w:r w:rsidRPr="001D1B4E"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пунктом 1 частини другої статті 67</w:t>
              </w:r>
            </w:hyperlink>
            <w:hyperlink r:id="rId18" w:anchor="n2001" w:history="1">
              <w:r w:rsidRPr="001D1B4E"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-1</w:t>
              </w:r>
            </w:hyperlink>
            <w:r w:rsidRPr="001D1B4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1D1B4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цього Кодексу) є:</w:t>
            </w:r>
          </w:p>
          <w:p w:rsidR="00395AC5" w:rsidRPr="0087793E" w:rsidRDefault="004F658F" w:rsidP="00A7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13</w:t>
            </w:r>
            <w:r w:rsidRPr="004F658F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  <w:t>9</w:t>
            </w:r>
            <w:r w:rsidR="00395AC5" w:rsidRPr="00611D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) Відсутній</w:t>
            </w:r>
            <w:r w:rsidR="008779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409" w:type="dxa"/>
            <w:gridSpan w:val="2"/>
          </w:tcPr>
          <w:p w:rsidR="004F658F" w:rsidRPr="004F658F" w:rsidRDefault="004F658F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4F658F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lastRenderedPageBreak/>
              <w:t>…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 До доходів загального фонду Державного бюджету України (з урахуванням особливостей, визначених </w:t>
            </w:r>
            <w:hyperlink r:id="rId19" w:anchor="n2001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1 частини другої статті 67</w:t>
              </w:r>
            </w:hyperlink>
            <w:hyperlink r:id="rId20" w:anchor="n2001" w:history="1">
              <w:r w:rsidRPr="004F658F">
                <w:rPr>
                  <w:rStyle w:val="a3"/>
                  <w:rFonts w:ascii="Times New Roman" w:hAnsi="Times New Roman"/>
                  <w:b/>
                  <w:bCs/>
                  <w:color w:val="006600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цього Кодексу) належать: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58F">
              <w:rPr>
                <w:rFonts w:ascii="Times New Roman" w:hAnsi="Times New Roman"/>
                <w:sz w:val="28"/>
                <w:szCs w:val="28"/>
              </w:rPr>
              <w:t xml:space="preserve">2) 90 відсотків податку на прибуток підприємств (крім податку на прибуток підприємств державної власності, що </w:t>
            </w:r>
            <w:r w:rsidRPr="004F65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зараховується до загального фонду державного бюджету в повному обсязі, та податку, визначеного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пунктом 2 частини третьої статті</w:t>
            </w:r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1" w:anchor="n2149" w:history="1">
              <w:r w:rsidRPr="00D576A8">
                <w:rPr>
                  <w:rFonts w:ascii="Times New Roman" w:hAnsi="Times New Roman"/>
                  <w:b/>
                  <w:sz w:val="28"/>
                  <w:szCs w:val="28"/>
                </w:rPr>
                <w:t>пунктами</w:t>
              </w:r>
              <w:r w:rsidRPr="00D576A8">
                <w:rPr>
                  <w:rFonts w:ascii="Times New Roman" w:hAnsi="Times New Roman"/>
                  <w:sz w:val="28"/>
                  <w:szCs w:val="28"/>
                </w:rPr>
                <w:t xml:space="preserve"> 18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та 43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Pr="00D576A8">
              <w:rPr>
                <w:rFonts w:ascii="Times New Roman" w:hAnsi="Times New Roman"/>
                <w:sz w:val="28"/>
                <w:szCs w:val="28"/>
              </w:rPr>
              <w:t xml:space="preserve"> частини першої статті 64, </w:t>
            </w:r>
            <w:hyperlink r:id="rId22" w:anchor="n2209" w:history="1">
              <w:r w:rsidRPr="00D576A8">
                <w:rPr>
                  <w:rFonts w:ascii="Times New Roman" w:hAnsi="Times New Roman"/>
                  <w:sz w:val="28"/>
                  <w:szCs w:val="28"/>
                </w:rPr>
                <w:t>пунктом 1</w:t>
              </w:r>
            </w:hyperlink>
            <w:hyperlink r:id="rId23" w:anchor="n2209" w:history="1">
              <w:r w:rsidRPr="00D576A8">
                <w:rPr>
                  <w:rFonts w:ascii="Times New Roman" w:hAnsi="Times New Roman"/>
                  <w:sz w:val="28"/>
                  <w:szCs w:val="28"/>
                </w:rPr>
                <w:t>-2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</w:rPr>
              <w:t xml:space="preserve"> частини першої статті 66 та </w:t>
            </w:r>
            <w:hyperlink r:id="rId24" w:anchor="n1099" w:history="1">
              <w:r w:rsidRPr="00D576A8">
                <w:rPr>
                  <w:rFonts w:ascii="Times New Roman" w:hAnsi="Times New Roman"/>
                  <w:sz w:val="28"/>
                  <w:szCs w:val="28"/>
                </w:rPr>
                <w:t>пунктом 2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</w:rPr>
              <w:t xml:space="preserve"> частини першої статті 69 цього Кодексу);</w:t>
            </w:r>
          </w:p>
          <w:p w:rsidR="004F658F" w:rsidRPr="004F658F" w:rsidRDefault="004F658F" w:rsidP="004F658F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:rsidR="00395AC5" w:rsidRPr="001D1B4E" w:rsidRDefault="00395AC5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 Джерелами формування спеціального фонду Державного бюджету України в частині доходів (з урахуванням особливостей, визначених</w:t>
            </w:r>
            <w:r w:rsidRPr="001D1B4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hyperlink r:id="rId25" w:anchor="n2001" w:history="1">
              <w:r w:rsidRPr="001D1B4E"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пунктом 1 частини другої статті 67</w:t>
              </w:r>
            </w:hyperlink>
            <w:hyperlink r:id="rId26" w:anchor="n2001" w:history="1">
              <w:r w:rsidRPr="001D1B4E">
                <w:rPr>
                  <w:rFonts w:ascii="Times New Roman" w:hAnsi="Times New Roman"/>
                  <w:color w:val="000000"/>
                  <w:sz w:val="28"/>
                  <w:szCs w:val="28"/>
                  <w:lang w:eastAsia="uk-UA"/>
                </w:rPr>
                <w:t>-1</w:t>
              </w:r>
            </w:hyperlink>
            <w:r w:rsidRPr="001D1B4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1D1B4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цього Кодексу) є:</w:t>
            </w:r>
          </w:p>
          <w:p w:rsidR="0087793E" w:rsidRPr="00A72B02" w:rsidRDefault="00A72B02" w:rsidP="00250D96">
            <w:pPr>
              <w:spacing w:after="0" w:line="240" w:lineRule="auto"/>
              <w:ind w:firstLine="44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13</w:t>
            </w:r>
            <w:r w:rsidR="007B53BB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  <w:t>9</w:t>
            </w:r>
            <w:r w:rsidR="00395AC5" w:rsidRPr="001D1B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) </w:t>
            </w:r>
            <w:r w:rsidR="000B39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кошти</w:t>
            </w:r>
            <w:r w:rsidR="000B392E" w:rsidRPr="00440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3A1D" w:rsidRPr="00440F5E">
              <w:rPr>
                <w:rFonts w:ascii="Times New Roman" w:hAnsi="Times New Roman"/>
                <w:b/>
                <w:sz w:val="28"/>
                <w:szCs w:val="28"/>
              </w:rPr>
              <w:t>платежів за ліцензії на</w:t>
            </w:r>
            <w:r w:rsidR="00440F5E" w:rsidRPr="00440F5E">
              <w:rPr>
                <w:rFonts w:ascii="Times New Roman" w:hAnsi="Times New Roman"/>
                <w:b/>
                <w:sz w:val="28"/>
                <w:szCs w:val="28"/>
              </w:rPr>
              <w:t xml:space="preserve"> провадження діяльності з організації та проведення букмекерської діяльності</w:t>
            </w:r>
            <w:r w:rsidR="0077618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C14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0F5E" w:rsidRPr="00440F5E">
              <w:rPr>
                <w:rFonts w:ascii="Times New Roman" w:hAnsi="Times New Roman"/>
                <w:b/>
                <w:sz w:val="28"/>
                <w:szCs w:val="28"/>
              </w:rPr>
              <w:t>на провадження діяльності з організації та проведення азартних ігор казино в мережі Інтернет, провадження діяльності з організації та проведення гри в покер в мережі</w:t>
            </w:r>
            <w:r w:rsidR="00776180">
              <w:rPr>
                <w:rFonts w:ascii="Times New Roman" w:hAnsi="Times New Roman"/>
                <w:b/>
                <w:sz w:val="28"/>
                <w:szCs w:val="28"/>
              </w:rPr>
              <w:t xml:space="preserve"> Інтернет</w:t>
            </w:r>
            <w:r w:rsidR="00440F5E" w:rsidRPr="00440F5E">
              <w:rPr>
                <w:rFonts w:ascii="Times New Roman" w:hAnsi="Times New Roman"/>
                <w:b/>
                <w:sz w:val="28"/>
                <w:szCs w:val="28"/>
              </w:rPr>
              <w:t xml:space="preserve">, на провадження діяльності з надання послуг у сфері азартних ігор, </w:t>
            </w:r>
            <w:r w:rsidR="00F46F19" w:rsidRPr="00763A1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 випуск і проведення лотерей</w:t>
            </w:r>
            <w:r w:rsidR="00F46F1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776180" w:rsidRPr="00440F5E">
              <w:rPr>
                <w:rFonts w:ascii="Times New Roman" w:hAnsi="Times New Roman"/>
                <w:b/>
                <w:sz w:val="28"/>
                <w:szCs w:val="28"/>
              </w:rPr>
              <w:t>на провадження діяльності з організації та проведення азартних ігор</w:t>
            </w:r>
            <w:r w:rsidR="00776180">
              <w:rPr>
                <w:rFonts w:ascii="Times New Roman" w:hAnsi="Times New Roman"/>
                <w:b/>
                <w:sz w:val="28"/>
                <w:szCs w:val="28"/>
              </w:rPr>
              <w:t xml:space="preserve"> в залах гральних автоматів</w:t>
            </w:r>
            <w:r w:rsidR="008C147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40F5E" w:rsidRPr="00440F5E">
              <w:rPr>
                <w:rFonts w:ascii="Times New Roman" w:hAnsi="Times New Roman"/>
                <w:b/>
                <w:sz w:val="28"/>
                <w:szCs w:val="28"/>
              </w:rPr>
              <w:t>а також 50% платежів за ліцензії на провадження діяльності з організації та проведення азартних ігор в казино</w:t>
            </w:r>
            <w:r w:rsidR="00776180">
              <w:rPr>
                <w:rFonts w:ascii="Times New Roman" w:hAnsi="Times New Roman"/>
                <w:b/>
                <w:sz w:val="28"/>
                <w:szCs w:val="28"/>
              </w:rPr>
              <w:t>, 50% платежів за ліцензії на гральні столи та гральні автомати</w:t>
            </w:r>
            <w:r w:rsidR="00440F5E" w:rsidRPr="00440F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D08E7" w:rsidRPr="001D1B4E" w:rsidTr="007B53BB">
        <w:trPr>
          <w:trHeight w:val="129"/>
        </w:trPr>
        <w:tc>
          <w:tcPr>
            <w:tcW w:w="14818" w:type="dxa"/>
            <w:gridSpan w:val="3"/>
          </w:tcPr>
          <w:p w:rsidR="008D08E7" w:rsidRPr="001D1B4E" w:rsidRDefault="00395AC5" w:rsidP="00A72B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D1B4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Стаття 30. Склад видатків та кредитування Державного бюджету України</w:t>
            </w:r>
          </w:p>
        </w:tc>
      </w:tr>
      <w:tr w:rsidR="009F1178" w:rsidRPr="001D1B4E" w:rsidTr="007B53BB">
        <w:trPr>
          <w:trHeight w:val="129"/>
        </w:trPr>
        <w:tc>
          <w:tcPr>
            <w:tcW w:w="7409" w:type="dxa"/>
          </w:tcPr>
          <w:p w:rsidR="00A72B02" w:rsidRPr="003F61F4" w:rsidRDefault="00A72B02" w:rsidP="00A72B02">
            <w:pPr>
              <w:spacing w:before="100" w:beforeAutospacing="1" w:after="187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9" w:name="n2502"/>
            <w:bookmarkEnd w:id="9"/>
            <w:r w:rsidRPr="003F61F4">
              <w:rPr>
                <w:rFonts w:ascii="Times New Roman" w:hAnsi="Times New Roman"/>
                <w:sz w:val="28"/>
                <w:szCs w:val="28"/>
                <w:lang w:eastAsia="uk-UA"/>
              </w:rPr>
              <w:t>4. Кошти, отримані до спеціального фонду Державного бюджету України згідно з відповідними пунктами </w:t>
            </w:r>
            <w:hyperlink r:id="rId27" w:anchor="n305" w:history="1">
              <w:r w:rsidRPr="003F61F4">
                <w:rPr>
                  <w:rFonts w:ascii="Times New Roman" w:hAnsi="Times New Roman"/>
                  <w:sz w:val="28"/>
                  <w:szCs w:val="28"/>
                  <w:lang w:eastAsia="uk-UA"/>
                </w:rPr>
                <w:t xml:space="preserve">частини </w:t>
              </w:r>
              <w:r w:rsidRPr="003F61F4">
                <w:rPr>
                  <w:rFonts w:ascii="Times New Roman" w:hAnsi="Times New Roman"/>
                  <w:sz w:val="28"/>
                  <w:szCs w:val="28"/>
                  <w:lang w:eastAsia="uk-UA"/>
                </w:rPr>
                <w:lastRenderedPageBreak/>
                <w:t>третьої статті 15</w:t>
              </w:r>
            </w:hyperlink>
            <w:r w:rsidRPr="003F61F4">
              <w:rPr>
                <w:rFonts w:ascii="Times New Roman" w:hAnsi="Times New Roman"/>
                <w:sz w:val="28"/>
                <w:szCs w:val="28"/>
                <w:lang w:eastAsia="uk-UA"/>
              </w:rPr>
              <w:t>, </w:t>
            </w:r>
            <w:hyperlink r:id="rId28" w:anchor="n633" w:history="1">
              <w:r w:rsidRPr="003F61F4">
                <w:rPr>
                  <w:rFonts w:ascii="Times New Roman" w:hAnsi="Times New Roman"/>
                  <w:sz w:val="28"/>
                  <w:szCs w:val="28"/>
                  <w:lang w:eastAsia="uk-UA"/>
                </w:rPr>
                <w:t>частини третьої статті 29</w:t>
              </w:r>
            </w:hyperlink>
            <w:r w:rsidRPr="003F61F4">
              <w:rPr>
                <w:rFonts w:ascii="Times New Roman" w:hAnsi="Times New Roman"/>
                <w:sz w:val="28"/>
                <w:szCs w:val="28"/>
                <w:lang w:eastAsia="uk-UA"/>
              </w:rPr>
              <w:t> та </w:t>
            </w:r>
            <w:hyperlink r:id="rId29" w:anchor="n659" w:history="1">
              <w:r w:rsidRPr="003F61F4">
                <w:rPr>
                  <w:rFonts w:ascii="Times New Roman" w:hAnsi="Times New Roman"/>
                  <w:sz w:val="28"/>
                  <w:szCs w:val="28"/>
                  <w:lang w:eastAsia="uk-UA"/>
                </w:rPr>
                <w:t>частини третьої</w:t>
              </w:r>
            </w:hyperlink>
            <w:r w:rsidR="00F65E03" w:rsidRPr="003F61F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F61F4">
              <w:rPr>
                <w:rFonts w:ascii="Times New Roman" w:hAnsi="Times New Roman"/>
                <w:sz w:val="28"/>
                <w:szCs w:val="28"/>
                <w:lang w:eastAsia="uk-UA"/>
              </w:rPr>
              <w:t>цієї статті цього Кодексу, спрямовуються відповідно на:</w:t>
            </w:r>
          </w:p>
          <w:p w:rsidR="00BE3037" w:rsidRPr="003F61F4" w:rsidRDefault="00F65E03" w:rsidP="004F658F">
            <w:pPr>
              <w:spacing w:before="100" w:beforeAutospacing="1" w:after="187" w:line="240" w:lineRule="auto"/>
              <w:ind w:firstLine="48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F61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  <w:r w:rsidRPr="003F61F4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  <w:t>4</w:t>
            </w:r>
            <w:r w:rsidRPr="003F61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) Відсутній. </w:t>
            </w:r>
          </w:p>
        </w:tc>
        <w:tc>
          <w:tcPr>
            <w:tcW w:w="7409" w:type="dxa"/>
            <w:gridSpan w:val="2"/>
          </w:tcPr>
          <w:p w:rsidR="00A72B02" w:rsidRDefault="00A72B02" w:rsidP="00250D96">
            <w:pPr>
              <w:spacing w:after="120" w:line="240" w:lineRule="auto"/>
              <w:ind w:firstLine="308"/>
              <w:jc w:val="both"/>
              <w:rPr>
                <w:color w:val="000000"/>
                <w:shd w:val="clear" w:color="auto" w:fill="FFFFFF"/>
              </w:rPr>
            </w:pPr>
            <w:r w:rsidRPr="00A72B0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4. Кошти, отримані до спеціального фонду Державного бюджету України згідно з відповідними пунктами </w:t>
            </w:r>
            <w:hyperlink r:id="rId30" w:anchor="n305" w:history="1">
              <w:r w:rsidRPr="00A72B02">
                <w:rPr>
                  <w:rFonts w:ascii="Times New Roman" w:hAnsi="Times New Roman"/>
                  <w:sz w:val="28"/>
                  <w:szCs w:val="28"/>
                  <w:lang w:eastAsia="uk-UA"/>
                </w:rPr>
                <w:t xml:space="preserve">частини </w:t>
              </w:r>
              <w:r w:rsidRPr="00A72B02">
                <w:rPr>
                  <w:rFonts w:ascii="Times New Roman" w:hAnsi="Times New Roman"/>
                  <w:sz w:val="28"/>
                  <w:szCs w:val="28"/>
                  <w:lang w:eastAsia="uk-UA"/>
                </w:rPr>
                <w:lastRenderedPageBreak/>
                <w:t>третьої статті 15</w:t>
              </w:r>
            </w:hyperlink>
            <w:r w:rsidRPr="00A72B02">
              <w:rPr>
                <w:rFonts w:ascii="Times New Roman" w:hAnsi="Times New Roman"/>
                <w:sz w:val="28"/>
                <w:szCs w:val="28"/>
                <w:lang w:eastAsia="uk-UA"/>
              </w:rPr>
              <w:t>, </w:t>
            </w:r>
            <w:hyperlink r:id="rId31" w:anchor="n633" w:history="1">
              <w:r w:rsidRPr="00A72B02">
                <w:rPr>
                  <w:rFonts w:ascii="Times New Roman" w:hAnsi="Times New Roman"/>
                  <w:sz w:val="28"/>
                  <w:szCs w:val="28"/>
                  <w:lang w:eastAsia="uk-UA"/>
                </w:rPr>
                <w:t>частини третьої статті 29</w:t>
              </w:r>
            </w:hyperlink>
            <w:r w:rsidRPr="00A72B02">
              <w:rPr>
                <w:rFonts w:ascii="Times New Roman" w:hAnsi="Times New Roman"/>
                <w:sz w:val="28"/>
                <w:szCs w:val="28"/>
                <w:lang w:eastAsia="uk-UA"/>
              </w:rPr>
              <w:t> та </w:t>
            </w:r>
            <w:hyperlink r:id="rId32" w:anchor="n659" w:history="1">
              <w:r w:rsidRPr="00A72B02">
                <w:rPr>
                  <w:rFonts w:ascii="Times New Roman" w:hAnsi="Times New Roman"/>
                  <w:sz w:val="28"/>
                  <w:szCs w:val="28"/>
                  <w:lang w:eastAsia="uk-UA"/>
                </w:rPr>
                <w:t>частини третьої</w:t>
              </w:r>
            </w:hyperlink>
            <w:r w:rsidR="00F65E0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72B02">
              <w:rPr>
                <w:rFonts w:ascii="Times New Roman" w:hAnsi="Times New Roman"/>
                <w:sz w:val="28"/>
                <w:szCs w:val="28"/>
                <w:lang w:eastAsia="uk-UA"/>
              </w:rPr>
              <w:t>цієї статті цього Кодексу, спрямовуються відповідно на:</w:t>
            </w:r>
          </w:p>
          <w:p w:rsidR="009F1178" w:rsidRPr="0087793E" w:rsidRDefault="00F65E03" w:rsidP="00250D96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D10E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  <w:r w:rsidR="00AE04AC"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  <w:t>4</w:t>
            </w:r>
            <w:r w:rsidRPr="00D10E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) заходи, визначені </w:t>
            </w:r>
            <w:hyperlink r:id="rId33" w:anchor="n3035" w:history="1">
              <w:r w:rsidRPr="00D10EBD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uk-UA"/>
                </w:rPr>
                <w:t>частиною третьою</w:t>
              </w:r>
            </w:hyperlink>
            <w:r w:rsidRPr="00D10E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 статті 24</w:t>
            </w:r>
            <w:r w:rsidR="00AE04AC">
              <w:rPr>
                <w:rFonts w:ascii="Times New Roman" w:hAnsi="Times New Roman"/>
                <w:sz w:val="28"/>
                <w:szCs w:val="28"/>
                <w:vertAlign w:val="superscript"/>
                <w:lang w:eastAsia="uk-UA"/>
              </w:rPr>
              <w:t>5</w:t>
            </w:r>
            <w:r w:rsidRPr="00D10E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 (за рахунок джерел, визначених пунктом </w:t>
            </w:r>
            <w:hyperlink r:id="rId34" w:anchor="n3074" w:history="1">
              <w:r w:rsidRPr="00D10EBD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uk-UA"/>
                </w:rPr>
                <w:t>13</w:t>
              </w:r>
            </w:hyperlink>
            <w:r w:rsidR="007B53BB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uk-UA"/>
              </w:rPr>
              <w:t>9</w:t>
            </w:r>
            <w:r w:rsidRPr="00D10EB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 частини третьої статті 29 цього Кодексу);</w:t>
            </w:r>
          </w:p>
        </w:tc>
      </w:tr>
      <w:tr w:rsidR="000B567C" w:rsidRPr="001D1B4E" w:rsidTr="009842E6">
        <w:trPr>
          <w:trHeight w:val="129"/>
        </w:trPr>
        <w:tc>
          <w:tcPr>
            <w:tcW w:w="14818" w:type="dxa"/>
            <w:gridSpan w:val="3"/>
          </w:tcPr>
          <w:p w:rsidR="000B567C" w:rsidRPr="000B567C" w:rsidRDefault="000B567C" w:rsidP="000B567C">
            <w:pPr>
              <w:spacing w:before="100" w:beforeAutospacing="1" w:after="1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B56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64.</w:t>
            </w:r>
            <w:r w:rsidRPr="000B56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6E2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Склад доходів загального фонду бюджетів міст республіканського Автономної Республіки Крим та обласного значення, міст Києва та Севастополя, районних бюджетів, бюджетів об’єднаних територіальних громад</w:t>
            </w:r>
          </w:p>
        </w:tc>
      </w:tr>
      <w:tr w:rsidR="000B567C" w:rsidRPr="001D1B4E" w:rsidTr="007B53BB">
        <w:trPr>
          <w:trHeight w:val="129"/>
        </w:trPr>
        <w:tc>
          <w:tcPr>
            <w:tcW w:w="7409" w:type="dxa"/>
          </w:tcPr>
          <w:p w:rsidR="00FE38CB" w:rsidRDefault="00FE38CB" w:rsidP="004F658F">
            <w:pPr>
              <w:spacing w:before="100" w:beforeAutospacing="1" w:after="187" w:line="240" w:lineRule="auto"/>
              <w:ind w:firstLine="48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E38CB">
              <w:rPr>
                <w:rFonts w:ascii="Times New Roman" w:hAnsi="Times New Roman"/>
                <w:sz w:val="28"/>
                <w:szCs w:val="28"/>
                <w:lang w:eastAsia="uk-UA"/>
              </w:rPr>
              <w:t>1. До доходів загального фонду бюджетів міст республіканського Автономної Республіки Крим та обласного значення, міст Києва та Севастополя, районних бюджетів, бюджетів об’єднаних територіальних громад належать:</w:t>
            </w:r>
          </w:p>
          <w:p w:rsidR="004F658F" w:rsidRPr="00D576A8" w:rsidRDefault="004F658F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576A8">
              <w:rPr>
                <w:rFonts w:ascii="Times New Roman" w:hAnsi="Times New Roman"/>
                <w:sz w:val="28"/>
                <w:szCs w:val="28"/>
                <w:lang w:eastAsia="uk-UA"/>
              </w:rPr>
              <w:t>…</w:t>
            </w:r>
          </w:p>
          <w:p w:rsidR="004F658F" w:rsidRDefault="004F658F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17) 10 відсотків податку на прибуток підприємств (крім податку на прибуток підприємств державної власності та податку, визначеного пунктом 18 цієї частини статті, </w:t>
            </w:r>
            <w:hyperlink r:id="rId35" w:anchor="n2209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1</w:t>
              </w:r>
            </w:hyperlink>
            <w:hyperlink r:id="rId36" w:anchor="n2209" w:history="1">
              <w:r w:rsidRPr="004F658F">
                <w:rPr>
                  <w:rStyle w:val="a3"/>
                  <w:rFonts w:ascii="Times New Roman" w:hAnsi="Times New Roman"/>
                  <w:b/>
                  <w:bCs/>
                  <w:color w:val="006600"/>
                  <w:sz w:val="28"/>
                  <w:szCs w:val="28"/>
                  <w:shd w:val="clear" w:color="auto" w:fill="FFFFFF"/>
                  <w:vertAlign w:val="superscript"/>
                </w:rPr>
                <w:t>-2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частини першої статті 66 та </w:t>
            </w:r>
            <w:hyperlink r:id="rId37" w:anchor="n1099" w:history="1">
              <w:r w:rsidRPr="004F658F">
                <w:rPr>
                  <w:rStyle w:val="a3"/>
                  <w:rFonts w:ascii="Times New Roman" w:hAnsi="Times New Roman"/>
                  <w:color w:val="006600"/>
                  <w:sz w:val="28"/>
                  <w:szCs w:val="28"/>
                  <w:shd w:val="clear" w:color="auto" w:fill="FFFFFF"/>
                </w:rPr>
                <w:t>пунктом 2</w:t>
              </w:r>
            </w:hyperlink>
            <w:r w:rsidRPr="004F658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частини першої статті 69 цього Кодексу), який зараховується до бюджету міста Києва;</w:t>
            </w:r>
          </w:p>
          <w:p w:rsidR="004F658F" w:rsidRPr="00D576A8" w:rsidRDefault="004F658F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F658F" w:rsidRPr="00D576A8" w:rsidRDefault="004F658F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576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…</w:t>
            </w:r>
          </w:p>
          <w:p w:rsidR="000B567C" w:rsidRDefault="00227EAA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43</w:t>
            </w:r>
            <w:r w:rsidR="000B567C" w:rsidRPr="00227EAA">
              <w:rPr>
                <w:rFonts w:ascii="Times New Roman" w:hAnsi="Times New Roman"/>
                <w:sz w:val="28"/>
                <w:szCs w:val="28"/>
                <w:vertAlign w:val="superscript"/>
                <w:lang w:eastAsia="uk-UA"/>
              </w:rPr>
              <w:t>1</w:t>
            </w:r>
            <w:r w:rsidR="000B567C" w:rsidRPr="000B567C">
              <w:rPr>
                <w:rFonts w:ascii="Times New Roman" w:hAnsi="Times New Roman"/>
                <w:sz w:val="28"/>
                <w:szCs w:val="28"/>
                <w:lang w:eastAsia="uk-UA"/>
              </w:rPr>
              <w:t>) частина розміру плати за видачу ліцензії на провадження господарської діяльності з випуску та проведення лотерей, яку встановлює Кабінет Міністрів України, яка сплачується ліцензіатами до бюджетів місцевого самоврядування за місцем розташування відповідного пункту розповсюдження державної лотереї;</w:t>
            </w:r>
          </w:p>
          <w:p w:rsidR="004F658F" w:rsidRPr="004F658F" w:rsidRDefault="004F658F" w:rsidP="004F658F">
            <w:pPr>
              <w:spacing w:before="100" w:beforeAutospacing="1" w:after="187" w:line="240" w:lineRule="auto"/>
              <w:ind w:firstLine="34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43</w:t>
            </w:r>
            <w:r w:rsidRPr="00277BB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Відсутній.</w:t>
            </w:r>
          </w:p>
        </w:tc>
        <w:tc>
          <w:tcPr>
            <w:tcW w:w="7409" w:type="dxa"/>
            <w:gridSpan w:val="2"/>
          </w:tcPr>
          <w:p w:rsidR="00FE38CB" w:rsidRDefault="00FE38CB" w:rsidP="00250D96">
            <w:pPr>
              <w:spacing w:before="100" w:beforeAutospacing="1" w:after="187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E38C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1. До доходів загального фонду бюджетів міст республіканського Автономної Республіки Крим та обласного значення, міст Києва та Севастополя, районних бюджетів, бюджетів об’єднаних територіальних громад належать:</w:t>
            </w:r>
          </w:p>
          <w:p w:rsidR="004F658F" w:rsidRPr="004F658F" w:rsidRDefault="004F658F" w:rsidP="00250D96">
            <w:pPr>
              <w:spacing w:before="100" w:beforeAutospacing="1" w:after="187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F658F">
              <w:rPr>
                <w:rFonts w:ascii="Times New Roman" w:hAnsi="Times New Roman"/>
                <w:sz w:val="28"/>
                <w:szCs w:val="28"/>
                <w:lang w:eastAsia="uk-UA"/>
              </w:rPr>
              <w:t>…</w:t>
            </w:r>
          </w:p>
          <w:p w:rsidR="004F658F" w:rsidRPr="004F658F" w:rsidRDefault="004F658F" w:rsidP="004F658F">
            <w:pPr>
              <w:spacing w:before="100" w:beforeAutospacing="1" w:after="187" w:line="240" w:lineRule="auto"/>
              <w:ind w:firstLine="45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810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17) 10 відсотків податку на прибуток підприємств (крім податку на прибуток підприємств державної власності та податку, визначеного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пунктом 2 частини третьої статті</w:t>
            </w:r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8" w:anchor="n2149" w:history="1">
              <w:r w:rsidRPr="00D576A8">
                <w:rPr>
                  <w:rFonts w:ascii="Times New Roman" w:hAnsi="Times New Roman"/>
                  <w:b/>
                  <w:sz w:val="28"/>
                  <w:szCs w:val="28"/>
                </w:rPr>
                <w:t>пунктами</w:t>
              </w:r>
              <w:r w:rsidRPr="00D576A8">
                <w:rPr>
                  <w:rFonts w:ascii="Times New Roman" w:hAnsi="Times New Roman"/>
                  <w:sz w:val="28"/>
                  <w:szCs w:val="28"/>
                </w:rPr>
                <w:t xml:space="preserve"> 18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та 43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 </w:t>
            </w:r>
            <w:r w:rsidRPr="00D57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цієї частини статті, </w:t>
            </w:r>
            <w:hyperlink r:id="rId39" w:anchor="n2209" w:history="1">
              <w:r w:rsidRPr="00D576A8">
                <w:rPr>
                  <w:rFonts w:ascii="Times New Roman" w:hAnsi="Times New Roman"/>
                  <w:sz w:val="28"/>
                  <w:szCs w:val="28"/>
                  <w:lang w:eastAsia="uk-UA"/>
                </w:rPr>
                <w:t>пунктом 1</w:t>
              </w:r>
            </w:hyperlink>
            <w:hyperlink r:id="rId40" w:anchor="n2209" w:history="1">
              <w:r w:rsidRPr="00D576A8">
                <w:rPr>
                  <w:rFonts w:ascii="Times New Roman" w:hAnsi="Times New Roman"/>
                  <w:sz w:val="28"/>
                  <w:szCs w:val="28"/>
                  <w:lang w:eastAsia="uk-UA"/>
                </w:rPr>
                <w:t>-2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частини першої статті 66 та </w:t>
            </w:r>
            <w:hyperlink r:id="rId41" w:anchor="n1099" w:history="1">
              <w:r w:rsidRPr="00D576A8">
                <w:rPr>
                  <w:rFonts w:ascii="Times New Roman" w:hAnsi="Times New Roman"/>
                  <w:sz w:val="28"/>
                  <w:szCs w:val="28"/>
                  <w:lang w:eastAsia="uk-UA"/>
                </w:rPr>
                <w:t>пунктом 2</w:t>
              </w:r>
            </w:hyperlink>
            <w:r w:rsidRPr="004810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частини першої статті 69 цього Кодексу), який зараховується до бюджету міста Києва;</w:t>
            </w:r>
          </w:p>
          <w:p w:rsidR="004F658F" w:rsidRPr="004F658F" w:rsidRDefault="004F658F" w:rsidP="004F658F">
            <w:pPr>
              <w:spacing w:before="100" w:beforeAutospacing="1" w:after="187" w:line="240" w:lineRule="auto"/>
              <w:ind w:firstLine="453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lastRenderedPageBreak/>
              <w:t>…</w:t>
            </w:r>
          </w:p>
          <w:p w:rsidR="004F658F" w:rsidRDefault="004F658F" w:rsidP="004F658F">
            <w:pPr>
              <w:spacing w:before="100" w:beforeAutospacing="1" w:after="187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576A8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4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  <w:t>1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) 50% отриманих доходів від податку на прибуток підприємств в частині оподаткування доходу від діяльності з організації та проведення азартних ігор</w:t>
            </w:r>
            <w:r w:rsidR="00EF538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;</w:t>
            </w:r>
          </w:p>
          <w:p w:rsidR="000B567C" w:rsidRDefault="000B567C" w:rsidP="004F658F">
            <w:pPr>
              <w:spacing w:before="100" w:beforeAutospacing="1" w:after="187" w:line="240" w:lineRule="auto"/>
              <w:ind w:firstLine="3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4F658F" w:rsidRPr="0087793E" w:rsidRDefault="004F658F" w:rsidP="004F658F">
            <w:pPr>
              <w:spacing w:before="100" w:beforeAutospacing="1" w:after="187" w:line="240" w:lineRule="auto"/>
              <w:ind w:firstLine="3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43</w:t>
            </w:r>
            <w:r w:rsidRPr="00277BB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) </w:t>
            </w:r>
            <w:r w:rsidRPr="00776180">
              <w:rPr>
                <w:rFonts w:ascii="Times New Roman" w:hAnsi="Times New Roman"/>
                <w:b/>
                <w:sz w:val="28"/>
                <w:szCs w:val="28"/>
              </w:rPr>
              <w:t xml:space="preserve">платежі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ліцензію на букмекерські пункти,</w:t>
            </w:r>
            <w:r w:rsidRPr="007761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50% </w:t>
            </w:r>
            <w:r w:rsidRPr="00C122CF">
              <w:rPr>
                <w:rFonts w:ascii="Times New Roman" w:hAnsi="Times New Roman"/>
                <w:b/>
                <w:sz w:val="28"/>
                <w:szCs w:val="28"/>
              </w:rPr>
              <w:t>платежів за ліцензії</w:t>
            </w:r>
            <w:r w:rsidRPr="00440F5E">
              <w:rPr>
                <w:rFonts w:ascii="Times New Roman" w:hAnsi="Times New Roman"/>
                <w:b/>
                <w:sz w:val="28"/>
                <w:szCs w:val="28"/>
              </w:rPr>
              <w:t xml:space="preserve"> на провадження діяльності з організації та проведення азартних ігор в казино 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50% платежів з ліцензії на гральні столи та гральні автомати, що </w:t>
            </w:r>
            <w:r w:rsidRPr="00C122CF">
              <w:rPr>
                <w:rFonts w:ascii="Times New Roman" w:hAnsi="Times New Roman"/>
                <w:b/>
                <w:sz w:val="28"/>
                <w:szCs w:val="28"/>
              </w:rPr>
              <w:t>зараховується до бюджетів місцевого самоврядування за місцезнаходженням відповідного грального закладу (казино,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букмекерського пункту, залу гральних автоматів</w:t>
            </w:r>
            <w:r w:rsidRPr="00C122C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677C77" w:rsidTr="00250D96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4818" w:type="dxa"/>
            <w:gridSpan w:val="3"/>
            <w:tcBorders>
              <w:bottom w:val="none" w:sz="4" w:space="0" w:color="auto"/>
            </w:tcBorders>
          </w:tcPr>
          <w:p w:rsidR="00677C77" w:rsidRPr="008C4426" w:rsidRDefault="00677C77" w:rsidP="00677C77">
            <w:pPr>
              <w:spacing w:before="100" w:after="1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7BB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66. Склад доходів загального фонду бюджету Автономної Республіки Крим, обласних бюджетів</w:t>
            </w:r>
          </w:p>
        </w:tc>
      </w:tr>
      <w:tr w:rsidR="00677C77" w:rsidTr="00D576A8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:rsidR="00677C77" w:rsidRPr="00277BB6" w:rsidRDefault="00677C77" w:rsidP="00677C77">
            <w:pPr>
              <w:spacing w:before="100" w:after="1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До доходів загального фонду бюджету Автономної Республіки Крим та обласних бюджетів належать:</w:t>
            </w:r>
          </w:p>
          <w:p w:rsidR="00677C77" w:rsidRPr="00277BB6" w:rsidRDefault="00677C77" w:rsidP="00677C77">
            <w:pPr>
              <w:spacing w:before="100" w:after="1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677C77" w:rsidRPr="00277BB6" w:rsidRDefault="00677C77" w:rsidP="00677C77">
            <w:pPr>
              <w:spacing w:before="100" w:after="187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10 відсотків податку на прибуток підприємств (крім податку на прибуток підприємств державної власності, податку, визначеного пунктом 1-2 цієї частини статті, </w:t>
            </w:r>
            <w:hyperlink r:id="rId42" w:anchor="n2149" w:history="1">
              <w:r w:rsidRPr="00277BB6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пунктом 18</w:t>
              </w:r>
            </w:hyperlink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частини першої статті 64 та </w:t>
            </w:r>
            <w:hyperlink r:id="rId43" w:anchor="n1099" w:history="1">
              <w:r w:rsidRPr="00277BB6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пунктом 2</w:t>
              </w:r>
            </w:hyperlink>
            <w:r w:rsidRPr="00277B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частини першої статті 69 цього Кодексу);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677C77" w:rsidRPr="000B47C3" w:rsidRDefault="00677C77" w:rsidP="00677C77">
            <w:pPr>
              <w:spacing w:before="100" w:after="187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 До доходів загального фонду бюджету Автономної Республіки Крим та обласних бюджетів належать:</w:t>
            </w:r>
          </w:p>
          <w:p w:rsidR="00677C77" w:rsidRPr="000B47C3" w:rsidRDefault="00677C77" w:rsidP="00677C77">
            <w:pPr>
              <w:spacing w:before="100" w:after="1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677C77" w:rsidRPr="00277BB6" w:rsidRDefault="00677C77" w:rsidP="00677C77">
            <w:pPr>
              <w:spacing w:before="100" w:after="187" w:line="240" w:lineRule="auto"/>
              <w:ind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10 відсотків податку на прибуток підприємств (крім податку на прибуток підприємств державної власності, податку, визначеного пунктом 1-2 цієї частини статті,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пунктом 2 частини третьої статті</w:t>
            </w:r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44" w:anchor="n2149" w:history="1">
              <w:r w:rsidRPr="00D576A8">
                <w:rPr>
                  <w:rFonts w:ascii="Times New Roman" w:hAnsi="Times New Roman"/>
                  <w:b/>
                  <w:sz w:val="28"/>
                  <w:szCs w:val="28"/>
                </w:rPr>
                <w:t>пунктами</w:t>
              </w:r>
              <w:r w:rsidRPr="00D576A8">
                <w:rPr>
                  <w:rFonts w:ascii="Times New Roman" w:hAnsi="Times New Roman"/>
                  <w:sz w:val="28"/>
                  <w:szCs w:val="28"/>
                </w:rPr>
                <w:t xml:space="preserve"> 18</w:t>
              </w:r>
            </w:hyperlink>
            <w:r w:rsidRPr="00D5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та 43</w:t>
            </w:r>
            <w:r w:rsidRPr="00D576A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частини першої статті 64 та </w:t>
            </w:r>
            <w:hyperlink r:id="rId45" w:anchor="n1099" w:history="1">
              <w:r w:rsidRPr="000B47C3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пунктом 2</w:t>
              </w:r>
            </w:hyperlink>
            <w:r w:rsidRPr="000B47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частини першої статті 69 цього Кодексу);</w:t>
            </w:r>
          </w:p>
        </w:tc>
      </w:tr>
      <w:tr w:rsidR="00677C77" w:rsidTr="00250D96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4818" w:type="dxa"/>
            <w:gridSpan w:val="3"/>
            <w:tcBorders>
              <w:bottom w:val="none" w:sz="4" w:space="0" w:color="auto"/>
            </w:tcBorders>
          </w:tcPr>
          <w:p w:rsidR="00677C77" w:rsidRPr="003F61F4" w:rsidRDefault="00677C77" w:rsidP="00677C77">
            <w:pPr>
              <w:spacing w:before="100" w:after="1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61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69.</w:t>
            </w:r>
            <w:r w:rsidRPr="003F6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6E2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Доходи загального фонду бюджетів міст районного значення, сільських, селищних бюджетів</w:t>
            </w:r>
          </w:p>
        </w:tc>
      </w:tr>
      <w:tr w:rsidR="00677C77" w:rsidTr="001D37E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409" w:type="dxa"/>
          </w:tcPr>
          <w:p w:rsidR="00677C77" w:rsidRPr="003F61F4" w:rsidRDefault="00677C77" w:rsidP="00677C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6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До доходів загального фонду бюджетів міст районного значення, сільських, селищних бюджетів належать:</w:t>
            </w:r>
          </w:p>
          <w:p w:rsidR="00677C77" w:rsidRPr="003F61F4" w:rsidRDefault="00677C77" w:rsidP="00677C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3F61F4">
              <w:rPr>
                <w:rStyle w:val="rvts37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F6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частина розміру плати за видачу ліцензії на провадження господарської діяльності з випуску та проведення лотерей, яку встановлює Кабінет Міністрів України, яка сплачується ліцензіатами до бюджетів місцевого самоврядування за місцем розташування відповідного пункту розповсюдження державної лотереї;</w:t>
            </w:r>
          </w:p>
        </w:tc>
        <w:tc>
          <w:tcPr>
            <w:tcW w:w="7409" w:type="dxa"/>
            <w:gridSpan w:val="2"/>
          </w:tcPr>
          <w:p w:rsidR="00677C77" w:rsidRPr="003F61F4" w:rsidRDefault="00677C77" w:rsidP="00677C77">
            <w:pPr>
              <w:ind w:firstLine="3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61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До доходів загального фонду бюджетів міст районного значення, сільських, селищних бюджетів належать:</w:t>
            </w:r>
          </w:p>
          <w:p w:rsidR="00677C77" w:rsidRPr="00677C77" w:rsidRDefault="00677C77" w:rsidP="00677C77">
            <w:pPr>
              <w:spacing w:after="120" w:line="240" w:lineRule="auto"/>
              <w:ind w:firstLine="3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76A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D576A8">
              <w:rPr>
                <w:rStyle w:val="rvts37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D576A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D576A8">
              <w:rPr>
                <w:rFonts w:ascii="Times New Roman"/>
                <w:b/>
                <w:color w:val="000000"/>
                <w:sz w:val="28"/>
                <w:vertAlign w:val="superscript"/>
                <w:lang w:eastAsia="uk-UA"/>
              </w:rPr>
              <w:t xml:space="preserve"> </w:t>
            </w:r>
            <w:r w:rsidRPr="00D576A8">
              <w:rPr>
                <w:rFonts w:ascii="Times New Roman" w:hAnsi="Times New Roman"/>
                <w:b/>
                <w:sz w:val="28"/>
                <w:szCs w:val="28"/>
              </w:rPr>
              <w:t>Виключити</w:t>
            </w:r>
          </w:p>
        </w:tc>
      </w:tr>
    </w:tbl>
    <w:p w:rsidR="007D3B2F" w:rsidRPr="001D1B4E" w:rsidRDefault="007D3B2F" w:rsidP="00A72B0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0" w:name="n2527"/>
      <w:bookmarkEnd w:id="10"/>
    </w:p>
    <w:p w:rsidR="00250D96" w:rsidRDefault="007D3B2F" w:rsidP="00250D96">
      <w:pPr>
        <w:spacing w:after="120" w:line="240" w:lineRule="auto"/>
        <w:ind w:left="708" w:hanging="141"/>
        <w:rPr>
          <w:rFonts w:ascii="Times New Roman" w:hAnsi="Times New Roman"/>
          <w:b/>
          <w:sz w:val="28"/>
          <w:szCs w:val="28"/>
        </w:rPr>
      </w:pPr>
      <w:r w:rsidRPr="001D1B4E">
        <w:rPr>
          <w:rFonts w:ascii="Times New Roman" w:hAnsi="Times New Roman"/>
          <w:b/>
          <w:sz w:val="28"/>
          <w:szCs w:val="28"/>
        </w:rPr>
        <w:t>Народн</w:t>
      </w:r>
      <w:r w:rsidR="009854EA">
        <w:rPr>
          <w:rFonts w:ascii="Times New Roman" w:hAnsi="Times New Roman"/>
          <w:b/>
          <w:sz w:val="28"/>
          <w:szCs w:val="28"/>
        </w:rPr>
        <w:t xml:space="preserve">і </w:t>
      </w:r>
      <w:r w:rsidRPr="001D1B4E">
        <w:rPr>
          <w:rFonts w:ascii="Times New Roman" w:hAnsi="Times New Roman"/>
          <w:b/>
          <w:sz w:val="28"/>
          <w:szCs w:val="28"/>
        </w:rPr>
        <w:t>депутат</w:t>
      </w:r>
      <w:r w:rsidR="009854EA">
        <w:rPr>
          <w:rFonts w:ascii="Times New Roman" w:hAnsi="Times New Roman"/>
          <w:b/>
          <w:sz w:val="28"/>
          <w:szCs w:val="28"/>
        </w:rPr>
        <w:t>и</w:t>
      </w:r>
      <w:r w:rsidRPr="001D1B4E">
        <w:rPr>
          <w:rFonts w:ascii="Times New Roman" w:hAnsi="Times New Roman"/>
          <w:b/>
          <w:sz w:val="28"/>
          <w:szCs w:val="28"/>
        </w:rPr>
        <w:t xml:space="preserve"> України </w:t>
      </w:r>
      <w:r w:rsidR="00A86418" w:rsidRPr="001D1B4E">
        <w:rPr>
          <w:rFonts w:ascii="Times New Roman" w:hAnsi="Times New Roman"/>
          <w:b/>
          <w:sz w:val="28"/>
          <w:szCs w:val="28"/>
        </w:rPr>
        <w:t xml:space="preserve"> </w:t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</w:r>
      <w:r w:rsidR="00250D96">
        <w:rPr>
          <w:rFonts w:ascii="Times New Roman" w:hAnsi="Times New Roman"/>
          <w:b/>
          <w:sz w:val="28"/>
          <w:szCs w:val="28"/>
        </w:rPr>
        <w:tab/>
        <w:t xml:space="preserve">       КЛИМЕНКО Ю.Л.</w:t>
      </w:r>
    </w:p>
    <w:p w:rsidR="007D3B2F" w:rsidRPr="001D1B4E" w:rsidRDefault="00250D96" w:rsidP="0055010C">
      <w:pPr>
        <w:spacing w:after="120" w:line="240" w:lineRule="auto"/>
        <w:ind w:left="1203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(посв.210)</w:t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  <w:r w:rsidR="00A86418" w:rsidRPr="001D1B4E">
        <w:rPr>
          <w:rFonts w:ascii="Times New Roman" w:hAnsi="Times New Roman"/>
          <w:b/>
          <w:sz w:val="28"/>
          <w:szCs w:val="28"/>
        </w:rPr>
        <w:tab/>
      </w:r>
    </w:p>
    <w:sectPr w:rsidR="007D3B2F" w:rsidRPr="001D1B4E" w:rsidSect="0055010C">
      <w:headerReference w:type="default" r:id="rId46"/>
      <w:footerReference w:type="default" r:id="rId47"/>
      <w:pgSz w:w="16838" w:h="11906" w:orient="landscape"/>
      <w:pgMar w:top="851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74" w:rsidRDefault="002A0B74" w:rsidP="00822A9A">
      <w:pPr>
        <w:spacing w:after="0" w:line="240" w:lineRule="auto"/>
      </w:pPr>
      <w:r>
        <w:separator/>
      </w:r>
    </w:p>
  </w:endnote>
  <w:endnote w:type="continuationSeparator" w:id="0">
    <w:p w:rsidR="002A0B74" w:rsidRDefault="002A0B74" w:rsidP="0082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9A" w:rsidRDefault="00822A9A" w:rsidP="00837B29">
    <w:pPr>
      <w:pStyle w:val="a6"/>
      <w:jc w:val="center"/>
    </w:pPr>
  </w:p>
  <w:p w:rsidR="00822A9A" w:rsidRDefault="00822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74" w:rsidRDefault="002A0B74" w:rsidP="00822A9A">
      <w:pPr>
        <w:spacing w:after="0" w:line="240" w:lineRule="auto"/>
      </w:pPr>
      <w:r>
        <w:separator/>
      </w:r>
    </w:p>
  </w:footnote>
  <w:footnote w:type="continuationSeparator" w:id="0">
    <w:p w:rsidR="002A0B74" w:rsidRDefault="002A0B74" w:rsidP="0082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29" w:rsidRDefault="00837B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697B" w:rsidRPr="00CE697B">
      <w:rPr>
        <w:noProof/>
        <w:lang w:val="ru-RU"/>
      </w:rPr>
      <w:t>2</w:t>
    </w:r>
    <w:r>
      <w:fldChar w:fldCharType="end"/>
    </w:r>
  </w:p>
  <w:p w:rsidR="00837B29" w:rsidRDefault="00837B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EB2"/>
    <w:multiLevelType w:val="multilevel"/>
    <w:tmpl w:val="2D14DF50"/>
    <w:lvl w:ilvl="0">
      <w:start w:val="1"/>
      <w:numFmt w:val="decimal"/>
      <w:pStyle w:val="Level0"/>
      <w:lvlText w:val="Стаття %1."/>
      <w:lvlJc w:val="left"/>
      <w:pPr>
        <w:ind w:left="5604" w:hanging="360"/>
      </w:pPr>
      <w:rPr>
        <w:rFonts w:cs="Times New Roman"/>
      </w:rPr>
    </w:lvl>
    <w:lvl w:ilvl="1">
      <w:start w:val="1"/>
      <w:numFmt w:val="decimal"/>
      <w:pStyle w:val="Level1"/>
      <w:lvlText w:val="%2."/>
      <w:lvlJc w:val="left"/>
      <w:pPr>
        <w:ind w:left="16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3054" w:hanging="360"/>
      </w:pPr>
      <w:rPr>
        <w:rFonts w:cs="Times New Roman"/>
        <w:color w:val="FFFFFF" w:themeColor="background1"/>
      </w:rPr>
    </w:lvl>
    <w:lvl w:ilvl="3">
      <w:start w:val="1"/>
      <w:numFmt w:val="russianLower"/>
      <w:pStyle w:val="Level3"/>
      <w:lvlText w:val="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F"/>
    <w:rsid w:val="00060EE7"/>
    <w:rsid w:val="00071E82"/>
    <w:rsid w:val="00072317"/>
    <w:rsid w:val="000732AE"/>
    <w:rsid w:val="00075527"/>
    <w:rsid w:val="000954B3"/>
    <w:rsid w:val="000B23A8"/>
    <w:rsid w:val="000B392E"/>
    <w:rsid w:val="000B567C"/>
    <w:rsid w:val="000E30FE"/>
    <w:rsid w:val="001247DC"/>
    <w:rsid w:val="0016012F"/>
    <w:rsid w:val="00170978"/>
    <w:rsid w:val="001C1E48"/>
    <w:rsid w:val="001C3C06"/>
    <w:rsid w:val="001D1B4E"/>
    <w:rsid w:val="001D37E9"/>
    <w:rsid w:val="001D6328"/>
    <w:rsid w:val="001F6AF4"/>
    <w:rsid w:val="002121EE"/>
    <w:rsid w:val="00227EAA"/>
    <w:rsid w:val="00232999"/>
    <w:rsid w:val="0024675A"/>
    <w:rsid w:val="00250D96"/>
    <w:rsid w:val="002A0B74"/>
    <w:rsid w:val="002A5EC8"/>
    <w:rsid w:val="002C29F0"/>
    <w:rsid w:val="002F066F"/>
    <w:rsid w:val="00306AE6"/>
    <w:rsid w:val="00306B95"/>
    <w:rsid w:val="00395AC5"/>
    <w:rsid w:val="003C674A"/>
    <w:rsid w:val="003C79E2"/>
    <w:rsid w:val="003E6CCA"/>
    <w:rsid w:val="003F61F4"/>
    <w:rsid w:val="00405265"/>
    <w:rsid w:val="004068CC"/>
    <w:rsid w:val="00440F5E"/>
    <w:rsid w:val="004446AB"/>
    <w:rsid w:val="004A059C"/>
    <w:rsid w:val="004A5293"/>
    <w:rsid w:val="004D3EB6"/>
    <w:rsid w:val="004F658F"/>
    <w:rsid w:val="00524E34"/>
    <w:rsid w:val="005338C6"/>
    <w:rsid w:val="00545B93"/>
    <w:rsid w:val="0055010C"/>
    <w:rsid w:val="005543F2"/>
    <w:rsid w:val="00557095"/>
    <w:rsid w:val="005909CE"/>
    <w:rsid w:val="005B4257"/>
    <w:rsid w:val="005E07A6"/>
    <w:rsid w:val="005E28EE"/>
    <w:rsid w:val="005E4AF9"/>
    <w:rsid w:val="00611A31"/>
    <w:rsid w:val="00611DFD"/>
    <w:rsid w:val="006369EC"/>
    <w:rsid w:val="00656D0C"/>
    <w:rsid w:val="006735EB"/>
    <w:rsid w:val="00677C77"/>
    <w:rsid w:val="00693796"/>
    <w:rsid w:val="006A3E58"/>
    <w:rsid w:val="006C1D24"/>
    <w:rsid w:val="007150AB"/>
    <w:rsid w:val="00733161"/>
    <w:rsid w:val="007415DC"/>
    <w:rsid w:val="007474F3"/>
    <w:rsid w:val="00763A1D"/>
    <w:rsid w:val="00776180"/>
    <w:rsid w:val="00781E33"/>
    <w:rsid w:val="007B53BB"/>
    <w:rsid w:val="007D3B2F"/>
    <w:rsid w:val="00822A9A"/>
    <w:rsid w:val="00837B29"/>
    <w:rsid w:val="0087793E"/>
    <w:rsid w:val="00886467"/>
    <w:rsid w:val="008C1473"/>
    <w:rsid w:val="008D08E7"/>
    <w:rsid w:val="008E26EB"/>
    <w:rsid w:val="00904888"/>
    <w:rsid w:val="00910D15"/>
    <w:rsid w:val="009259B3"/>
    <w:rsid w:val="00933FB3"/>
    <w:rsid w:val="00947A23"/>
    <w:rsid w:val="00953CF2"/>
    <w:rsid w:val="00974A63"/>
    <w:rsid w:val="009842E6"/>
    <w:rsid w:val="009854EA"/>
    <w:rsid w:val="009F1178"/>
    <w:rsid w:val="00A075C0"/>
    <w:rsid w:val="00A32DCF"/>
    <w:rsid w:val="00A409E8"/>
    <w:rsid w:val="00A72B02"/>
    <w:rsid w:val="00A7671B"/>
    <w:rsid w:val="00A83999"/>
    <w:rsid w:val="00A86418"/>
    <w:rsid w:val="00AA019E"/>
    <w:rsid w:val="00AA765F"/>
    <w:rsid w:val="00AB6E25"/>
    <w:rsid w:val="00AC40F5"/>
    <w:rsid w:val="00AE04AC"/>
    <w:rsid w:val="00AE2D75"/>
    <w:rsid w:val="00AE671B"/>
    <w:rsid w:val="00B06E5E"/>
    <w:rsid w:val="00B10613"/>
    <w:rsid w:val="00B22BC6"/>
    <w:rsid w:val="00B82CB2"/>
    <w:rsid w:val="00B94E84"/>
    <w:rsid w:val="00BB31E5"/>
    <w:rsid w:val="00BE3037"/>
    <w:rsid w:val="00C0572E"/>
    <w:rsid w:val="00C11040"/>
    <w:rsid w:val="00C122CF"/>
    <w:rsid w:val="00C12F6E"/>
    <w:rsid w:val="00C60747"/>
    <w:rsid w:val="00C80ACF"/>
    <w:rsid w:val="00C82FD9"/>
    <w:rsid w:val="00C86591"/>
    <w:rsid w:val="00CC31A6"/>
    <w:rsid w:val="00CD4741"/>
    <w:rsid w:val="00CE697B"/>
    <w:rsid w:val="00D077E4"/>
    <w:rsid w:val="00D10EBD"/>
    <w:rsid w:val="00D54338"/>
    <w:rsid w:val="00D576A8"/>
    <w:rsid w:val="00D82F5A"/>
    <w:rsid w:val="00D875E9"/>
    <w:rsid w:val="00DF7974"/>
    <w:rsid w:val="00E146A1"/>
    <w:rsid w:val="00E22017"/>
    <w:rsid w:val="00E27149"/>
    <w:rsid w:val="00E6699A"/>
    <w:rsid w:val="00E847D0"/>
    <w:rsid w:val="00E87EA8"/>
    <w:rsid w:val="00E9329D"/>
    <w:rsid w:val="00EA6BE8"/>
    <w:rsid w:val="00EC253E"/>
    <w:rsid w:val="00ED5B75"/>
    <w:rsid w:val="00ED609A"/>
    <w:rsid w:val="00EF5381"/>
    <w:rsid w:val="00F24C3C"/>
    <w:rsid w:val="00F46F19"/>
    <w:rsid w:val="00F65E03"/>
    <w:rsid w:val="00F75696"/>
    <w:rsid w:val="00F854BE"/>
    <w:rsid w:val="00F85907"/>
    <w:rsid w:val="00F9147B"/>
    <w:rsid w:val="00FB7CB6"/>
    <w:rsid w:val="00FC67AF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A2E59-5FBD-4167-999F-D6ED657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E303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3037"/>
    <w:rPr>
      <w:rFonts w:cs="Times New Roman"/>
      <w:b/>
      <w:bCs/>
      <w:sz w:val="27"/>
      <w:szCs w:val="27"/>
    </w:rPr>
  </w:style>
  <w:style w:type="character" w:customStyle="1" w:styleId="rvts9">
    <w:name w:val="rvts9"/>
    <w:basedOn w:val="a0"/>
    <w:rsid w:val="009F1178"/>
    <w:rPr>
      <w:rFonts w:cs="Times New Roman"/>
    </w:rPr>
  </w:style>
  <w:style w:type="character" w:customStyle="1" w:styleId="rvts15">
    <w:name w:val="rvts15"/>
    <w:basedOn w:val="a0"/>
    <w:rsid w:val="008D08E7"/>
    <w:rPr>
      <w:rFonts w:cs="Times New Roman"/>
    </w:rPr>
  </w:style>
  <w:style w:type="character" w:customStyle="1" w:styleId="apple-converted-space">
    <w:name w:val="apple-converted-space"/>
    <w:rsid w:val="00395AC5"/>
  </w:style>
  <w:style w:type="character" w:styleId="a3">
    <w:name w:val="Hyperlink"/>
    <w:basedOn w:val="a0"/>
    <w:uiPriority w:val="99"/>
    <w:unhideWhenUsed/>
    <w:rsid w:val="00395AC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22A9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822A9A"/>
    <w:rPr>
      <w:rFonts w:ascii="Calibri" w:hAnsi="Calibri"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rsid w:val="00822A9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822A9A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rvps2">
    <w:name w:val="rvps2"/>
    <w:basedOn w:val="a"/>
    <w:rsid w:val="00A72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37">
    <w:name w:val="rvts37"/>
    <w:rsid w:val="00A72B02"/>
  </w:style>
  <w:style w:type="paragraph" w:customStyle="1" w:styleId="Level1">
    <w:name w:val="Level 1"/>
    <w:basedOn w:val="a"/>
    <w:qFormat/>
    <w:rsid w:val="00763A1D"/>
    <w:pPr>
      <w:numPr>
        <w:ilvl w:val="1"/>
        <w:numId w:val="1"/>
      </w:numPr>
      <w:tabs>
        <w:tab w:val="left" w:pos="1170"/>
      </w:tabs>
      <w:spacing w:before="120" w:after="120" w:line="240" w:lineRule="auto"/>
      <w:ind w:firstLine="720"/>
      <w:jc w:val="both"/>
    </w:pPr>
    <w:rPr>
      <w:rFonts w:ascii="Times New Roman" w:eastAsia="MS Mincho" w:hAnsi="Times New Roman"/>
      <w:spacing w:val="2"/>
      <w:sz w:val="28"/>
      <w:szCs w:val="28"/>
    </w:rPr>
  </w:style>
  <w:style w:type="paragraph" w:customStyle="1" w:styleId="Level2">
    <w:name w:val="Level 2"/>
    <w:basedOn w:val="a"/>
    <w:qFormat/>
    <w:rsid w:val="00763A1D"/>
    <w:pPr>
      <w:numPr>
        <w:ilvl w:val="2"/>
        <w:numId w:val="1"/>
      </w:numPr>
      <w:tabs>
        <w:tab w:val="left" w:pos="117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color w:val="000000"/>
      <w:spacing w:val="2"/>
      <w:sz w:val="28"/>
      <w:szCs w:val="28"/>
    </w:rPr>
  </w:style>
  <w:style w:type="paragraph" w:customStyle="1" w:styleId="Level3">
    <w:name w:val="Level 3"/>
    <w:basedOn w:val="a"/>
    <w:qFormat/>
    <w:rsid w:val="00763A1D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MS Mincho" w:hAnsi="Times New Roman"/>
      <w:spacing w:val="2"/>
      <w:sz w:val="28"/>
      <w:szCs w:val="28"/>
    </w:rPr>
  </w:style>
  <w:style w:type="paragraph" w:customStyle="1" w:styleId="Level0">
    <w:name w:val="Level 0"/>
    <w:basedOn w:val="a"/>
    <w:qFormat/>
    <w:rsid w:val="00763A1D"/>
    <w:pPr>
      <w:keepNext/>
      <w:numPr>
        <w:numId w:val="1"/>
      </w:numPr>
      <w:spacing w:before="120" w:after="120"/>
      <w:ind w:left="2117" w:hanging="1411"/>
      <w:jc w:val="both"/>
    </w:pPr>
    <w:rPr>
      <w:rFonts w:ascii="Times New Roman" w:eastAsia="MS Mincho" w:hAnsi="Times New Roman"/>
      <w:b/>
      <w:bCs/>
      <w:sz w:val="28"/>
      <w:szCs w:val="19"/>
    </w:rPr>
  </w:style>
  <w:style w:type="paragraph" w:customStyle="1" w:styleId="StyleZakonu">
    <w:name w:val="StyleZakonu"/>
    <w:basedOn w:val="a"/>
    <w:link w:val="StyleZakonu0"/>
    <w:rsid w:val="00440F5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440F5E"/>
    <w:rPr>
      <w:lang w:val="x-none" w:eastAsia="ru-RU"/>
    </w:rPr>
  </w:style>
  <w:style w:type="character" w:customStyle="1" w:styleId="a8">
    <w:name w:val="_"/>
    <w:basedOn w:val="a0"/>
    <w:rsid w:val="00910D15"/>
  </w:style>
  <w:style w:type="paragraph" w:styleId="a9">
    <w:name w:val="Balloon Text"/>
    <w:basedOn w:val="a"/>
    <w:link w:val="aa"/>
    <w:rsid w:val="00D0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rsid w:val="00D077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473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73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461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732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://zakon2.rada.gov.ua/laws/show/2456-17/paran2001" TargetMode="External"/><Relationship Id="rId26" Type="http://schemas.openxmlformats.org/officeDocument/2006/relationships/hyperlink" Target="http://zakon2.rada.gov.ua/laws/show/2456-17/paran2001" TargetMode="External"/><Relationship Id="rId39" Type="http://schemas.openxmlformats.org/officeDocument/2006/relationships/hyperlink" Target="https://zakon.rada.gov.ua/laws/show/2456-17" TargetMode="External"/><Relationship Id="rId21" Type="http://schemas.openxmlformats.org/officeDocument/2006/relationships/hyperlink" Target="https://zakon.rada.gov.ua/laws/show/2456-17" TargetMode="External"/><Relationship Id="rId34" Type="http://schemas.openxmlformats.org/officeDocument/2006/relationships/hyperlink" Target="https://zakon.rada.gov.ua/laws/show/2456-17" TargetMode="External"/><Relationship Id="rId42" Type="http://schemas.openxmlformats.org/officeDocument/2006/relationships/hyperlink" Target="https://zakon.rada.gov.ua/laws/show/2456-17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456-17" TargetMode="External"/><Relationship Id="rId29" Type="http://schemas.openxmlformats.org/officeDocument/2006/relationships/hyperlink" Target="https://zakon.rada.gov.ua/laws/show/2456-17" TargetMode="External"/><Relationship Id="rId11" Type="http://schemas.openxmlformats.org/officeDocument/2006/relationships/hyperlink" Target="https://zakon.rada.gov.ua/laws/show/2456-17" TargetMode="External"/><Relationship Id="rId24" Type="http://schemas.openxmlformats.org/officeDocument/2006/relationships/hyperlink" Target="https://zakon.rada.gov.ua/laws/show/2456-17" TargetMode="External"/><Relationship Id="rId32" Type="http://schemas.openxmlformats.org/officeDocument/2006/relationships/hyperlink" Target="https://zakon.rada.gov.ua/laws/show/2456-17" TargetMode="External"/><Relationship Id="rId37" Type="http://schemas.openxmlformats.org/officeDocument/2006/relationships/hyperlink" Target="https://zakon.rada.gov.ua/laws/show/2456-17" TargetMode="External"/><Relationship Id="rId40" Type="http://schemas.openxmlformats.org/officeDocument/2006/relationships/hyperlink" Target="https://zakon.rada.gov.ua/laws/show/2456-17" TargetMode="External"/><Relationship Id="rId45" Type="http://schemas.openxmlformats.org/officeDocument/2006/relationships/hyperlink" Target="https://zakon.rada.gov.ua/laws/show/2456-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2456-17" TargetMode="External"/><Relationship Id="rId23" Type="http://schemas.openxmlformats.org/officeDocument/2006/relationships/hyperlink" Target="https://zakon.rada.gov.ua/laws/show/2456-17" TargetMode="External"/><Relationship Id="rId28" Type="http://schemas.openxmlformats.org/officeDocument/2006/relationships/hyperlink" Target="https://zakon.rada.gov.ua/laws/show/2456-17" TargetMode="External"/><Relationship Id="rId36" Type="http://schemas.openxmlformats.org/officeDocument/2006/relationships/hyperlink" Target="https://zakon.rada.gov.ua/laws/show/2456-17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2456-17" TargetMode="External"/><Relationship Id="rId31" Type="http://schemas.openxmlformats.org/officeDocument/2006/relationships/hyperlink" Target="https://zakon.rada.gov.ua/laws/show/2456-17" TargetMode="External"/><Relationship Id="rId44" Type="http://schemas.openxmlformats.org/officeDocument/2006/relationships/hyperlink" Target="https://zakon.rada.gov.ua/laws/show/2456-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456-17" TargetMode="External"/><Relationship Id="rId22" Type="http://schemas.openxmlformats.org/officeDocument/2006/relationships/hyperlink" Target="https://zakon.rada.gov.ua/laws/show/2456-17" TargetMode="External"/><Relationship Id="rId27" Type="http://schemas.openxmlformats.org/officeDocument/2006/relationships/hyperlink" Target="https://zakon.rada.gov.ua/laws/show/2456-17" TargetMode="External"/><Relationship Id="rId30" Type="http://schemas.openxmlformats.org/officeDocument/2006/relationships/hyperlink" Target="https://zakon.rada.gov.ua/laws/show/2456-17" TargetMode="External"/><Relationship Id="rId35" Type="http://schemas.openxmlformats.org/officeDocument/2006/relationships/hyperlink" Target="https://zakon.rada.gov.ua/laws/show/2456-17" TargetMode="External"/><Relationship Id="rId43" Type="http://schemas.openxmlformats.org/officeDocument/2006/relationships/hyperlink" Target="https://zakon.rada.gov.ua/laws/show/2456-17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://zakon2.rada.gov.ua/laws/show/2456-17/paran2001" TargetMode="External"/><Relationship Id="rId25" Type="http://schemas.openxmlformats.org/officeDocument/2006/relationships/hyperlink" Target="http://zakon2.rada.gov.ua/laws/show/2456-17/paran2001" TargetMode="External"/><Relationship Id="rId33" Type="http://schemas.openxmlformats.org/officeDocument/2006/relationships/hyperlink" Target="https://zakon.rada.gov.ua/laws/show/2456-17" TargetMode="External"/><Relationship Id="rId38" Type="http://schemas.openxmlformats.org/officeDocument/2006/relationships/hyperlink" Target="https://zakon.rada.gov.ua/laws/show/2456-17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zakon.rada.gov.ua/laws/show/2456-17" TargetMode="External"/><Relationship Id="rId41" Type="http://schemas.openxmlformats.org/officeDocument/2006/relationships/hyperlink" Target="https://zakon.rada.gov.ua/laws/show/2456-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976-2649-4F08-A054-DFEC38C0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7D85-8FD3-4CA2-BFAD-9EA0CC907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38476-7740-4EA1-837D-861F052EF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99E3B-7F13-4CB4-8BD9-A25464F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8612</Words>
  <Characters>4910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2020-07-30T14:41:00Z</dcterms:created>
  <dcterms:modified xsi:type="dcterms:W3CDTF">2020-07-30T14:41:00Z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