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7E" w:rsidRPr="00B938DB" w:rsidRDefault="00FD417E" w:rsidP="00FD417E">
      <w:pPr>
        <w:spacing w:after="0" w:line="240" w:lineRule="auto"/>
        <w:jc w:val="center"/>
        <w:rPr>
          <w:rStyle w:val="10"/>
          <w:rFonts w:ascii="Times New Roman" w:eastAsia="Times New Roman" w:hAnsi="Times New Roman"/>
          <w:b/>
          <w:sz w:val="28"/>
          <w:szCs w:val="28"/>
          <w:lang w:val="uk-UA" w:eastAsia="uk-UA"/>
        </w:rPr>
      </w:pPr>
      <w:r w:rsidRPr="00B938DB">
        <w:rPr>
          <w:rStyle w:val="10"/>
          <w:rFonts w:ascii="Times New Roman" w:eastAsia="Times New Roman" w:hAnsi="Times New Roman"/>
          <w:b/>
          <w:sz w:val="28"/>
          <w:szCs w:val="28"/>
          <w:lang w:val="uk-UA" w:eastAsia="uk-UA"/>
        </w:rPr>
        <w:t>на пропозиції Президента України</w:t>
      </w:r>
      <w:r w:rsidRPr="00B938DB">
        <w:rPr>
          <w:rStyle w:val="10"/>
          <w:rFonts w:ascii="Times New Roman" w:eastAsia="Times New Roman" w:hAnsi="Times New Roman"/>
          <w:sz w:val="28"/>
          <w:szCs w:val="28"/>
          <w:lang w:val="uk-UA" w:eastAsia="uk-UA"/>
        </w:rPr>
        <w:t xml:space="preserve"> </w:t>
      </w:r>
      <w:r w:rsidRPr="00B938DB">
        <w:rPr>
          <w:rStyle w:val="10"/>
          <w:rFonts w:ascii="Times New Roman" w:eastAsia="Times New Roman" w:hAnsi="Times New Roman"/>
          <w:b/>
          <w:sz w:val="28"/>
          <w:szCs w:val="28"/>
          <w:lang w:val="uk-UA" w:eastAsia="uk-UA"/>
        </w:rPr>
        <w:t>до</w:t>
      </w:r>
    </w:p>
    <w:p w:rsidR="00FD417E" w:rsidRPr="00B938DB" w:rsidRDefault="00FD417E" w:rsidP="00FD417E">
      <w:pPr>
        <w:pStyle w:val="1"/>
        <w:jc w:val="center"/>
        <w:rPr>
          <w:rStyle w:val="10"/>
          <w:b/>
          <w:sz w:val="28"/>
          <w:szCs w:val="28"/>
        </w:rPr>
      </w:pPr>
      <w:r w:rsidRPr="00B938DB">
        <w:rPr>
          <w:rStyle w:val="10"/>
          <w:b/>
          <w:sz w:val="28"/>
          <w:szCs w:val="28"/>
        </w:rPr>
        <w:t>Закону України «Про внесення зміни до статті 59</w:t>
      </w:r>
      <w:r w:rsidRPr="00B938DB">
        <w:rPr>
          <w:rStyle w:val="10"/>
          <w:b/>
          <w:sz w:val="28"/>
          <w:szCs w:val="28"/>
          <w:vertAlign w:val="superscript"/>
        </w:rPr>
        <w:t>1</w:t>
      </w:r>
      <w:r w:rsidRPr="00B938DB">
        <w:rPr>
          <w:rStyle w:val="10"/>
          <w:b/>
          <w:sz w:val="28"/>
          <w:szCs w:val="28"/>
        </w:rPr>
        <w:t xml:space="preserve"> </w:t>
      </w:r>
    </w:p>
    <w:p w:rsidR="00FD417E" w:rsidRPr="00B938DB" w:rsidRDefault="00FD417E" w:rsidP="00FD417E">
      <w:pPr>
        <w:pStyle w:val="1"/>
        <w:jc w:val="center"/>
        <w:rPr>
          <w:rStyle w:val="10"/>
          <w:b/>
          <w:sz w:val="28"/>
          <w:szCs w:val="28"/>
        </w:rPr>
      </w:pPr>
      <w:r w:rsidRPr="00B938DB">
        <w:rPr>
          <w:rStyle w:val="10"/>
          <w:b/>
          <w:sz w:val="28"/>
          <w:szCs w:val="28"/>
        </w:rPr>
        <w:t xml:space="preserve">Закону України «Про місцеве самоврядування в Україні» </w:t>
      </w:r>
    </w:p>
    <w:p w:rsidR="00FD417E" w:rsidRPr="00B938DB" w:rsidRDefault="00FD417E" w:rsidP="00FD417E">
      <w:pPr>
        <w:pStyle w:val="1"/>
        <w:jc w:val="center"/>
        <w:rPr>
          <w:rStyle w:val="10"/>
          <w:b/>
          <w:sz w:val="28"/>
          <w:szCs w:val="28"/>
        </w:rPr>
      </w:pPr>
      <w:r w:rsidRPr="00B938DB">
        <w:rPr>
          <w:rStyle w:val="10"/>
          <w:b/>
          <w:sz w:val="28"/>
          <w:szCs w:val="28"/>
        </w:rPr>
        <w:t xml:space="preserve">щодо врегулювання конфлікту інтересів у діяльності депутатів </w:t>
      </w:r>
    </w:p>
    <w:p w:rsidR="00FD417E" w:rsidRPr="00B938DB" w:rsidRDefault="00FD417E" w:rsidP="00FD417E">
      <w:pPr>
        <w:pStyle w:val="1"/>
        <w:spacing w:after="120"/>
        <w:jc w:val="center"/>
        <w:rPr>
          <w:rStyle w:val="10"/>
          <w:b/>
          <w:sz w:val="28"/>
          <w:szCs w:val="28"/>
        </w:rPr>
      </w:pPr>
      <w:r w:rsidRPr="00B938DB">
        <w:rPr>
          <w:rStyle w:val="10"/>
          <w:b/>
          <w:sz w:val="28"/>
          <w:szCs w:val="28"/>
        </w:rPr>
        <w:t>місцевих рад та сільських, селищних, міських голів»</w:t>
      </w:r>
    </w:p>
    <w:p w:rsidR="00FD417E" w:rsidRPr="00FD417E" w:rsidRDefault="00FD417E" w:rsidP="00FD417E">
      <w:pPr>
        <w:spacing w:after="120" w:line="240" w:lineRule="auto"/>
        <w:jc w:val="center"/>
        <w:rPr>
          <w:rFonts w:ascii="Times New Roman" w:hAnsi="Times New Roman"/>
          <w:i/>
          <w:sz w:val="28"/>
          <w:szCs w:val="28"/>
          <w:lang w:val="uk-UA"/>
        </w:rPr>
      </w:pPr>
      <w:r w:rsidRPr="00FD417E">
        <w:rPr>
          <w:rFonts w:ascii="Times New Roman" w:hAnsi="Times New Roman"/>
          <w:i/>
          <w:sz w:val="28"/>
          <w:szCs w:val="28"/>
          <w:lang w:val="uk-UA"/>
        </w:rPr>
        <w:t>(до реєстр. № 3034а)</w:t>
      </w:r>
    </w:p>
    <w:p w:rsidR="00FD417E" w:rsidRPr="00FD417E" w:rsidRDefault="00FD417E" w:rsidP="00FD417E">
      <w:pPr>
        <w:jc w:val="center"/>
        <w:rPr>
          <w:sz w:val="16"/>
          <w:szCs w:val="16"/>
          <w:lang w:val="uk-UA"/>
        </w:rPr>
      </w:pPr>
      <w:r w:rsidRPr="00FD417E">
        <w:rPr>
          <w:sz w:val="16"/>
          <w:szCs w:val="16"/>
          <w:lang w:val="uk-UA"/>
        </w:rPr>
        <w:t>____________________________________________________________________________________________________________________</w:t>
      </w:r>
    </w:p>
    <w:p w:rsidR="00FD417E" w:rsidRPr="00B938DB" w:rsidRDefault="00FD417E" w:rsidP="00437DF5">
      <w:pPr>
        <w:pStyle w:val="1"/>
        <w:spacing w:line="264" w:lineRule="auto"/>
        <w:ind w:firstLine="709"/>
        <w:rPr>
          <w:sz w:val="28"/>
          <w:szCs w:val="28"/>
          <w:lang w:eastAsia="ru-RU"/>
        </w:rPr>
      </w:pPr>
      <w:r w:rsidRPr="00B938DB">
        <w:rPr>
          <w:sz w:val="28"/>
          <w:szCs w:val="28"/>
          <w:lang w:eastAsia="ru-RU"/>
        </w:rPr>
        <w:t xml:space="preserve">Комітет з питань організації державної влади, місцевого самоврядування, регіонального розвитку та містобудування за дорученням Голови Верховної Ради України </w:t>
      </w:r>
      <w:proofErr w:type="spellStart"/>
      <w:r w:rsidRPr="00B938DB">
        <w:rPr>
          <w:sz w:val="28"/>
          <w:szCs w:val="28"/>
          <w:lang w:eastAsia="ru-RU"/>
        </w:rPr>
        <w:t>Д.Разумкова</w:t>
      </w:r>
      <w:proofErr w:type="spellEnd"/>
      <w:r w:rsidRPr="00B938DB">
        <w:rPr>
          <w:sz w:val="28"/>
          <w:szCs w:val="28"/>
          <w:lang w:eastAsia="ru-RU"/>
        </w:rPr>
        <w:t xml:space="preserve"> розглянув </w:t>
      </w:r>
      <w:r w:rsidR="000310B2">
        <w:rPr>
          <w:sz w:val="28"/>
          <w:szCs w:val="28"/>
          <w:lang w:eastAsia="ru-RU"/>
        </w:rPr>
        <w:t xml:space="preserve">на своєму засіданні </w:t>
      </w:r>
      <w:r w:rsidR="007A66FA">
        <w:rPr>
          <w:sz w:val="28"/>
          <w:szCs w:val="28"/>
          <w:lang w:eastAsia="ru-RU"/>
        </w:rPr>
        <w:t xml:space="preserve">   </w:t>
      </w:r>
      <w:r w:rsidR="000310B2">
        <w:rPr>
          <w:sz w:val="28"/>
          <w:szCs w:val="28"/>
          <w:lang w:eastAsia="ru-RU"/>
        </w:rPr>
        <w:t xml:space="preserve">12 лютого 2021 року (протокол № 61) </w:t>
      </w:r>
      <w:r w:rsidRPr="00B938DB">
        <w:rPr>
          <w:sz w:val="28"/>
          <w:szCs w:val="28"/>
          <w:lang w:eastAsia="ru-RU"/>
        </w:rPr>
        <w:t xml:space="preserve">пропозиції Президента України </w:t>
      </w:r>
      <w:r w:rsidRPr="00B938DB">
        <w:rPr>
          <w:rStyle w:val="10"/>
          <w:sz w:val="28"/>
          <w:szCs w:val="28"/>
        </w:rPr>
        <w:t>до Закону України «</w:t>
      </w:r>
      <w:r w:rsidRPr="00B938DB">
        <w:rPr>
          <w:sz w:val="28"/>
          <w:szCs w:val="28"/>
          <w:lang w:eastAsia="ru-RU"/>
        </w:rPr>
        <w:t>Про внесення зміни до статті 59</w:t>
      </w:r>
      <w:r w:rsidRPr="00B938DB">
        <w:rPr>
          <w:sz w:val="28"/>
          <w:szCs w:val="28"/>
          <w:vertAlign w:val="superscript"/>
          <w:lang w:eastAsia="ru-RU"/>
        </w:rPr>
        <w:t>1</w:t>
      </w:r>
      <w:r w:rsidRPr="00B938DB">
        <w:rPr>
          <w:sz w:val="28"/>
          <w:szCs w:val="28"/>
          <w:lang w:eastAsia="ru-RU"/>
        </w:rPr>
        <w:t xml:space="preserve"> Закону України «Про місцеве самоврядування в Україні» щодо врегулювання конфлікту інтересів у діяльності депутатів місцевих рад та сільських, селищних, міських голів» (реєстр. № 3034а), прийнятого Верховною Радою України 3 грудня 2020 року. </w:t>
      </w:r>
    </w:p>
    <w:p w:rsidR="00FD417E" w:rsidRPr="00B938DB" w:rsidRDefault="00FD417E" w:rsidP="00437DF5">
      <w:pPr>
        <w:spacing w:after="0" w:line="264" w:lineRule="auto"/>
        <w:ind w:firstLine="709"/>
        <w:jc w:val="both"/>
        <w:rPr>
          <w:rFonts w:ascii="Times New Roman" w:eastAsia="Times New Roman" w:hAnsi="Times New Roman"/>
          <w:sz w:val="28"/>
          <w:szCs w:val="28"/>
          <w:lang w:val="uk-UA" w:eastAsia="ru-RU"/>
        </w:rPr>
      </w:pPr>
      <w:r w:rsidRPr="00B938DB">
        <w:rPr>
          <w:rFonts w:ascii="Times New Roman" w:eastAsia="Times New Roman" w:hAnsi="Times New Roman"/>
          <w:sz w:val="28"/>
          <w:szCs w:val="28"/>
          <w:lang w:val="uk-UA" w:eastAsia="ru-RU"/>
        </w:rPr>
        <w:t>Президент України зазначає, що прийнятий Закон не може бути підписаний, виходячи з такого.</w:t>
      </w:r>
    </w:p>
    <w:p w:rsidR="00FD417E" w:rsidRPr="00B938DB" w:rsidRDefault="00FD417E" w:rsidP="00437DF5">
      <w:pPr>
        <w:spacing w:after="0" w:line="264" w:lineRule="auto"/>
        <w:ind w:firstLine="709"/>
        <w:jc w:val="both"/>
        <w:rPr>
          <w:rFonts w:ascii="Times New Roman" w:eastAsia="Times New Roman" w:hAnsi="Times New Roman"/>
          <w:sz w:val="28"/>
          <w:szCs w:val="28"/>
          <w:lang w:val="uk-UA" w:eastAsia="ru-RU"/>
        </w:rPr>
      </w:pPr>
      <w:r w:rsidRPr="00B938DB">
        <w:rPr>
          <w:rFonts w:ascii="Times New Roman" w:eastAsia="Times New Roman" w:hAnsi="Times New Roman"/>
          <w:sz w:val="28"/>
          <w:szCs w:val="28"/>
          <w:lang w:val="uk-UA" w:eastAsia="ru-RU"/>
        </w:rPr>
        <w:t>Законом, що надійшов на підпис, передбачається, що врегулювання конфлікту інтересів у діяльності сільських, селищних, міських голів, секретарів, депутатів сільської, селищної, міської ради, заступника голови, депутатів  районної, обласної, районної у місті ради здійснюється відповідно до Закону України «Про запобігання корупції».</w:t>
      </w:r>
    </w:p>
    <w:p w:rsidR="00FD417E" w:rsidRPr="00B938DB" w:rsidRDefault="00FD417E" w:rsidP="00437DF5">
      <w:pPr>
        <w:pStyle w:val="1"/>
        <w:spacing w:line="264" w:lineRule="auto"/>
        <w:ind w:firstLine="709"/>
        <w:rPr>
          <w:rStyle w:val="10"/>
          <w:spacing w:val="-3"/>
          <w:sz w:val="28"/>
          <w:szCs w:val="28"/>
        </w:rPr>
      </w:pPr>
      <w:r w:rsidRPr="00B938DB">
        <w:rPr>
          <w:rStyle w:val="10"/>
          <w:spacing w:val="-3"/>
          <w:sz w:val="28"/>
          <w:szCs w:val="28"/>
        </w:rPr>
        <w:t xml:space="preserve"> </w:t>
      </w:r>
      <w:r w:rsidRPr="00B938DB">
        <w:rPr>
          <w:bCs/>
          <w:sz w:val="28"/>
          <w:szCs w:val="28"/>
          <w:lang w:eastAsia="ru-RU"/>
        </w:rPr>
        <w:t xml:space="preserve">Глава держави зауважує, що </w:t>
      </w:r>
      <w:r w:rsidRPr="00B938DB">
        <w:rPr>
          <w:rStyle w:val="10"/>
          <w:spacing w:val="-3"/>
          <w:sz w:val="28"/>
          <w:szCs w:val="28"/>
        </w:rPr>
        <w:t xml:space="preserve">Закон України «Про запобігання корупції», визначаючи загальні вимоги щодо запобігання та врегулювання конфлікту інтересів, які поширюються на осіб, уповноважених на виконання функцій держави або місцевого самоврядування, та прирівняних до них осіб, водночас встановлює, що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w:t>
      </w:r>
      <w:r w:rsidRPr="00B938DB">
        <w:rPr>
          <w:rStyle w:val="10"/>
          <w:spacing w:val="-3"/>
          <w:sz w:val="28"/>
          <w:szCs w:val="28"/>
        </w:rPr>
        <w:lastRenderedPageBreak/>
        <w:t>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 (частина сьома статті 28).</w:t>
      </w:r>
    </w:p>
    <w:p w:rsidR="00FD417E" w:rsidRPr="00B938DB" w:rsidRDefault="00FD417E" w:rsidP="00437DF5">
      <w:pPr>
        <w:pStyle w:val="1"/>
        <w:spacing w:line="264" w:lineRule="auto"/>
        <w:ind w:firstLine="709"/>
        <w:rPr>
          <w:rStyle w:val="10"/>
          <w:sz w:val="28"/>
          <w:szCs w:val="28"/>
        </w:rPr>
      </w:pPr>
      <w:r w:rsidRPr="00B938DB">
        <w:rPr>
          <w:rStyle w:val="10"/>
          <w:sz w:val="28"/>
          <w:szCs w:val="28"/>
        </w:rPr>
        <w:t>Відтак</w:t>
      </w:r>
      <w:r w:rsidRPr="00B938DB">
        <w:rPr>
          <w:rStyle w:val="10"/>
          <w:spacing w:val="-3"/>
          <w:sz w:val="28"/>
          <w:szCs w:val="28"/>
        </w:rPr>
        <w:t xml:space="preserve"> порядок та шляхи врегулювання конфлікту інтересів у діяльності сільських, селищних, міських голів, секретарів, депутатів сільської, селищної, міської ради, голови, заступника голови, депутатів районної, обласної, районної у місті ради</w:t>
      </w:r>
      <w:r w:rsidRPr="00B938DB">
        <w:rPr>
          <w:rStyle w:val="10"/>
          <w:sz w:val="28"/>
          <w:szCs w:val="28"/>
        </w:rPr>
        <w:t xml:space="preserve"> мають бути унормовані у Законі України «Про місцеве самоврядування в Україні», який відповідно до Конституції України визначає  засади організації та діяльності, правового статусу і відповідальності органів та посадових осіб місцевого самоврядування.</w:t>
      </w:r>
    </w:p>
    <w:p w:rsidR="00FD417E" w:rsidRPr="00B938DB" w:rsidRDefault="00FD417E" w:rsidP="00437DF5">
      <w:pPr>
        <w:pStyle w:val="1"/>
        <w:spacing w:line="264" w:lineRule="auto"/>
        <w:ind w:firstLine="709"/>
        <w:rPr>
          <w:rStyle w:val="10"/>
          <w:sz w:val="28"/>
          <w:szCs w:val="28"/>
        </w:rPr>
      </w:pPr>
      <w:r w:rsidRPr="00B938DB">
        <w:rPr>
          <w:rStyle w:val="10"/>
          <w:sz w:val="28"/>
          <w:szCs w:val="28"/>
        </w:rPr>
        <w:t>Крім того, Президент України наголошує на тому, що поза увагою Закону залишилося питання врегулювання конфлікту інтересів у діяльності голів обласних, районних, районних у містах рад.</w:t>
      </w:r>
    </w:p>
    <w:p w:rsidR="00FD417E" w:rsidRPr="00B938DB" w:rsidRDefault="00FD417E" w:rsidP="00437DF5">
      <w:pPr>
        <w:pStyle w:val="1"/>
        <w:spacing w:line="264" w:lineRule="auto"/>
        <w:ind w:firstLine="709"/>
        <w:rPr>
          <w:rStyle w:val="10"/>
          <w:sz w:val="28"/>
          <w:szCs w:val="28"/>
        </w:rPr>
      </w:pPr>
      <w:r w:rsidRPr="00B938DB">
        <w:rPr>
          <w:rStyle w:val="10"/>
          <w:sz w:val="28"/>
          <w:szCs w:val="28"/>
        </w:rPr>
        <w:t xml:space="preserve">Відтак на голів обласних, районних, районних у містах рад як посадових осіб місцевого самоврядування мають поширюватися вимоги Закону України «Про запобігання корупції», у тому числі щодо врегулювання </w:t>
      </w:r>
      <w:r w:rsidRPr="00B938DB">
        <w:rPr>
          <w:rStyle w:val="10"/>
          <w:spacing w:val="-3"/>
          <w:sz w:val="28"/>
          <w:szCs w:val="28"/>
        </w:rPr>
        <w:t>конфлікту інтересів.</w:t>
      </w:r>
    </w:p>
    <w:p w:rsidR="00FD417E" w:rsidRPr="00B938DB" w:rsidRDefault="00FD417E" w:rsidP="00437DF5">
      <w:pPr>
        <w:spacing w:after="0" w:line="264" w:lineRule="auto"/>
        <w:ind w:firstLine="709"/>
        <w:jc w:val="both"/>
        <w:rPr>
          <w:rStyle w:val="10"/>
          <w:rFonts w:ascii="Times New Roman" w:eastAsia="Times New Roman" w:hAnsi="Times New Roman"/>
          <w:spacing w:val="-3"/>
          <w:sz w:val="28"/>
          <w:szCs w:val="28"/>
          <w:lang w:val="uk-UA" w:eastAsia="uk-UA"/>
        </w:rPr>
      </w:pPr>
      <w:r w:rsidRPr="00B938DB">
        <w:rPr>
          <w:rStyle w:val="10"/>
          <w:rFonts w:ascii="Times New Roman" w:eastAsia="Times New Roman" w:hAnsi="Times New Roman"/>
          <w:spacing w:val="-3"/>
          <w:sz w:val="28"/>
          <w:szCs w:val="28"/>
          <w:lang w:val="uk-UA" w:eastAsia="uk-UA"/>
        </w:rPr>
        <w:t>З огляду на зазначене, Президент України пропонує пункт 1 Закону викласти у новій редакції.</w:t>
      </w:r>
    </w:p>
    <w:p w:rsidR="00FD417E" w:rsidRPr="00B938DB" w:rsidRDefault="00FD417E" w:rsidP="00437DF5">
      <w:pPr>
        <w:spacing w:after="0" w:line="264" w:lineRule="auto"/>
        <w:ind w:firstLine="709"/>
        <w:jc w:val="both"/>
        <w:rPr>
          <w:rStyle w:val="10"/>
          <w:rFonts w:ascii="Times New Roman" w:eastAsia="Times New Roman" w:hAnsi="Times New Roman"/>
          <w:spacing w:val="-3"/>
          <w:sz w:val="28"/>
          <w:szCs w:val="28"/>
          <w:lang w:val="uk-UA" w:eastAsia="uk-UA"/>
        </w:rPr>
      </w:pPr>
      <w:r w:rsidRPr="00B938DB">
        <w:rPr>
          <w:rStyle w:val="10"/>
          <w:rFonts w:ascii="Times New Roman" w:eastAsia="Times New Roman" w:hAnsi="Times New Roman"/>
          <w:spacing w:val="-3"/>
          <w:sz w:val="28"/>
          <w:szCs w:val="28"/>
          <w:lang w:val="uk-UA" w:eastAsia="uk-UA"/>
        </w:rPr>
        <w:t>Головне науково-експертне управління Апарату Верховної Ради України у своєму висновку погоджується з аргументацією Глави держави, разом з тим, вказуючи на необхідність додаткового узгодження даних Пропозицій з чинною нормою частини другої статті 35</w:t>
      </w:r>
      <w:r w:rsidRPr="00A919AD">
        <w:rPr>
          <w:rStyle w:val="10"/>
          <w:rFonts w:ascii="Times New Roman" w:eastAsia="Times New Roman" w:hAnsi="Times New Roman"/>
          <w:spacing w:val="-3"/>
          <w:sz w:val="28"/>
          <w:szCs w:val="28"/>
          <w:vertAlign w:val="superscript"/>
          <w:lang w:val="uk-UA" w:eastAsia="uk-UA"/>
        </w:rPr>
        <w:t>1</w:t>
      </w:r>
      <w:r w:rsidRPr="00B938DB">
        <w:rPr>
          <w:rStyle w:val="10"/>
          <w:rFonts w:ascii="Times New Roman" w:eastAsia="Times New Roman" w:hAnsi="Times New Roman"/>
          <w:spacing w:val="-3"/>
          <w:sz w:val="28"/>
          <w:szCs w:val="28"/>
          <w:lang w:val="uk-UA" w:eastAsia="uk-UA"/>
        </w:rPr>
        <w:t xml:space="preserve"> Закону України «Про запобігання корупції».</w:t>
      </w:r>
    </w:p>
    <w:p w:rsidR="009825D3" w:rsidRPr="009825D3" w:rsidRDefault="00CC0585" w:rsidP="00437DF5">
      <w:pPr>
        <w:spacing w:after="0" w:line="264" w:lineRule="auto"/>
        <w:ind w:firstLine="709"/>
        <w:jc w:val="both"/>
        <w:rPr>
          <w:rStyle w:val="10"/>
          <w:rFonts w:ascii="Times New Roman" w:eastAsia="Times New Roman" w:hAnsi="Times New Roman"/>
          <w:sz w:val="28"/>
          <w:szCs w:val="28"/>
          <w:lang w:val="uk-UA" w:eastAsia="uk-UA"/>
        </w:rPr>
      </w:pPr>
      <w:r w:rsidRPr="00CC0585">
        <w:rPr>
          <w:rFonts w:ascii="Times New Roman" w:eastAsia="Times New Roman" w:hAnsi="Times New Roman"/>
          <w:bCs/>
          <w:spacing w:val="-2"/>
          <w:sz w:val="28"/>
          <w:szCs w:val="28"/>
          <w:lang w:val="uk-UA" w:eastAsia="ru-RU"/>
        </w:rPr>
        <w:t xml:space="preserve">Заслухавши інформацію підкомітету з питань </w:t>
      </w:r>
      <w:r>
        <w:rPr>
          <w:rFonts w:ascii="Times New Roman" w:eastAsia="Times New Roman" w:hAnsi="Times New Roman"/>
          <w:bCs/>
          <w:spacing w:val="-2"/>
          <w:sz w:val="28"/>
          <w:szCs w:val="28"/>
          <w:lang w:val="uk-UA" w:eastAsia="ru-RU"/>
        </w:rPr>
        <w:t xml:space="preserve">місцевого самоврядування та органів самоорганізації населення, </w:t>
      </w:r>
      <w:r w:rsidRPr="00CC0585">
        <w:rPr>
          <w:rFonts w:ascii="Times New Roman" w:eastAsia="Times New Roman" w:hAnsi="Times New Roman"/>
          <w:bCs/>
          <w:spacing w:val="-2"/>
          <w:sz w:val="28"/>
          <w:szCs w:val="28"/>
          <w:lang w:val="uk-UA" w:eastAsia="ru-RU"/>
        </w:rPr>
        <w:t xml:space="preserve">взявши до уваги висновок Головного науково-експертного управління Апарату Верховної Ради України, з’ясувавши позицію народних депутатів України - членів Комітету, запрошених на засідання осіб та всебічно обговоривши питання, </w:t>
      </w:r>
      <w:r w:rsidRPr="00CC0585">
        <w:rPr>
          <w:rFonts w:ascii="Times New Roman" w:eastAsia="Times New Roman" w:hAnsi="Times New Roman"/>
          <w:sz w:val="28"/>
          <w:szCs w:val="28"/>
          <w:lang w:val="uk-UA" w:eastAsia="ru-RU"/>
        </w:rPr>
        <w:t>Комітет ухвалив висновок</w:t>
      </w:r>
      <w:r>
        <w:rPr>
          <w:rFonts w:ascii="Times New Roman" w:eastAsia="Times New Roman" w:hAnsi="Times New Roman"/>
          <w:bCs/>
          <w:spacing w:val="-2"/>
          <w:sz w:val="28"/>
          <w:szCs w:val="28"/>
          <w:lang w:val="uk-UA" w:eastAsia="ru-RU"/>
        </w:rPr>
        <w:t xml:space="preserve"> </w:t>
      </w:r>
      <w:r w:rsidR="009825D3" w:rsidRPr="009825D3">
        <w:rPr>
          <w:rStyle w:val="10"/>
          <w:rFonts w:ascii="Times New Roman" w:eastAsia="Times New Roman" w:hAnsi="Times New Roman"/>
          <w:sz w:val="28"/>
          <w:szCs w:val="28"/>
          <w:lang w:val="uk-UA" w:eastAsia="uk-UA"/>
        </w:rPr>
        <w:t>рекомендувати Верховній Раді України відповідно до частин четвертої та п’ятої статті 135 Регламенту Верховної Ради України прийняти пропозиції Президента України до Закону України «Про внесення зміни до статті 59</w:t>
      </w:r>
      <w:r w:rsidR="009825D3" w:rsidRPr="009825D3">
        <w:rPr>
          <w:rStyle w:val="10"/>
          <w:rFonts w:ascii="Times New Roman" w:eastAsia="Times New Roman" w:hAnsi="Times New Roman"/>
          <w:sz w:val="28"/>
          <w:szCs w:val="28"/>
          <w:vertAlign w:val="superscript"/>
          <w:lang w:val="uk-UA" w:eastAsia="uk-UA"/>
        </w:rPr>
        <w:t>1</w:t>
      </w:r>
      <w:r w:rsidR="009825D3" w:rsidRPr="009825D3">
        <w:rPr>
          <w:rStyle w:val="10"/>
          <w:rFonts w:ascii="Times New Roman" w:eastAsia="Times New Roman" w:hAnsi="Times New Roman"/>
          <w:sz w:val="28"/>
          <w:szCs w:val="28"/>
          <w:lang w:val="uk-UA" w:eastAsia="uk-UA"/>
        </w:rPr>
        <w:t xml:space="preserve"> Закону України «Про місцеве самоврядування в Україні» щодо врегулювання конфлікту інтересів у діяльності депутатів місцевих рад та сільських, селищних, міських голів» та прийняти Закон в цілому.</w:t>
      </w:r>
    </w:p>
    <w:p w:rsidR="009825D3" w:rsidRPr="009825D3" w:rsidRDefault="009825D3" w:rsidP="00437DF5">
      <w:pPr>
        <w:spacing w:after="0" w:line="264" w:lineRule="auto"/>
        <w:ind w:firstLine="709"/>
        <w:jc w:val="both"/>
        <w:rPr>
          <w:rStyle w:val="10"/>
          <w:rFonts w:ascii="Times New Roman" w:eastAsia="Times New Roman" w:hAnsi="Times New Roman"/>
          <w:sz w:val="28"/>
          <w:szCs w:val="28"/>
          <w:lang w:val="uk-UA" w:eastAsia="uk-UA"/>
        </w:rPr>
      </w:pPr>
      <w:r w:rsidRPr="009825D3">
        <w:rPr>
          <w:rStyle w:val="10"/>
          <w:rFonts w:ascii="Times New Roman" w:eastAsia="Times New Roman" w:hAnsi="Times New Roman"/>
          <w:sz w:val="28"/>
          <w:szCs w:val="28"/>
          <w:lang w:val="uk-UA" w:eastAsia="uk-UA"/>
        </w:rPr>
        <w:t>У разі прийняття пропозицій Президента України та Закону в цілому запропонувати Верховній Раді України доручити Комітету при підготовці тексту Закону на підпис Голові Верховної Ради України здійснити його техніко-юридичне доопрацювання спільно з Головним юридичним управлінням Апарату Верховної Ради України.</w:t>
      </w:r>
    </w:p>
    <w:p w:rsidR="009825D3" w:rsidRPr="004164F7" w:rsidRDefault="0088706C" w:rsidP="00437DF5">
      <w:pPr>
        <w:spacing w:after="0" w:line="264" w:lineRule="auto"/>
        <w:ind w:firstLine="709"/>
        <w:jc w:val="both"/>
        <w:rPr>
          <w:bCs/>
          <w:spacing w:val="-2"/>
          <w:lang w:val="uk-UA" w:eastAsia="ru-RU"/>
        </w:rPr>
      </w:pPr>
      <w:r w:rsidRPr="0088706C">
        <w:rPr>
          <w:rFonts w:ascii="Times New Roman" w:eastAsia="Times New Roman" w:hAnsi="Times New Roman"/>
          <w:bCs/>
          <w:spacing w:val="-2"/>
          <w:sz w:val="28"/>
          <w:szCs w:val="28"/>
          <w:lang w:val="uk-UA" w:eastAsia="ru-RU"/>
        </w:rPr>
        <w:lastRenderedPageBreak/>
        <w:t>Доповідачем від Комітету при ро</w:t>
      </w:r>
      <w:r w:rsidR="002D23F7">
        <w:rPr>
          <w:rFonts w:ascii="Times New Roman" w:eastAsia="Times New Roman" w:hAnsi="Times New Roman"/>
          <w:bCs/>
          <w:spacing w:val="-2"/>
          <w:sz w:val="28"/>
          <w:szCs w:val="28"/>
          <w:lang w:val="uk-UA" w:eastAsia="ru-RU"/>
        </w:rPr>
        <w:t>з</w:t>
      </w:r>
      <w:bookmarkStart w:id="0" w:name="_GoBack"/>
      <w:bookmarkEnd w:id="0"/>
      <w:r w:rsidRPr="0088706C">
        <w:rPr>
          <w:rFonts w:ascii="Times New Roman" w:eastAsia="Times New Roman" w:hAnsi="Times New Roman"/>
          <w:bCs/>
          <w:spacing w:val="-2"/>
          <w:sz w:val="28"/>
          <w:szCs w:val="28"/>
          <w:lang w:val="uk-UA" w:eastAsia="ru-RU"/>
        </w:rPr>
        <w:t xml:space="preserve">гляді питання на пленарному засіданні Верховної Ради України визначено </w:t>
      </w:r>
      <w:r w:rsidR="00F94057" w:rsidRPr="0088706C">
        <w:rPr>
          <w:rFonts w:ascii="Times New Roman" w:eastAsia="Times New Roman" w:hAnsi="Times New Roman"/>
          <w:bCs/>
          <w:spacing w:val="-2"/>
          <w:sz w:val="28"/>
          <w:szCs w:val="28"/>
          <w:lang w:val="uk-UA" w:eastAsia="ru-RU"/>
        </w:rPr>
        <w:t>народно</w:t>
      </w:r>
      <w:r>
        <w:rPr>
          <w:rFonts w:ascii="Times New Roman" w:eastAsia="Times New Roman" w:hAnsi="Times New Roman"/>
          <w:bCs/>
          <w:spacing w:val="-2"/>
          <w:sz w:val="28"/>
          <w:szCs w:val="28"/>
          <w:lang w:val="uk-UA" w:eastAsia="ru-RU"/>
        </w:rPr>
        <w:t>го</w:t>
      </w:r>
      <w:r w:rsidR="00F94057" w:rsidRPr="0088706C">
        <w:rPr>
          <w:rFonts w:ascii="Times New Roman" w:eastAsia="Times New Roman" w:hAnsi="Times New Roman"/>
          <w:bCs/>
          <w:spacing w:val="-2"/>
          <w:sz w:val="28"/>
          <w:szCs w:val="28"/>
          <w:lang w:val="uk-UA" w:eastAsia="ru-RU"/>
        </w:rPr>
        <w:t xml:space="preserve"> депутат</w:t>
      </w:r>
      <w:r>
        <w:rPr>
          <w:rFonts w:ascii="Times New Roman" w:eastAsia="Times New Roman" w:hAnsi="Times New Roman"/>
          <w:bCs/>
          <w:spacing w:val="-2"/>
          <w:sz w:val="28"/>
          <w:szCs w:val="28"/>
          <w:lang w:val="uk-UA" w:eastAsia="ru-RU"/>
        </w:rPr>
        <w:t>а</w:t>
      </w:r>
      <w:r w:rsidR="00F94057" w:rsidRPr="0088706C">
        <w:rPr>
          <w:rFonts w:ascii="Times New Roman" w:eastAsia="Times New Roman" w:hAnsi="Times New Roman"/>
          <w:bCs/>
          <w:spacing w:val="-2"/>
          <w:sz w:val="28"/>
          <w:szCs w:val="28"/>
          <w:lang w:val="uk-UA" w:eastAsia="ru-RU"/>
        </w:rPr>
        <w:t xml:space="preserve"> України</w:t>
      </w:r>
      <w:r w:rsidR="00F94057" w:rsidRPr="00F94057">
        <w:rPr>
          <w:rFonts w:ascii="Times New Roman" w:eastAsia="Times New Roman" w:hAnsi="Times New Roman"/>
          <w:bCs/>
          <w:spacing w:val="-2"/>
          <w:sz w:val="28"/>
          <w:szCs w:val="28"/>
          <w:lang w:val="uk-UA" w:eastAsia="ru-RU"/>
        </w:rPr>
        <w:t>, голов</w:t>
      </w:r>
      <w:r>
        <w:rPr>
          <w:rFonts w:ascii="Times New Roman" w:eastAsia="Times New Roman" w:hAnsi="Times New Roman"/>
          <w:bCs/>
          <w:spacing w:val="-2"/>
          <w:sz w:val="28"/>
          <w:szCs w:val="28"/>
          <w:lang w:val="uk-UA" w:eastAsia="ru-RU"/>
        </w:rPr>
        <w:t>у</w:t>
      </w:r>
      <w:r w:rsidR="00F94057" w:rsidRPr="00F94057">
        <w:rPr>
          <w:rFonts w:ascii="Times New Roman" w:eastAsia="Times New Roman" w:hAnsi="Times New Roman"/>
          <w:bCs/>
          <w:spacing w:val="-2"/>
          <w:sz w:val="28"/>
          <w:szCs w:val="28"/>
          <w:lang w:val="uk-UA" w:eastAsia="ru-RU"/>
        </w:rPr>
        <w:t xml:space="preserve"> підкомітету з питань</w:t>
      </w:r>
      <w:r w:rsidR="00F94057">
        <w:rPr>
          <w:rFonts w:ascii="Times New Roman" w:eastAsia="Times New Roman" w:hAnsi="Times New Roman"/>
          <w:bCs/>
          <w:spacing w:val="-2"/>
          <w:sz w:val="28"/>
          <w:szCs w:val="28"/>
          <w:lang w:val="uk-UA" w:eastAsia="ru-RU"/>
        </w:rPr>
        <w:t xml:space="preserve"> місцевого самоврядування та органів самоорганізації населення </w:t>
      </w:r>
      <w:proofErr w:type="spellStart"/>
      <w:r w:rsidR="00F94057">
        <w:rPr>
          <w:rFonts w:ascii="Times New Roman" w:eastAsia="Times New Roman" w:hAnsi="Times New Roman"/>
          <w:bCs/>
          <w:spacing w:val="-2"/>
          <w:sz w:val="28"/>
          <w:szCs w:val="28"/>
          <w:lang w:val="uk-UA" w:eastAsia="ru-RU"/>
        </w:rPr>
        <w:t>Д.Гурін</w:t>
      </w:r>
      <w:r>
        <w:rPr>
          <w:rFonts w:ascii="Times New Roman" w:eastAsia="Times New Roman" w:hAnsi="Times New Roman"/>
          <w:bCs/>
          <w:spacing w:val="-2"/>
          <w:sz w:val="28"/>
          <w:szCs w:val="28"/>
          <w:lang w:val="uk-UA" w:eastAsia="ru-RU"/>
        </w:rPr>
        <w:t>а</w:t>
      </w:r>
      <w:proofErr w:type="spellEnd"/>
      <w:r w:rsidR="00F94057">
        <w:rPr>
          <w:rFonts w:ascii="Times New Roman" w:eastAsia="Times New Roman" w:hAnsi="Times New Roman"/>
          <w:bCs/>
          <w:spacing w:val="-2"/>
          <w:sz w:val="28"/>
          <w:szCs w:val="28"/>
          <w:lang w:val="uk-UA" w:eastAsia="ru-RU"/>
        </w:rPr>
        <w:t>.</w:t>
      </w:r>
    </w:p>
    <w:p w:rsidR="00FD417E" w:rsidRPr="0095336D" w:rsidRDefault="00FD417E" w:rsidP="00437DF5">
      <w:pPr>
        <w:spacing w:line="264" w:lineRule="auto"/>
        <w:ind w:firstLine="709"/>
        <w:jc w:val="both"/>
        <w:rPr>
          <w:rStyle w:val="10"/>
          <w:rFonts w:ascii="Times New Roman" w:eastAsia="Times New Roman" w:hAnsi="Times New Roman"/>
          <w:spacing w:val="-3"/>
          <w:sz w:val="28"/>
          <w:szCs w:val="28"/>
          <w:lang w:val="uk-UA" w:eastAsia="uk-UA"/>
        </w:rPr>
      </w:pPr>
    </w:p>
    <w:p w:rsidR="00FD417E" w:rsidRPr="005A5B44" w:rsidRDefault="00FD417E" w:rsidP="00437DF5">
      <w:pPr>
        <w:spacing w:after="60" w:line="264" w:lineRule="auto"/>
        <w:ind w:firstLine="709"/>
        <w:rPr>
          <w:rStyle w:val="10"/>
          <w:rFonts w:eastAsia="Times New Roman"/>
          <w:spacing w:val="-3"/>
          <w:lang w:val="uk-UA" w:eastAsia="uk-UA"/>
        </w:rPr>
      </w:pPr>
      <w:r w:rsidRPr="00B938DB">
        <w:rPr>
          <w:rStyle w:val="10"/>
          <w:rFonts w:ascii="Times New Roman" w:eastAsia="Times New Roman" w:hAnsi="Times New Roman"/>
          <w:b/>
          <w:spacing w:val="-3"/>
          <w:sz w:val="28"/>
          <w:szCs w:val="28"/>
          <w:lang w:val="uk-UA" w:eastAsia="uk-UA"/>
        </w:rPr>
        <w:t>Голова Комітету</w:t>
      </w:r>
      <w:r w:rsidRPr="00B938DB">
        <w:rPr>
          <w:rStyle w:val="10"/>
          <w:rFonts w:ascii="Times New Roman" w:eastAsia="Times New Roman" w:hAnsi="Times New Roman"/>
          <w:b/>
          <w:spacing w:val="-3"/>
          <w:sz w:val="28"/>
          <w:szCs w:val="28"/>
          <w:lang w:val="uk-UA" w:eastAsia="uk-UA"/>
        </w:rPr>
        <w:tab/>
      </w:r>
      <w:r w:rsidRPr="00B938DB">
        <w:rPr>
          <w:rStyle w:val="10"/>
          <w:rFonts w:ascii="Times New Roman" w:eastAsia="Times New Roman" w:hAnsi="Times New Roman"/>
          <w:b/>
          <w:spacing w:val="-3"/>
          <w:sz w:val="28"/>
          <w:szCs w:val="28"/>
          <w:lang w:val="uk-UA" w:eastAsia="uk-UA"/>
        </w:rPr>
        <w:tab/>
      </w:r>
      <w:r w:rsidRPr="00B938DB">
        <w:rPr>
          <w:rStyle w:val="10"/>
          <w:rFonts w:ascii="Times New Roman" w:eastAsia="Times New Roman" w:hAnsi="Times New Roman"/>
          <w:b/>
          <w:spacing w:val="-3"/>
          <w:sz w:val="28"/>
          <w:szCs w:val="28"/>
          <w:lang w:val="uk-UA" w:eastAsia="uk-UA"/>
        </w:rPr>
        <w:tab/>
      </w:r>
      <w:r w:rsidRPr="00B938DB">
        <w:rPr>
          <w:rStyle w:val="10"/>
          <w:rFonts w:ascii="Times New Roman" w:eastAsia="Times New Roman" w:hAnsi="Times New Roman"/>
          <w:b/>
          <w:spacing w:val="-3"/>
          <w:sz w:val="28"/>
          <w:szCs w:val="28"/>
          <w:lang w:val="uk-UA" w:eastAsia="uk-UA"/>
        </w:rPr>
        <w:tab/>
      </w:r>
      <w:r w:rsidRPr="00B938DB">
        <w:rPr>
          <w:rStyle w:val="10"/>
          <w:rFonts w:ascii="Times New Roman" w:eastAsia="Times New Roman" w:hAnsi="Times New Roman"/>
          <w:b/>
          <w:spacing w:val="-3"/>
          <w:sz w:val="28"/>
          <w:szCs w:val="28"/>
          <w:lang w:val="uk-UA" w:eastAsia="uk-UA"/>
        </w:rPr>
        <w:tab/>
      </w:r>
      <w:r w:rsidRPr="00B938DB">
        <w:rPr>
          <w:rStyle w:val="10"/>
          <w:rFonts w:ascii="Times New Roman" w:eastAsia="Times New Roman" w:hAnsi="Times New Roman"/>
          <w:b/>
          <w:spacing w:val="-3"/>
          <w:sz w:val="28"/>
          <w:szCs w:val="28"/>
          <w:lang w:val="uk-UA" w:eastAsia="uk-UA"/>
        </w:rPr>
        <w:tab/>
      </w:r>
      <w:r w:rsidRPr="00B938DB">
        <w:rPr>
          <w:rStyle w:val="10"/>
          <w:rFonts w:ascii="Times New Roman" w:eastAsia="Times New Roman" w:hAnsi="Times New Roman"/>
          <w:b/>
          <w:spacing w:val="-3"/>
          <w:sz w:val="28"/>
          <w:szCs w:val="28"/>
          <w:lang w:val="uk-UA" w:eastAsia="uk-UA"/>
        </w:rPr>
        <w:tab/>
        <w:t>А.КЛОЧКО</w:t>
      </w:r>
    </w:p>
    <w:p w:rsidR="005204CF" w:rsidRDefault="005204CF" w:rsidP="00437DF5">
      <w:pPr>
        <w:spacing w:line="264" w:lineRule="auto"/>
      </w:pPr>
    </w:p>
    <w:sectPr w:rsidR="005204CF" w:rsidSect="00460CB2">
      <w:headerReference w:type="default" r:id="rId6"/>
      <w:headerReference w:type="first" r:id="rId7"/>
      <w:footerReference w:type="first" r:id="rId8"/>
      <w:pgSz w:w="11906" w:h="16838"/>
      <w:pgMar w:top="1191" w:right="851" w:bottom="1191"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F7" w:rsidRDefault="00D60CF7" w:rsidP="00FD417E">
      <w:pPr>
        <w:spacing w:after="0" w:line="240" w:lineRule="auto"/>
      </w:pPr>
      <w:r>
        <w:separator/>
      </w:r>
    </w:p>
  </w:endnote>
  <w:endnote w:type="continuationSeparator" w:id="0">
    <w:p w:rsidR="00D60CF7" w:rsidRDefault="00D60CF7" w:rsidP="00FD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D60CF7">
        <w:pPr>
          <w:pStyle w:val="a5"/>
          <w:jc w:val="center"/>
        </w:pPr>
      </w:p>
    </w:sdtContent>
  </w:sdt>
  <w:p w:rsidR="00A7635E" w:rsidRDefault="00D60C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F7" w:rsidRDefault="00D60CF7" w:rsidP="00FD417E">
      <w:pPr>
        <w:spacing w:after="0" w:line="240" w:lineRule="auto"/>
      </w:pPr>
      <w:r>
        <w:separator/>
      </w:r>
    </w:p>
  </w:footnote>
  <w:footnote w:type="continuationSeparator" w:id="0">
    <w:p w:rsidR="00D60CF7" w:rsidRDefault="00D60CF7" w:rsidP="00FD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4404"/>
      <w:docPartObj>
        <w:docPartGallery w:val="Page Numbers (Top of Page)"/>
        <w:docPartUnique/>
      </w:docPartObj>
    </w:sdtPr>
    <w:sdtEndPr/>
    <w:sdtContent>
      <w:p w:rsidR="00980101" w:rsidRDefault="00DB66CF">
        <w:pPr>
          <w:pStyle w:val="a3"/>
          <w:jc w:val="center"/>
        </w:pPr>
        <w:r>
          <w:fldChar w:fldCharType="begin"/>
        </w:r>
        <w:r>
          <w:instrText>PAGE   \* MERGEFORMAT</w:instrText>
        </w:r>
        <w:r>
          <w:fldChar w:fldCharType="separate"/>
        </w:r>
        <w:r w:rsidR="00460CB2" w:rsidRPr="00460CB2">
          <w:rPr>
            <w:noProof/>
            <w:lang w:val="uk-UA"/>
          </w:rPr>
          <w:t>3</w:t>
        </w:r>
        <w:r>
          <w:fldChar w:fldCharType="end"/>
        </w:r>
      </w:p>
    </w:sdtContent>
  </w:sdt>
  <w:p w:rsidR="00CE6A4B" w:rsidRDefault="00D60CF7"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CE6A4B" w:rsidRPr="00AD7F82" w:rsidTr="00941FA9">
      <w:tc>
        <w:tcPr>
          <w:tcW w:w="10348" w:type="dxa"/>
          <w:tcBorders>
            <w:top w:val="nil"/>
            <w:left w:val="nil"/>
            <w:bottom w:val="nil"/>
            <w:right w:val="nil"/>
          </w:tcBorders>
        </w:tcPr>
        <w:p w:rsidR="00CE6A4B" w:rsidRPr="00AD7F82" w:rsidRDefault="00DB66CF" w:rsidP="00941FA9">
          <w:pPr>
            <w:pStyle w:val="a3"/>
            <w:tabs>
              <w:tab w:val="clear" w:pos="4677"/>
              <w:tab w:val="clear" w:pos="9355"/>
            </w:tabs>
            <w:ind w:left="178" w:firstLine="2"/>
            <w:rPr>
              <w:rFonts w:ascii="Times New Roman" w:hAnsi="Times New Roman"/>
              <w:color w:val="002060"/>
              <w:sz w:val="32"/>
              <w:szCs w:val="32"/>
            </w:rPr>
          </w:pPr>
          <w:r w:rsidRPr="0021032F">
            <w:rPr>
              <w:noProof/>
              <w:spacing w:val="20"/>
              <w:sz w:val="34"/>
              <w:szCs w:val="34"/>
              <w:lang w:val="uk-UA" w:eastAsia="uk-UA"/>
            </w:rPr>
            <w:drawing>
              <wp:anchor distT="360045" distB="0" distL="114300" distR="114300" simplePos="0" relativeHeight="251659264" behindDoc="0" locked="0" layoutInCell="1" allowOverlap="1" wp14:anchorId="5AC73EBA" wp14:editId="28BE4F85">
                <wp:simplePos x="0" y="0"/>
                <wp:positionH relativeFrom="margin">
                  <wp:posOffset>3013075</wp:posOffset>
                </wp:positionH>
                <wp:positionV relativeFrom="paragraph">
                  <wp:posOffset>63611</wp:posOffset>
                </wp:positionV>
                <wp:extent cx="461010" cy="636905"/>
                <wp:effectExtent l="0" t="0" r="0" b="0"/>
                <wp:wrapSquare wrapText="bothSides"/>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CE6A4B" w:rsidRPr="00AD7F82" w:rsidRDefault="00D60CF7" w:rsidP="004164F7">
          <w:pPr>
            <w:pStyle w:val="a3"/>
            <w:tabs>
              <w:tab w:val="clear" w:pos="4677"/>
              <w:tab w:val="clear" w:pos="9355"/>
            </w:tabs>
            <w:ind w:firstLine="708"/>
            <w:rPr>
              <w:rFonts w:ascii="Times New Roman" w:hAnsi="Times New Roman"/>
              <w:color w:val="002060"/>
              <w:sz w:val="32"/>
              <w:szCs w:val="32"/>
            </w:rPr>
          </w:pPr>
        </w:p>
        <w:p w:rsidR="00CE6A4B" w:rsidRPr="00AD7F82" w:rsidRDefault="00D60CF7" w:rsidP="00AD7F82">
          <w:pPr>
            <w:pStyle w:val="a3"/>
            <w:tabs>
              <w:tab w:val="clear" w:pos="4677"/>
              <w:tab w:val="clear" w:pos="9355"/>
            </w:tabs>
            <w:rPr>
              <w:rFonts w:ascii="Times New Roman" w:hAnsi="Times New Roman"/>
              <w:color w:val="002060"/>
              <w:sz w:val="32"/>
              <w:szCs w:val="32"/>
            </w:rPr>
          </w:pPr>
        </w:p>
        <w:p w:rsidR="00CE6A4B" w:rsidRPr="0021032F" w:rsidRDefault="00DB66CF"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ВЕРХОВНА РАДА УКРАЇНИ</w:t>
          </w:r>
        </w:p>
        <w:p w:rsidR="00CE6A4B" w:rsidRPr="00A833C8" w:rsidRDefault="00DB66CF"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Pr>
              <w:rFonts w:ascii="Times New Roman" w:hAnsi="Times New Roman"/>
              <w:b/>
              <w:color w:val="1829A8"/>
              <w:spacing w:val="20"/>
              <w:sz w:val="24"/>
              <w:szCs w:val="24"/>
              <w:lang w:val="uk-UA"/>
            </w:rPr>
            <w:t>організації державної влади, місцевого самоврядування,</w:t>
          </w:r>
          <w:r>
            <w:rPr>
              <w:rFonts w:ascii="Times New Roman" w:hAnsi="Times New Roman"/>
              <w:b/>
              <w:color w:val="1829A8"/>
              <w:spacing w:val="20"/>
              <w:sz w:val="24"/>
              <w:szCs w:val="24"/>
              <w:lang w:val="uk-UA"/>
            </w:rPr>
            <w:br/>
            <w:t xml:space="preserve"> регіонального розвитку та містобудування</w:t>
          </w:r>
        </w:p>
        <w:p w:rsidR="00C27AE9" w:rsidRPr="00C86266" w:rsidRDefault="00DB66CF" w:rsidP="00252D88">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 xml:space="preserve">1008, м.Київ-8, вул. М. Грушевського, 5, </w:t>
          </w:r>
          <w:proofErr w:type="spellStart"/>
          <w:r w:rsidRPr="00A833C8">
            <w:rPr>
              <w:rFonts w:ascii="Times New Roman" w:hAnsi="Times New Roman"/>
              <w:color w:val="1829A8"/>
              <w:sz w:val="20"/>
              <w:szCs w:val="20"/>
              <w:lang w:val="uk-UA"/>
            </w:rPr>
            <w:t>тел</w:t>
          </w:r>
          <w:proofErr w:type="spellEnd"/>
          <w:r w:rsidRPr="00A833C8">
            <w:rPr>
              <w:rFonts w:ascii="Times New Roman" w:hAnsi="Times New Roman"/>
              <w:color w:val="1829A8"/>
              <w:sz w:val="20"/>
              <w:szCs w:val="20"/>
              <w:lang w:val="uk-UA"/>
            </w:rPr>
            <w:t>.</w:t>
          </w:r>
          <w:r w:rsidRPr="00A833C8">
            <w:rPr>
              <w:rFonts w:ascii="Times New Roman" w:hAnsi="Times New Roman"/>
              <w:color w:val="1829A8"/>
              <w:sz w:val="20"/>
              <w:szCs w:val="20"/>
            </w:rPr>
            <w:t>/</w:t>
          </w:r>
          <w:r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Pr="00A833C8">
            <w:rPr>
              <w:rFonts w:ascii="Times New Roman" w:hAnsi="Times New Roman"/>
              <w:color w:val="1829A8"/>
              <w:sz w:val="20"/>
              <w:szCs w:val="20"/>
              <w:lang w:val="uk-UA"/>
            </w:rPr>
            <w:t xml:space="preserve"> 2</w:t>
          </w:r>
          <w:r>
            <w:rPr>
              <w:rFonts w:ascii="Times New Roman" w:hAnsi="Times New Roman"/>
              <w:color w:val="1829A8"/>
              <w:sz w:val="20"/>
              <w:szCs w:val="20"/>
              <w:lang w:val="uk-UA"/>
            </w:rPr>
            <w:t>55</w:t>
          </w:r>
          <w:r w:rsidRPr="00A833C8">
            <w:rPr>
              <w:rFonts w:ascii="Times New Roman" w:hAnsi="Times New Roman"/>
              <w:color w:val="1829A8"/>
              <w:sz w:val="20"/>
              <w:szCs w:val="20"/>
              <w:lang w:val="uk-UA"/>
            </w:rPr>
            <w:t>-</w:t>
          </w:r>
          <w:r>
            <w:rPr>
              <w:rFonts w:ascii="Times New Roman" w:hAnsi="Times New Roman"/>
              <w:color w:val="1829A8"/>
              <w:sz w:val="20"/>
              <w:szCs w:val="20"/>
              <w:lang w:val="uk-UA"/>
            </w:rPr>
            <w:t>32</w:t>
          </w:r>
          <w:r w:rsidRPr="00A833C8">
            <w:rPr>
              <w:rFonts w:ascii="Times New Roman" w:hAnsi="Times New Roman"/>
              <w:color w:val="1829A8"/>
              <w:sz w:val="20"/>
              <w:szCs w:val="20"/>
              <w:lang w:val="uk-UA"/>
            </w:rPr>
            <w:t>-</w:t>
          </w:r>
          <w:r>
            <w:rPr>
              <w:rFonts w:ascii="Times New Roman" w:hAnsi="Times New Roman"/>
              <w:color w:val="1829A8"/>
              <w:sz w:val="20"/>
              <w:szCs w:val="20"/>
              <w:lang w:val="uk-UA"/>
            </w:rPr>
            <w:t xml:space="preserve">05, </w:t>
          </w:r>
          <w:r w:rsidRPr="00A833C8">
            <w:rPr>
              <w:rFonts w:ascii="Times New Roman" w:hAnsi="Times New Roman"/>
              <w:color w:val="1829A8"/>
              <w:sz w:val="20"/>
              <w:szCs w:val="20"/>
              <w:lang w:val="uk-UA"/>
            </w:rPr>
            <w:t>2</w:t>
          </w:r>
          <w:r>
            <w:rPr>
              <w:rFonts w:ascii="Times New Roman" w:hAnsi="Times New Roman"/>
              <w:color w:val="1829A8"/>
              <w:sz w:val="20"/>
              <w:szCs w:val="20"/>
              <w:lang w:val="uk-UA"/>
            </w:rPr>
            <w:t>55</w:t>
          </w:r>
          <w:r w:rsidRPr="00A833C8">
            <w:rPr>
              <w:rFonts w:ascii="Times New Roman" w:hAnsi="Times New Roman"/>
              <w:color w:val="1829A8"/>
              <w:sz w:val="20"/>
              <w:szCs w:val="20"/>
              <w:lang w:val="uk-UA"/>
            </w:rPr>
            <w:t>-</w:t>
          </w:r>
          <w:r>
            <w:rPr>
              <w:rFonts w:ascii="Times New Roman" w:hAnsi="Times New Roman"/>
              <w:color w:val="1829A8"/>
              <w:sz w:val="20"/>
              <w:szCs w:val="20"/>
              <w:lang w:val="uk-UA"/>
            </w:rPr>
            <w:t>20</w:t>
          </w:r>
          <w:r w:rsidRPr="00A833C8">
            <w:rPr>
              <w:rFonts w:ascii="Times New Roman" w:hAnsi="Times New Roman"/>
              <w:color w:val="1829A8"/>
              <w:sz w:val="20"/>
              <w:szCs w:val="20"/>
              <w:lang w:val="uk-UA"/>
            </w:rPr>
            <w:t>-</w:t>
          </w:r>
          <w:r>
            <w:rPr>
              <w:rFonts w:ascii="Times New Roman" w:hAnsi="Times New Roman"/>
              <w:color w:val="1829A8"/>
              <w:sz w:val="20"/>
              <w:szCs w:val="20"/>
              <w:lang w:val="uk-UA"/>
            </w:rPr>
            <w:t xml:space="preserve">75    </w:t>
          </w:r>
        </w:p>
      </w:tc>
    </w:tr>
  </w:tbl>
  <w:tbl>
    <w:tblPr>
      <w:tblStyle w:val="a7"/>
      <w:tblW w:w="13114"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10348"/>
      <w:gridCol w:w="1653"/>
    </w:tblGrid>
    <w:tr w:rsidR="00FD3187" w:rsidRPr="00053776" w:rsidTr="00941FA9">
      <w:tc>
        <w:tcPr>
          <w:tcW w:w="1113" w:type="dxa"/>
          <w:tcBorders>
            <w:top w:val="nil"/>
          </w:tcBorders>
        </w:tcPr>
        <w:p w:rsidR="00FD3187" w:rsidRPr="00053776" w:rsidRDefault="00D60CF7" w:rsidP="00FD3187">
          <w:pPr>
            <w:pStyle w:val="a3"/>
            <w:tabs>
              <w:tab w:val="clear" w:pos="4677"/>
              <w:tab w:val="clear" w:pos="9355"/>
            </w:tabs>
            <w:rPr>
              <w:rFonts w:ascii="Times New Roman" w:hAnsi="Times New Roman"/>
              <w:color w:val="002060"/>
              <w:lang w:val="uk-UA"/>
            </w:rPr>
          </w:pPr>
        </w:p>
      </w:tc>
      <w:tc>
        <w:tcPr>
          <w:tcW w:w="10348" w:type="dxa"/>
        </w:tcPr>
        <w:p w:rsidR="00FD3187" w:rsidRDefault="00FD417E" w:rsidP="00FD417E">
          <w:pPr>
            <w:pStyle w:val="a3"/>
            <w:tabs>
              <w:tab w:val="clear" w:pos="4677"/>
              <w:tab w:val="clear" w:pos="9355"/>
              <w:tab w:val="left" w:pos="3011"/>
              <w:tab w:val="center" w:pos="5226"/>
            </w:tabs>
            <w:spacing w:before="360" w:after="360"/>
            <w:ind w:firstLine="321"/>
            <w:rPr>
              <w:rFonts w:ascii="Times New Roman" w:hAnsi="Times New Roman"/>
              <w:b/>
              <w:color w:val="1829A8"/>
              <w:spacing w:val="20"/>
              <w:sz w:val="28"/>
              <w:szCs w:val="28"/>
              <w:lang w:val="uk-UA"/>
            </w:rPr>
          </w:pPr>
          <w:r>
            <w:rPr>
              <w:rFonts w:ascii="Times New Roman" w:hAnsi="Times New Roman"/>
              <w:b/>
              <w:color w:val="1829A8"/>
              <w:spacing w:val="20"/>
              <w:sz w:val="28"/>
              <w:szCs w:val="28"/>
              <w:lang w:val="uk-UA"/>
            </w:rPr>
            <w:tab/>
          </w:r>
          <w:r>
            <w:rPr>
              <w:rFonts w:ascii="Times New Roman" w:hAnsi="Times New Roman"/>
              <w:b/>
              <w:color w:val="1829A8"/>
              <w:spacing w:val="20"/>
              <w:sz w:val="28"/>
              <w:szCs w:val="28"/>
              <w:lang w:val="uk-UA"/>
            </w:rPr>
            <w:tab/>
          </w:r>
          <w:r w:rsidR="00DB66CF">
            <w:rPr>
              <w:rFonts w:ascii="Times New Roman" w:hAnsi="Times New Roman"/>
              <w:b/>
              <w:color w:val="1829A8"/>
              <w:spacing w:val="20"/>
              <w:sz w:val="28"/>
              <w:szCs w:val="28"/>
              <w:lang w:val="uk-UA"/>
            </w:rPr>
            <w:t>В И С Н О В О К</w:t>
          </w:r>
        </w:p>
        <w:p w:rsidR="00A6630A" w:rsidRPr="00A6630A" w:rsidRDefault="00D60CF7" w:rsidP="004C0AEE">
          <w:pPr>
            <w:pStyle w:val="a3"/>
            <w:tabs>
              <w:tab w:val="clear" w:pos="4677"/>
              <w:tab w:val="clear" w:pos="9355"/>
            </w:tabs>
            <w:jc w:val="right"/>
            <w:rPr>
              <w:rFonts w:ascii="Times New Roman" w:hAnsi="Times New Roman"/>
              <w:color w:val="002060"/>
              <w:lang w:val="uk-UA"/>
            </w:rPr>
          </w:pPr>
        </w:p>
      </w:tc>
      <w:tc>
        <w:tcPr>
          <w:tcW w:w="1653" w:type="dxa"/>
          <w:tcBorders>
            <w:top w:val="nil"/>
          </w:tcBorders>
        </w:tcPr>
        <w:p w:rsidR="00FD3187" w:rsidRPr="00053776" w:rsidRDefault="00D60CF7" w:rsidP="00FD3187">
          <w:pPr>
            <w:pStyle w:val="a3"/>
            <w:tabs>
              <w:tab w:val="clear" w:pos="4677"/>
              <w:tab w:val="clear" w:pos="9355"/>
            </w:tabs>
            <w:rPr>
              <w:rFonts w:ascii="Times New Roman" w:hAnsi="Times New Roman"/>
              <w:color w:val="002060"/>
              <w:lang w:val="uk-UA"/>
            </w:rPr>
          </w:pPr>
        </w:p>
      </w:tc>
    </w:tr>
  </w:tbl>
  <w:p w:rsidR="00F91DD3" w:rsidRPr="004F7B8A" w:rsidRDefault="00D60CF7"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7E"/>
    <w:rsid w:val="000310B2"/>
    <w:rsid w:val="00071DC7"/>
    <w:rsid w:val="00105C79"/>
    <w:rsid w:val="00123CC4"/>
    <w:rsid w:val="00207EC7"/>
    <w:rsid w:val="0025141C"/>
    <w:rsid w:val="002C7CDD"/>
    <w:rsid w:val="002D0D21"/>
    <w:rsid w:val="002D23F7"/>
    <w:rsid w:val="004164F7"/>
    <w:rsid w:val="00437DF5"/>
    <w:rsid w:val="00460CB2"/>
    <w:rsid w:val="005204CF"/>
    <w:rsid w:val="00541C23"/>
    <w:rsid w:val="00547520"/>
    <w:rsid w:val="00571924"/>
    <w:rsid w:val="007A66FA"/>
    <w:rsid w:val="0088706C"/>
    <w:rsid w:val="008B7900"/>
    <w:rsid w:val="0095336D"/>
    <w:rsid w:val="009825D3"/>
    <w:rsid w:val="00A01B22"/>
    <w:rsid w:val="00A65021"/>
    <w:rsid w:val="00AF719B"/>
    <w:rsid w:val="00CC0585"/>
    <w:rsid w:val="00D60CF7"/>
    <w:rsid w:val="00D75704"/>
    <w:rsid w:val="00D76791"/>
    <w:rsid w:val="00DB66CF"/>
    <w:rsid w:val="00E80436"/>
    <w:rsid w:val="00F94057"/>
    <w:rsid w:val="00FD4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D9FB"/>
  <w15:chartTrackingRefBased/>
  <w15:docId w15:val="{20381433-F50A-4812-8466-88228DEB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17E"/>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417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D417E"/>
    <w:rPr>
      <w:rFonts w:ascii="Calibri" w:eastAsia="Calibri" w:hAnsi="Calibri" w:cs="Times New Roman"/>
      <w:sz w:val="22"/>
      <w:lang w:val="ru-RU"/>
    </w:rPr>
  </w:style>
  <w:style w:type="paragraph" w:styleId="a5">
    <w:name w:val="footer"/>
    <w:basedOn w:val="a"/>
    <w:link w:val="a6"/>
    <w:uiPriority w:val="99"/>
    <w:rsid w:val="00FD417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D417E"/>
    <w:rPr>
      <w:rFonts w:ascii="Calibri" w:eastAsia="Calibri" w:hAnsi="Calibri" w:cs="Times New Roman"/>
      <w:sz w:val="22"/>
      <w:lang w:val="ru-RU"/>
    </w:rPr>
  </w:style>
  <w:style w:type="table" w:styleId="a7">
    <w:name w:val="Table Grid"/>
    <w:basedOn w:val="a1"/>
    <w:uiPriority w:val="99"/>
    <w:rsid w:val="00FD41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qFormat/>
    <w:rsid w:val="00FD417E"/>
    <w:pPr>
      <w:pBdr>
        <w:top w:val="nil"/>
        <w:left w:val="nil"/>
        <w:bottom w:val="nil"/>
        <w:right w:val="nil"/>
      </w:pBdr>
      <w:spacing w:after="0" w:line="240" w:lineRule="auto"/>
      <w:jc w:val="both"/>
    </w:pPr>
    <w:rPr>
      <w:rFonts w:eastAsia="Times New Roman" w:cs="Times New Roman"/>
      <w:sz w:val="24"/>
      <w:szCs w:val="20"/>
      <w:lang w:eastAsia="uk-UA"/>
    </w:rPr>
  </w:style>
  <w:style w:type="character" w:customStyle="1" w:styleId="10">
    <w:name w:val="Шрифт абзацу за промовчанням1"/>
    <w:rsid w:val="00FD417E"/>
  </w:style>
  <w:style w:type="paragraph" w:styleId="a8">
    <w:name w:val="Balloon Text"/>
    <w:basedOn w:val="a"/>
    <w:link w:val="a9"/>
    <w:uiPriority w:val="99"/>
    <w:semiHidden/>
    <w:unhideWhenUsed/>
    <w:rsid w:val="004164F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164F7"/>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3031</Words>
  <Characters>1728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Тетяна Миколаївна</dc:creator>
  <cp:keywords/>
  <dc:description/>
  <cp:lastModifiedBy>Корнієнко Тетяна Миколаївна</cp:lastModifiedBy>
  <cp:revision>18</cp:revision>
  <cp:lastPrinted>2021-02-15T10:41:00Z</cp:lastPrinted>
  <dcterms:created xsi:type="dcterms:W3CDTF">2021-02-11T12:45:00Z</dcterms:created>
  <dcterms:modified xsi:type="dcterms:W3CDTF">2021-02-15T10:52:00Z</dcterms:modified>
</cp:coreProperties>
</file>