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23341D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153BA8" w:rsidRPr="00F35BD0" w:rsidRDefault="00153BA8" w:rsidP="00153BA8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</w:p>
    <w:p w:rsidR="00936D62" w:rsidRPr="00F35BD0" w:rsidRDefault="000D37BF" w:rsidP="005B66D6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 </w:t>
      </w:r>
      <w:proofErr w:type="spellStart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питань</w:t>
      </w:r>
      <w:proofErr w:type="spellEnd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соціальної</w:t>
      </w:r>
      <w:proofErr w:type="spellEnd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політики</w:t>
      </w:r>
      <w:proofErr w:type="spellEnd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захисту</w:t>
      </w:r>
      <w:proofErr w:type="spellEnd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прав </w:t>
      </w:r>
      <w:proofErr w:type="spellStart"/>
      <w:r w:rsidRPr="00F35B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ветеранів</w:t>
      </w:r>
      <w:proofErr w:type="spellEnd"/>
    </w:p>
    <w:p w:rsidR="005B66D6" w:rsidRPr="00F35BD0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A24363" w:rsidRPr="00F35BD0" w:rsidRDefault="000D37BF" w:rsidP="004758AC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F35BD0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4006</w:t>
      </w:r>
    </w:p>
    <w:p w:rsidR="00936D62" w:rsidRPr="00F35BD0" w:rsidRDefault="00936D62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153BA8" w:rsidRPr="00F35BD0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2E17CC">
        <w:rPr>
          <w:rFonts w:ascii="Times New Roman" w:eastAsiaTheme="minorHAnsi" w:hAnsi="Times New Roman" w:cstheme="minorBidi"/>
          <w:sz w:val="28"/>
          <w:szCs w:val="28"/>
          <w:lang w:val="uk-UA"/>
        </w:rPr>
        <w:t>25</w:t>
      </w:r>
      <w:r w:rsidR="002E17C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 листопад</w:t>
      </w:r>
      <w:r w:rsidR="002E17CC">
        <w:rPr>
          <w:rFonts w:ascii="Times New Roman" w:eastAsiaTheme="minorHAnsi" w:hAnsi="Times New Roman" w:cstheme="minorBidi"/>
          <w:sz w:val="28"/>
          <w:szCs w:val="28"/>
          <w:lang w:val="uk-UA"/>
        </w:rPr>
        <w:t>а 2020 року (протокол № 64</w:t>
      </w:r>
      <w:r w:rsidR="002E17CC" w:rsidRPr="00150BB8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bookmarkStart w:id="0" w:name="_GoBack"/>
      <w:bookmarkEnd w:id="0"/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внесення змін до Закону України </w:t>
      </w:r>
      <w:r w:rsidR="0056234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«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Про державну соціальну допомогу малозабезпеченим сім'ям</w:t>
      </w:r>
      <w:r w:rsidR="0056234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»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щодо збільшення розміру допомоги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(реєстр. № 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4006</w:t>
      </w:r>
      <w:r w:rsidR="005F0613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 1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.0</w:t>
      </w:r>
      <w:r w:rsidR="005F0613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9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.2020 р.), </w:t>
      </w:r>
      <w:r w:rsidR="004758AC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поданий народни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ми депутатами України Тимошенко </w:t>
      </w:r>
      <w:r w:rsidR="004758AC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Ю.В.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, 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Соболєвим С.В.</w:t>
      </w:r>
      <w:r w:rsidR="004758AC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та </w:t>
      </w:r>
      <w:r w:rsidR="005F0613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іншими народними депутатами України</w:t>
      </w:r>
      <w:r w:rsidR="004758AC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, і повідомляє таке.</w:t>
      </w:r>
    </w:p>
    <w:p w:rsidR="00055BF9" w:rsidRPr="00F35BD0" w:rsidRDefault="00153BA8" w:rsidP="00055BF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У законопроекті </w:t>
      </w:r>
      <w:r w:rsidR="0023341D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пропонується з 1 січня 2021 року встановити 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розмір державн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ої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соціальної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допомог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для малозабезпечених осіб</w:t>
      </w:r>
      <w:r w:rsidR="000C64FC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3E3F77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виходячи з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фактичн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ого</w:t>
      </w:r>
      <w:r w:rsidR="00D71CE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прожитков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ого мінімуму</w:t>
      </w:r>
      <w:r w:rsidR="005A4F8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7A4EF3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/</w:t>
      </w:r>
      <w:r w:rsidR="007A4EF3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чинн</w:t>
      </w:r>
      <w:r w:rsidR="000D37BF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а</w:t>
      </w:r>
      <w:r w:rsidR="007A4EF3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норм</w:t>
      </w:r>
      <w:r w:rsidR="000D37BF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а</w:t>
      </w:r>
      <w:r w:rsidR="007A4EF3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– </w:t>
      </w:r>
      <w:r w:rsidR="00090238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виходячи з прожиткових мінімумів, встановлених законом про державний бюджет на відповідний рік </w:t>
      </w:r>
      <w:r w:rsidR="00055BF9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/.</w:t>
      </w:r>
    </w:p>
    <w:p w:rsidR="003E3F77" w:rsidRPr="00F35BD0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Довідково: Згідно із Законом України «Про державні соціальні стандарти та державні гарантії» базовим державним соціальним стандартом, на основі якого визначаються розміри основних державних соціальних гарантій, є прожитковий мінімум, встановлений законом.</w:t>
      </w:r>
    </w:p>
    <w:p w:rsidR="003E3F77" w:rsidRPr="00F35BD0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Відповідно до статті 4 Закону України «Про прожитковий мінімум» прожитковий мінімум щорічно затверджується Верховною Радою України в законі про Державний бюджет України на відповідний рік.</w:t>
      </w:r>
    </w:p>
    <w:p w:rsidR="003E3F77" w:rsidRPr="00F35BD0" w:rsidRDefault="003E3F77" w:rsidP="003E3F7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Фактичний розмір прожиткового мінімуму відповідно до Закону України «Про прожитковий мінімум» розраховується щомісячно Міністерством соціальної політики України для спостереження за динамікою рівня життя в Україні </w:t>
      </w:r>
      <w:r w:rsidR="00607A04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(</w:t>
      </w:r>
      <w:r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та не застосовується для визначення розмірів державних соціальних гарантій</w:t>
      </w:r>
      <w:r w:rsidR="00607A04"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)</w:t>
      </w:r>
      <w:r w:rsidRPr="00F35BD0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.</w:t>
      </w:r>
    </w:p>
    <w:p w:rsidR="00153BA8" w:rsidRPr="00F35BD0" w:rsidRDefault="00153BA8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Зважаючи, що відповідно до підпункту «і» пункту 9 частини першої статті 87 Бюджетного кодексу України видатки на виплату відповідних соціальних допомог здійснюються за рахунок коштів Державного бюджету України, з</w:t>
      </w:r>
      <w:r w:rsidR="003E5F0E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апропоноване збільшення розмір</w:t>
      </w:r>
      <w:r w:rsidR="00101C14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ів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соціальн</w:t>
      </w:r>
      <w:r w:rsidR="00101C14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их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допомог зазначеним категоріям громадян потребуватиме додаткових витрат з державного бюджету.</w:t>
      </w:r>
      <w:r w:rsidR="001D004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Водночас, у разі ухвалення органами місцевого самоврядування рішень про проведення доплат до встановлених відповідно до закону розмірів державної соціальної </w:t>
      </w:r>
      <w:r w:rsidR="001D0049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допомоги, прийняття законопроекту зумовить збільшення видатків місцевих бюджетів.</w:t>
      </w:r>
    </w:p>
    <w:p w:rsidR="007834F6" w:rsidRPr="00F35BD0" w:rsidRDefault="00257C79" w:rsidP="009939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За прогнозними розрахунками Міністерства фінансів України, наданими у експертному висновку до законопроекту, реалізація запропонованої законодавчої ініціативи потребуватиме додаткових витрат з</w:t>
      </w:r>
      <w:r w:rsidR="00CC30D4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державного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бюджету у сумі</w:t>
      </w:r>
      <w:r w:rsidR="00C1751A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101C14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щонайменше </w:t>
      </w:r>
      <w:r w:rsidR="005A5E5A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1</w:t>
      </w:r>
      <w:r w:rsidR="000D37BF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2</w:t>
      </w:r>
      <w:r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BA66AB" w:rsidRPr="00F35BD0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млрд. грн, </w:t>
      </w:r>
      <w:r w:rsidR="00BA66AB" w:rsidRPr="00F35B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 не буде забезпечено фінансовими ресурсами у відповідному бюджетному періоді.</w:t>
      </w:r>
    </w:p>
    <w:p w:rsidR="004758AC" w:rsidRPr="00F35BD0" w:rsidRDefault="003E3F77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Одн</w:t>
      </w:r>
      <w:r w:rsidR="004758AC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ак, в порушення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фінансово-економічне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  <w:r w:rsidR="00F01F26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Натомість у законопроекті Кабінету Міністрів України доручено </w:t>
      </w:r>
      <w:r w:rsidR="000D37BF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державного бюджету за рахунок них забезпечити підвищення грошової допомоги малозабезпеченим сім’ям.</w:t>
      </w:r>
    </w:p>
    <w:p w:rsidR="004758AC" w:rsidRPr="00F35BD0" w:rsidRDefault="004758A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термін набрання чинності законом, визначений у законопроекті </w:t>
      </w:r>
      <w:r w:rsidRPr="00F35BD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/з 1 січня 2021 року/</w:t>
      </w: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, не відповідає положенням частини третьої статті 27 Бюджетного кодексу України, що передбачає вимоги щодо введення в дію законів, що впливають на показники бюджету (зменшують надходження бюджету та/або збільшують витрати бюджету).</w:t>
      </w:r>
    </w:p>
    <w:p w:rsidR="004758AC" w:rsidRPr="00F35BD0" w:rsidRDefault="004758AC" w:rsidP="0047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підсумками розгляду Комітет ухвалив рішення, що проект Закону </w:t>
      </w:r>
      <w:r w:rsidR="000D37BF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Закону України </w:t>
      </w:r>
      <w:r w:rsidR="0056234E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0D37BF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Про державну соціальну допомогу малозабезпеченим сім'ям</w:t>
      </w:r>
      <w:r w:rsidR="0056234E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0D37BF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збільшення розміру допомоги (реєстр. № 4006 від 1.09.2020 р.), поданий народними депутатами України Тимошенко Ю.В., Соболєвим С.В.</w:t>
      </w:r>
      <w:r w:rsidR="005F0613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іншими народними депутатами України</w:t>
      </w: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має вплив на показники </w:t>
      </w:r>
      <w:r w:rsidR="001D0049">
        <w:rPr>
          <w:rFonts w:ascii="Times New Roman" w:eastAsia="Times New Roman" w:hAnsi="Times New Roman"/>
          <w:sz w:val="28"/>
          <w:szCs w:val="28"/>
          <w:lang w:val="uk-UA" w:eastAsia="ru-RU"/>
        </w:rPr>
        <w:t>бюджетів</w:t>
      </w: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(призведе до збільшення видатків</w:t>
      </w:r>
      <w:r w:rsidR="003E3F77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D00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державного бюджету </w:t>
      </w:r>
      <w:r w:rsidR="003E3F77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забезпечення виплати у підвищених розмірах державної соціальної допомоги </w:t>
      </w:r>
      <w:r w:rsidR="000D37BF"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>малозабезпеченим особам</w:t>
      </w:r>
      <w:r w:rsidR="001D00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може призвести до збільшення видатків місцевих бюджетів</w:t>
      </w:r>
      <w:r w:rsidRPr="00F35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Pr="00F35BD0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У разі прийняття відповідного закону до 15 липня 2021 року він </w:t>
      </w:r>
      <w:r w:rsidR="00433A70" w:rsidRPr="00F35BD0">
        <w:rPr>
          <w:rFonts w:ascii="Times New Roman" w:eastAsia="MS Mincho" w:hAnsi="Times New Roman"/>
          <w:sz w:val="28"/>
          <w:szCs w:val="28"/>
          <w:lang w:val="uk-UA" w:eastAsia="ja-JP"/>
        </w:rPr>
        <w:t>має вводитися в дію не раніше 1 </w:t>
      </w:r>
      <w:r w:rsidRPr="00F35BD0">
        <w:rPr>
          <w:rFonts w:ascii="Times New Roman" w:eastAsia="MS Mincho" w:hAnsi="Times New Roman"/>
          <w:sz w:val="28"/>
          <w:szCs w:val="28"/>
          <w:lang w:val="uk-UA" w:eastAsia="ja-JP"/>
        </w:rPr>
        <w:t>січня 2022 року, а після 15 липня 2021 року – не раніше 1 січня 2023 року (або 1 січня наступного за цим року залежно від часу прийняття закону).</w:t>
      </w:r>
    </w:p>
    <w:p w:rsidR="00A24363" w:rsidRPr="00F35BD0" w:rsidRDefault="00A24363" w:rsidP="00153BA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A24363" w:rsidRPr="00F35BD0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23341D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F35BD0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520511" w:rsidRPr="00F35BD0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F35BD0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23341D" w:rsidSect="00817F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5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4A" w:rsidRDefault="0079014A">
      <w:pPr>
        <w:spacing w:after="0" w:line="240" w:lineRule="auto"/>
      </w:pPr>
      <w:r>
        <w:separator/>
      </w:r>
    </w:p>
  </w:endnote>
  <w:endnote w:type="continuationSeparator" w:id="0">
    <w:p w:rsidR="0079014A" w:rsidRDefault="0079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748002"/>
      <w:docPartObj>
        <w:docPartGallery w:val="Page Numbers (Bottom of Page)"/>
        <w:docPartUnique/>
      </w:docPartObj>
    </w:sdtPr>
    <w:sdtEndPr/>
    <w:sdtContent>
      <w:p w:rsidR="0044407B" w:rsidRDefault="004440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CC" w:rsidRPr="002E17CC">
          <w:rPr>
            <w:noProof/>
            <w:lang w:val="uk-UA"/>
          </w:rPr>
          <w:t>2</w:t>
        </w:r>
        <w:r>
          <w:fldChar w:fldCharType="end"/>
        </w:r>
      </w:p>
    </w:sdtContent>
  </w:sdt>
  <w:p w:rsidR="0044407B" w:rsidRDefault="00444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2E17CC" w:rsidP="00936D62">
    <w:pPr>
      <w:pStyle w:val="a5"/>
    </w:pPr>
  </w:p>
  <w:p w:rsidR="00A7635E" w:rsidRDefault="002E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4A" w:rsidRDefault="0079014A">
      <w:pPr>
        <w:spacing w:after="0" w:line="240" w:lineRule="auto"/>
      </w:pPr>
      <w:r>
        <w:separator/>
      </w:r>
    </w:p>
  </w:footnote>
  <w:footnote w:type="continuationSeparator" w:id="0">
    <w:p w:rsidR="0079014A" w:rsidRDefault="0079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2E17C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2E17C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2E17C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2E17C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2E17C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2E17CC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2E17CC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374A3"/>
    <w:rsid w:val="00055BF9"/>
    <w:rsid w:val="0006455B"/>
    <w:rsid w:val="00082EBA"/>
    <w:rsid w:val="00090238"/>
    <w:rsid w:val="000C64FC"/>
    <w:rsid w:val="000D37BF"/>
    <w:rsid w:val="00101C14"/>
    <w:rsid w:val="001446C3"/>
    <w:rsid w:val="00153BA8"/>
    <w:rsid w:val="00180728"/>
    <w:rsid w:val="001D0049"/>
    <w:rsid w:val="00202915"/>
    <w:rsid w:val="00204E9C"/>
    <w:rsid w:val="0023341D"/>
    <w:rsid w:val="00257C79"/>
    <w:rsid w:val="002A61F8"/>
    <w:rsid w:val="002E17CC"/>
    <w:rsid w:val="002E420A"/>
    <w:rsid w:val="002E4393"/>
    <w:rsid w:val="003106EF"/>
    <w:rsid w:val="0032575A"/>
    <w:rsid w:val="0032624C"/>
    <w:rsid w:val="00357B08"/>
    <w:rsid w:val="00374527"/>
    <w:rsid w:val="00377236"/>
    <w:rsid w:val="0039031D"/>
    <w:rsid w:val="003A1960"/>
    <w:rsid w:val="003C7E0B"/>
    <w:rsid w:val="003E3F77"/>
    <w:rsid w:val="003E5F0E"/>
    <w:rsid w:val="004135A1"/>
    <w:rsid w:val="00433A70"/>
    <w:rsid w:val="0044407B"/>
    <w:rsid w:val="004652D3"/>
    <w:rsid w:val="004758AC"/>
    <w:rsid w:val="004B7CE9"/>
    <w:rsid w:val="004D3695"/>
    <w:rsid w:val="00520511"/>
    <w:rsid w:val="00523F2B"/>
    <w:rsid w:val="0056234E"/>
    <w:rsid w:val="005A4F8F"/>
    <w:rsid w:val="005A5E5A"/>
    <w:rsid w:val="005B66D6"/>
    <w:rsid w:val="005F0613"/>
    <w:rsid w:val="005F27C2"/>
    <w:rsid w:val="00607A04"/>
    <w:rsid w:val="006552D2"/>
    <w:rsid w:val="006726C5"/>
    <w:rsid w:val="00694A48"/>
    <w:rsid w:val="00696552"/>
    <w:rsid w:val="006A3395"/>
    <w:rsid w:val="006E2B60"/>
    <w:rsid w:val="006E5F19"/>
    <w:rsid w:val="007122D8"/>
    <w:rsid w:val="00721558"/>
    <w:rsid w:val="00744ED9"/>
    <w:rsid w:val="007773D0"/>
    <w:rsid w:val="007834F6"/>
    <w:rsid w:val="00787DE0"/>
    <w:rsid w:val="0079014A"/>
    <w:rsid w:val="007A2358"/>
    <w:rsid w:val="007A4EF3"/>
    <w:rsid w:val="007B728B"/>
    <w:rsid w:val="00817991"/>
    <w:rsid w:val="00817F5F"/>
    <w:rsid w:val="00841E63"/>
    <w:rsid w:val="008532CA"/>
    <w:rsid w:val="008D0A20"/>
    <w:rsid w:val="00936D62"/>
    <w:rsid w:val="009939E2"/>
    <w:rsid w:val="00A1761E"/>
    <w:rsid w:val="00A24363"/>
    <w:rsid w:val="00A93088"/>
    <w:rsid w:val="00AC085A"/>
    <w:rsid w:val="00AD7903"/>
    <w:rsid w:val="00AF7281"/>
    <w:rsid w:val="00BA18FB"/>
    <w:rsid w:val="00BA66AB"/>
    <w:rsid w:val="00C0707E"/>
    <w:rsid w:val="00C1751A"/>
    <w:rsid w:val="00C35272"/>
    <w:rsid w:val="00C6132E"/>
    <w:rsid w:val="00CC30D4"/>
    <w:rsid w:val="00CD1417"/>
    <w:rsid w:val="00CD4C8E"/>
    <w:rsid w:val="00D0214C"/>
    <w:rsid w:val="00D043F8"/>
    <w:rsid w:val="00D71CEE"/>
    <w:rsid w:val="00DA59CF"/>
    <w:rsid w:val="00EC050E"/>
    <w:rsid w:val="00EC6813"/>
    <w:rsid w:val="00F01F26"/>
    <w:rsid w:val="00F02965"/>
    <w:rsid w:val="00F35BD0"/>
    <w:rsid w:val="00F442F8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2866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8</cp:revision>
  <cp:lastPrinted>2020-11-16T09:24:00Z</cp:lastPrinted>
  <dcterms:created xsi:type="dcterms:W3CDTF">2020-11-22T09:34:00Z</dcterms:created>
  <dcterms:modified xsi:type="dcterms:W3CDTF">2020-11-25T13:54:00Z</dcterms:modified>
</cp:coreProperties>
</file>