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58" w:rsidRDefault="00D3781A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58" w:rsidRDefault="00D37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НАРОДНИЙ ДЕПУТАТ УКРАЇНИ</w:t>
      </w:r>
    </w:p>
    <w:p w:rsidR="00B00558" w:rsidRDefault="00D378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Кучеренко Олексій Юрійович</w:t>
      </w:r>
    </w:p>
    <w:p w:rsidR="00B00558" w:rsidRDefault="00D3781A">
      <w:pPr>
        <w:jc w:val="center"/>
        <w:rPr>
          <w:i/>
        </w:rPr>
      </w:pPr>
      <w:r>
        <w:rPr>
          <w:i/>
        </w:rPr>
        <w:t>01008, м. Київ, вул. Грушевського</w:t>
      </w:r>
      <w:r>
        <w:rPr>
          <w:i/>
          <w:lang w:val="uk-UA"/>
        </w:rPr>
        <w:t>,</w:t>
      </w:r>
      <w:r>
        <w:rPr>
          <w:i/>
        </w:rPr>
        <w:t xml:space="preserve"> 5</w:t>
      </w:r>
    </w:p>
    <w:p w:rsidR="00B00558" w:rsidRDefault="00D3781A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104774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d+fSr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tbl>
      <w:tblPr>
        <w:tblStyle w:val="a8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7"/>
        <w:gridCol w:w="140"/>
      </w:tblGrid>
      <w:tr w:rsidR="00B00558">
        <w:tc>
          <w:tcPr>
            <w:tcW w:w="4673" w:type="dxa"/>
          </w:tcPr>
          <w:p w:rsidR="00B00558" w:rsidRDefault="00B00558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7" w:type="dxa"/>
            <w:gridSpan w:val="2"/>
          </w:tcPr>
          <w:p w:rsidR="00B00558" w:rsidRDefault="00B0055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B00558">
        <w:trPr>
          <w:gridAfter w:val="1"/>
          <w:wAfter w:w="140" w:type="dxa"/>
        </w:trPr>
        <w:tc>
          <w:tcPr>
            <w:tcW w:w="4673" w:type="dxa"/>
          </w:tcPr>
          <w:p w:rsidR="00B00558" w:rsidRDefault="00D3781A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27" w:type="dxa"/>
          </w:tcPr>
          <w:p w:rsidR="00B00558" w:rsidRDefault="00D3781A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  <w:lang w:val="uk-UA"/>
              </w:rPr>
              <w:t>і Верховної Ради України</w:t>
            </w:r>
          </w:p>
          <w:p w:rsidR="00B00558" w:rsidRDefault="00D3781A">
            <w:pPr>
              <w:spacing w:before="24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РАЗУМКОВУ Д.О.</w:t>
            </w:r>
          </w:p>
        </w:tc>
      </w:tr>
    </w:tbl>
    <w:p w:rsidR="00B00558" w:rsidRDefault="00D3781A">
      <w:pPr>
        <w:tabs>
          <w:tab w:val="left" w:pos="709"/>
        </w:tabs>
        <w:spacing w:after="240"/>
        <w:ind w:firstLine="709"/>
        <w:jc w:val="center"/>
        <w:rPr>
          <w:rStyle w:val="name"/>
          <w:b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>ЗАЯВА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 xml:space="preserve">Відповідно до статті 48 Регламенту Верховної Ради України, звертаюся до Вас стосовно порушення встановленої Регламентом процедури при підготовці, розгляді й голосуванні у другому читанні та в цілому проекту Закону </w:t>
      </w:r>
      <w:r>
        <w:rPr>
          <w:rStyle w:val="name"/>
          <w:i/>
          <w:sz w:val="28"/>
          <w:szCs w:val="28"/>
          <w:lang w:val="uk-UA"/>
        </w:rPr>
        <w:t>про внесення змін до Прикінцевих та перехі</w:t>
      </w:r>
      <w:r>
        <w:rPr>
          <w:rStyle w:val="name"/>
          <w:i/>
          <w:sz w:val="28"/>
          <w:szCs w:val="28"/>
          <w:lang w:val="uk-UA"/>
        </w:rPr>
        <w:t>дних положень Закону України «Про ринок електричної енергії» щодо постачання електричної енергії для забезпечення функціонування спільного майна багатоквартирного житлового будинку</w:t>
      </w:r>
      <w:r>
        <w:rPr>
          <w:rStyle w:val="name"/>
          <w:sz w:val="28"/>
          <w:szCs w:val="28"/>
          <w:lang w:val="uk-UA"/>
        </w:rPr>
        <w:t xml:space="preserve"> (реєстр. </w:t>
      </w:r>
      <w:r>
        <w:rPr>
          <w:rStyle w:val="name"/>
          <w:b/>
          <w:sz w:val="28"/>
          <w:szCs w:val="28"/>
          <w:lang w:val="uk-UA"/>
        </w:rPr>
        <w:t>№ 2098 від 09.09.2019</w:t>
      </w:r>
      <w:r>
        <w:rPr>
          <w:rStyle w:val="name"/>
          <w:sz w:val="28"/>
          <w:szCs w:val="28"/>
          <w:lang w:val="uk-UA"/>
        </w:rPr>
        <w:t>).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>01 вересня 2020 року</w:t>
      </w:r>
      <w:r>
        <w:rPr>
          <w:rStyle w:val="name"/>
          <w:sz w:val="28"/>
          <w:szCs w:val="28"/>
          <w:lang w:val="uk-UA"/>
        </w:rPr>
        <w:t xml:space="preserve"> Верховна Рада України</w:t>
      </w:r>
      <w:r>
        <w:rPr>
          <w:rStyle w:val="name"/>
          <w:sz w:val="28"/>
          <w:szCs w:val="28"/>
          <w:lang w:val="uk-UA"/>
        </w:rPr>
        <w:t xml:space="preserve"> прийняла рішення про прийняття в цілому як </w:t>
      </w:r>
      <w:r>
        <w:rPr>
          <w:rStyle w:val="name"/>
          <w:sz w:val="28"/>
          <w:szCs w:val="28"/>
        </w:rPr>
        <w:t>З</w:t>
      </w:r>
      <w:r>
        <w:rPr>
          <w:rStyle w:val="name"/>
          <w:sz w:val="28"/>
          <w:szCs w:val="28"/>
          <w:lang w:val="uk-UA"/>
        </w:rPr>
        <w:t>акону України проекту Закону № 2098 від 09.09.2019.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Вважаю, що розгляд та прийняття зазначеного рішення супроводжувався численними порушеннями ряду вимог Конституції України та встановленої Регламентом Верховної</w:t>
      </w:r>
      <w:r>
        <w:rPr>
          <w:rStyle w:val="name"/>
          <w:sz w:val="28"/>
          <w:szCs w:val="28"/>
          <w:lang w:val="uk-UA"/>
        </w:rPr>
        <w:t xml:space="preserve"> Ради України процедури при розгляді й голосуванні проекту закону.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На мою думку, порушення стосувалося вимог частини першої статті 116, частини другої статті 117, частини шостої статті 118, частини першої статті 119, частини п’ятої статті 120, частини п’ят</w:t>
      </w:r>
      <w:r>
        <w:rPr>
          <w:rStyle w:val="name"/>
          <w:sz w:val="28"/>
          <w:szCs w:val="28"/>
          <w:lang w:val="uk-UA"/>
        </w:rPr>
        <w:t>ої статті 121 Регламенту.</w:t>
      </w:r>
    </w:p>
    <w:p w:rsidR="00B00558" w:rsidRDefault="00D3781A">
      <w:pPr>
        <w:tabs>
          <w:tab w:val="left" w:pos="709"/>
        </w:tabs>
        <w:spacing w:before="240"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>1.</w:t>
      </w:r>
      <w:r>
        <w:rPr>
          <w:rStyle w:val="name"/>
          <w:sz w:val="28"/>
          <w:szCs w:val="28"/>
          <w:lang w:val="uk-UA"/>
        </w:rPr>
        <w:t xml:space="preserve"> Відповідно до частини 1 статті 116 Регламенту: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i/>
          <w:sz w:val="28"/>
          <w:szCs w:val="28"/>
          <w:lang w:val="uk-UA"/>
        </w:rPr>
      </w:pPr>
      <w:r>
        <w:rPr>
          <w:rStyle w:val="name"/>
          <w:i/>
          <w:sz w:val="28"/>
          <w:szCs w:val="28"/>
          <w:lang w:val="uk-UA"/>
        </w:rPr>
        <w:t xml:space="preserve">«Пропозиції і поправки до законопроекту, який готується до другого читання, </w:t>
      </w:r>
      <w:r>
        <w:rPr>
          <w:rStyle w:val="name"/>
          <w:b/>
          <w:i/>
          <w:sz w:val="28"/>
          <w:szCs w:val="28"/>
          <w:u w:val="single"/>
          <w:lang w:val="uk-UA"/>
        </w:rPr>
        <w:t>можуть вноситися лише до того тексту законопроекту</w:t>
      </w:r>
      <w:r>
        <w:rPr>
          <w:rStyle w:val="name"/>
          <w:i/>
          <w:sz w:val="28"/>
          <w:szCs w:val="28"/>
          <w:lang w:val="uk-UA"/>
        </w:rPr>
        <w:t xml:space="preserve"> </w:t>
      </w:r>
      <w:r>
        <w:rPr>
          <w:rStyle w:val="name"/>
          <w:b/>
          <w:i/>
          <w:sz w:val="28"/>
          <w:szCs w:val="28"/>
          <w:u w:val="single"/>
          <w:lang w:val="uk-UA"/>
        </w:rPr>
        <w:t>(розділів, глав, статей, їх частин, пунктів, підпункт</w:t>
      </w:r>
      <w:r>
        <w:rPr>
          <w:rStyle w:val="name"/>
          <w:b/>
          <w:i/>
          <w:sz w:val="28"/>
          <w:szCs w:val="28"/>
          <w:u w:val="single"/>
          <w:lang w:val="uk-UA"/>
        </w:rPr>
        <w:t>ів, абзаців, речень), який прийнятий Верховною Радою за основу</w:t>
      </w:r>
      <w:r>
        <w:rPr>
          <w:rStyle w:val="name"/>
          <w:i/>
          <w:sz w:val="28"/>
          <w:szCs w:val="28"/>
          <w:lang w:val="uk-UA"/>
        </w:rPr>
        <w:t xml:space="preserve">. Головний комітет, </w:t>
      </w:r>
      <w:r>
        <w:rPr>
          <w:rStyle w:val="name"/>
          <w:b/>
          <w:i/>
          <w:sz w:val="28"/>
          <w:szCs w:val="28"/>
          <w:u w:val="single"/>
          <w:lang w:val="uk-UA"/>
        </w:rPr>
        <w:t>як виняток</w:t>
      </w:r>
      <w:r>
        <w:rPr>
          <w:rStyle w:val="name"/>
          <w:i/>
          <w:sz w:val="28"/>
          <w:szCs w:val="28"/>
          <w:lang w:val="uk-UA"/>
        </w:rPr>
        <w:t>, може прийняти рішення про врахування внесених пропозицій і поправок щодо виправлень, уточнень, усунення помилок та/або суперечностей у тексті законопроекту, інших</w:t>
      </w:r>
      <w:r>
        <w:rPr>
          <w:rStyle w:val="name"/>
          <w:i/>
          <w:sz w:val="28"/>
          <w:szCs w:val="28"/>
          <w:lang w:val="uk-UA"/>
        </w:rPr>
        <w:t xml:space="preserve"> структурних частин законопроекту та/або інших законодавчих актів, що не були предметом розгляду в першому читанні, </w:t>
      </w:r>
      <w:r>
        <w:rPr>
          <w:rStyle w:val="name"/>
          <w:b/>
          <w:i/>
          <w:sz w:val="28"/>
          <w:szCs w:val="28"/>
          <w:u w:val="single"/>
          <w:lang w:val="uk-UA"/>
        </w:rPr>
        <w:t>якщо про необхідність їх внесення було зазначено у висновках цього головного комітету та/або експертного підрозділу Апарату Верховної Ради і</w:t>
      </w:r>
      <w:r>
        <w:rPr>
          <w:rStyle w:val="name"/>
          <w:b/>
          <w:i/>
          <w:sz w:val="28"/>
          <w:szCs w:val="28"/>
          <w:u w:val="single"/>
          <w:lang w:val="uk-UA"/>
        </w:rPr>
        <w:t xml:space="preserve"> оголошено головуючим на пленарному засіданні </w:t>
      </w:r>
      <w:r>
        <w:rPr>
          <w:rStyle w:val="name"/>
          <w:i/>
          <w:sz w:val="28"/>
          <w:szCs w:val="28"/>
          <w:lang w:val="uk-UA"/>
        </w:rPr>
        <w:t>під час розгляду такого законопроекту у першому читанні. Такі пропозиції і поправки повинні відповідати предмету правового регулювання законопроекту.»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b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lastRenderedPageBreak/>
        <w:t>У той же час, у порівняльній таблиці до другого читання вно</w:t>
      </w:r>
      <w:r>
        <w:rPr>
          <w:rStyle w:val="name"/>
          <w:b/>
          <w:sz w:val="28"/>
          <w:szCs w:val="28"/>
          <w:lang w:val="uk-UA"/>
        </w:rPr>
        <w:t xml:space="preserve">сяться зміни до статті 66 Закону України «Про ринок електричної енергії», яка жодним чином не змінювалася редакцією першого читання. 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b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>Більше того, зміни редакції до першого читання вносилися ЛИШЕ до прикінцевих та перехідних положень даного Закону України,</w:t>
      </w:r>
      <w:r>
        <w:rPr>
          <w:rStyle w:val="name"/>
          <w:b/>
          <w:sz w:val="28"/>
          <w:szCs w:val="28"/>
          <w:lang w:val="uk-UA"/>
        </w:rPr>
        <w:t xml:space="preserve"> що у тому числі підтверджується його назвою — «Про внесення змін до Прикінцевих та перехідних положень Закону України …»!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Крім цього, висновок Головного науково-експертного управління від  23.01.2020 не містить жодного (!) зауваження до тексту проекту Зак</w:t>
      </w:r>
      <w:r>
        <w:rPr>
          <w:rStyle w:val="name"/>
          <w:sz w:val="28"/>
          <w:szCs w:val="28"/>
          <w:lang w:val="uk-UA"/>
        </w:rPr>
        <w:t>ону, що свідчить про відсутність необхідності (та можливості) узгодження, або редагування його інших норм.</w:t>
      </w:r>
    </w:p>
    <w:p w:rsidR="00B00558" w:rsidRDefault="00D3781A">
      <w:pPr>
        <w:tabs>
          <w:tab w:val="left" w:pos="709"/>
        </w:tabs>
        <w:spacing w:before="240"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>2.</w:t>
      </w:r>
      <w:r>
        <w:rPr>
          <w:rStyle w:val="name"/>
          <w:sz w:val="28"/>
          <w:szCs w:val="28"/>
          <w:lang w:val="uk-UA"/>
        </w:rPr>
        <w:t xml:space="preserve"> Відповідно до частини 2 статті 117 Регламенту:</w:t>
      </w:r>
    </w:p>
    <w:p w:rsidR="00B00558" w:rsidRDefault="00D3781A">
      <w:pPr>
        <w:tabs>
          <w:tab w:val="left" w:pos="709"/>
        </w:tabs>
        <w:spacing w:before="240" w:after="100"/>
        <w:ind w:firstLine="709"/>
        <w:jc w:val="both"/>
        <w:rPr>
          <w:rStyle w:val="name"/>
          <w:i/>
          <w:sz w:val="28"/>
          <w:szCs w:val="28"/>
          <w:lang w:val="uk-UA"/>
        </w:rPr>
      </w:pPr>
      <w:r>
        <w:rPr>
          <w:rStyle w:val="name"/>
          <w:i/>
          <w:sz w:val="28"/>
          <w:szCs w:val="28"/>
          <w:lang w:val="uk-UA"/>
        </w:rPr>
        <w:t>«Висновки юридичної експертизи та редакційного опрацювання підписуються керівниками відповідних під</w:t>
      </w:r>
      <w:r>
        <w:rPr>
          <w:rStyle w:val="name"/>
          <w:i/>
          <w:sz w:val="28"/>
          <w:szCs w:val="28"/>
          <w:lang w:val="uk-UA"/>
        </w:rPr>
        <w:t>розділів та додаються до супровідних документів, які надаються народним депутатам разом із законопроектом. Такі висновки можуть бути враховані головним комітетом під час підготовки законопроекту до другого чи повторного другого читання.»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При цьому, у висно</w:t>
      </w:r>
      <w:r>
        <w:rPr>
          <w:rStyle w:val="name"/>
          <w:sz w:val="28"/>
          <w:szCs w:val="28"/>
          <w:lang w:val="uk-UA"/>
        </w:rPr>
        <w:t xml:space="preserve">вку комітету від 20.07.2020 зазначено, що «Головне юридичне управління завізувало законопроект із зауваженнями». Зазначені зауваження викладені у документах до законопроекту. 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Зокрема, Головне юридичне управління у висновку від 24.07.2020 зазначило про пор</w:t>
      </w:r>
      <w:r>
        <w:rPr>
          <w:rStyle w:val="name"/>
          <w:sz w:val="28"/>
          <w:szCs w:val="28"/>
          <w:lang w:val="uk-UA"/>
        </w:rPr>
        <w:t>ушення Регламенту ВР України з причин, що викладені у попередньому розділі.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 xml:space="preserve">При цьому, на засіданні Комітету енергетики та житлово-комунальних послуг, відповідно до його стенограми — </w:t>
      </w:r>
      <w:r>
        <w:rPr>
          <w:rStyle w:val="name"/>
          <w:sz w:val="28"/>
          <w:szCs w:val="28"/>
          <w:u w:val="single"/>
          <w:lang w:val="uk-UA"/>
        </w:rPr>
        <w:t>http://kompek.rada.gov.ua/uploads/documents/30599.pdf</w:t>
      </w:r>
      <w:r>
        <w:rPr>
          <w:rStyle w:val="name"/>
          <w:sz w:val="28"/>
          <w:szCs w:val="28"/>
          <w:lang w:val="uk-UA"/>
        </w:rPr>
        <w:t xml:space="preserve"> , розглядалася дана</w:t>
      </w:r>
      <w:r>
        <w:rPr>
          <w:rStyle w:val="name"/>
          <w:sz w:val="28"/>
          <w:szCs w:val="28"/>
          <w:lang w:val="uk-UA"/>
        </w:rPr>
        <w:t xml:space="preserve"> обставина:</w:t>
      </w:r>
    </w:p>
    <w:p w:rsidR="00B00558" w:rsidRDefault="00D3781A">
      <w:pPr>
        <w:tabs>
          <w:tab w:val="left" w:pos="709"/>
        </w:tabs>
        <w:spacing w:after="100"/>
        <w:ind w:left="709"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 xml:space="preserve">«ГОЛОВУЮЧИЙ. Зрозуміло. Це який номер правки? Номер 3. Законопроект 2098. Це про те, щоби не можна було маніпулювати ринком,  проводячи торгівлю між афілійованими особами, виробниками і споживачами….. Прошу, Вікторія Гриб, ваша позиція тут. </w:t>
      </w:r>
      <w:r>
        <w:rPr>
          <w:rStyle w:val="name"/>
          <w:sz w:val="28"/>
          <w:szCs w:val="28"/>
          <w:lang w:val="uk-UA"/>
        </w:rPr>
        <w:t>Підтримуєте?</w:t>
      </w:r>
    </w:p>
    <w:p w:rsidR="00B00558" w:rsidRDefault="00D3781A">
      <w:pPr>
        <w:tabs>
          <w:tab w:val="left" w:pos="709"/>
        </w:tabs>
        <w:spacing w:after="100"/>
        <w:ind w:left="709" w:firstLine="709"/>
        <w:jc w:val="both"/>
        <w:rPr>
          <w:rStyle w:val="name"/>
          <w:sz w:val="28"/>
          <w:szCs w:val="28"/>
          <w:lang w:val="en-US"/>
        </w:rPr>
      </w:pPr>
      <w:r>
        <w:rPr>
          <w:rStyle w:val="name"/>
          <w:sz w:val="28"/>
          <w:szCs w:val="28"/>
          <w:lang w:val="uk-UA"/>
        </w:rPr>
        <w:t xml:space="preserve">ГРИБ В.О. Ні, моя позиція – не підтримувати цю правку, </w:t>
      </w:r>
      <w:r>
        <w:rPr>
          <w:rStyle w:val="name"/>
          <w:b/>
          <w:sz w:val="28"/>
          <w:szCs w:val="28"/>
          <w:lang w:val="uk-UA"/>
        </w:rPr>
        <w:t>тому що вона не відповідає частині першій статті 116 про Регламент ВРУ. Пропозиції і поправки до законопроекту, який готується до другого читання, можуть вноситися лише до того тексту зако</w:t>
      </w:r>
      <w:r>
        <w:rPr>
          <w:rStyle w:val="name"/>
          <w:b/>
          <w:sz w:val="28"/>
          <w:szCs w:val="28"/>
          <w:lang w:val="uk-UA"/>
        </w:rPr>
        <w:t>нопроекту, який прийнятий Верховною Радою за основу</w:t>
      </w:r>
      <w:r>
        <w:rPr>
          <w:rStyle w:val="name"/>
          <w:sz w:val="28"/>
          <w:szCs w:val="28"/>
          <w:lang w:val="uk-UA"/>
        </w:rPr>
        <w:t>.</w:t>
      </w:r>
      <w:r>
        <w:rPr>
          <w:rStyle w:val="name"/>
          <w:sz w:val="28"/>
          <w:szCs w:val="28"/>
          <w:lang w:val="en-US"/>
        </w:rPr>
        <w:t xml:space="preserve"> […]</w:t>
      </w:r>
    </w:p>
    <w:p w:rsidR="00B00558" w:rsidRDefault="00D3781A">
      <w:pPr>
        <w:tabs>
          <w:tab w:val="left" w:pos="709"/>
        </w:tabs>
        <w:spacing w:after="100"/>
        <w:ind w:left="709"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ГОЛОВУЮЧИЙ. Зрозуміло. Це є правка номер 3. Немає ні в кого більш ніяких коментарів? Олексій Юрійович, прошу.</w:t>
      </w:r>
    </w:p>
    <w:p w:rsidR="00B00558" w:rsidRDefault="00D3781A">
      <w:pPr>
        <w:tabs>
          <w:tab w:val="left" w:pos="709"/>
        </w:tabs>
        <w:spacing w:after="100"/>
        <w:ind w:left="709" w:firstLine="709"/>
        <w:jc w:val="both"/>
        <w:rPr>
          <w:rStyle w:val="name"/>
          <w:sz w:val="28"/>
          <w:szCs w:val="28"/>
          <w:lang w:val="en-US"/>
        </w:rPr>
      </w:pPr>
      <w:r>
        <w:rPr>
          <w:rStyle w:val="name"/>
          <w:sz w:val="28"/>
          <w:szCs w:val="28"/>
          <w:lang w:val="uk-UA"/>
        </w:rPr>
        <w:lastRenderedPageBreak/>
        <w:t xml:space="preserve">КУЧЕРЕНКО О.Ю. Друзі, ну, давайте не повторювати помилок. Цей законопроект мав за мету </w:t>
      </w:r>
      <w:r>
        <w:rPr>
          <w:rStyle w:val="name"/>
          <w:sz w:val="28"/>
          <w:szCs w:val="28"/>
          <w:lang w:val="uk-UA"/>
        </w:rPr>
        <w:t>абсолютно просте ….. рішення: врегулювати споживання категорії споживачів в одному …… Я дуже просив би колегу Жупанина, ну, може, його потужна правка в якомусь іншому законопроекті пройде, може….... (Не чути)</w:t>
      </w:r>
      <w:r>
        <w:rPr>
          <w:rStyle w:val="name"/>
          <w:sz w:val="28"/>
          <w:szCs w:val="28"/>
          <w:lang w:val="en-US"/>
        </w:rPr>
        <w:t xml:space="preserve"> […]</w:t>
      </w:r>
    </w:p>
    <w:p w:rsidR="00B00558" w:rsidRDefault="00D3781A">
      <w:pPr>
        <w:tabs>
          <w:tab w:val="left" w:pos="709"/>
        </w:tabs>
        <w:spacing w:after="100"/>
        <w:ind w:left="709" w:firstLine="709"/>
        <w:jc w:val="both"/>
        <w:rPr>
          <w:rStyle w:val="name"/>
          <w:sz w:val="28"/>
          <w:szCs w:val="28"/>
          <w:lang w:val="en-US"/>
        </w:rPr>
      </w:pPr>
      <w:r>
        <w:rPr>
          <w:rStyle w:val="name"/>
          <w:sz w:val="28"/>
          <w:szCs w:val="28"/>
          <w:lang w:val="uk-UA"/>
        </w:rPr>
        <w:t xml:space="preserve">ЖУПАНИН А.В. </w:t>
      </w:r>
      <w:r>
        <w:rPr>
          <w:rStyle w:val="name"/>
          <w:sz w:val="28"/>
          <w:szCs w:val="28"/>
          <w:lang w:val="en-US"/>
        </w:rPr>
        <w:t xml:space="preserve">[…] Тому, дивіться, я приношу </w:t>
      </w:r>
      <w:r>
        <w:rPr>
          <w:rStyle w:val="name"/>
          <w:sz w:val="28"/>
          <w:szCs w:val="28"/>
          <w:lang w:val="en-US"/>
        </w:rPr>
        <w:t xml:space="preserve">вибачення за те, </w:t>
      </w:r>
      <w:r>
        <w:rPr>
          <w:rStyle w:val="name"/>
          <w:b/>
          <w:sz w:val="28"/>
          <w:szCs w:val="28"/>
          <w:lang w:val="en-US"/>
        </w:rPr>
        <w:t>що воно вставляється як би не в той законопроект, в якому мало би</w:t>
      </w:r>
      <w:r>
        <w:rPr>
          <w:rStyle w:val="name"/>
          <w:sz w:val="28"/>
          <w:szCs w:val="28"/>
          <w:lang w:val="en-US"/>
        </w:rPr>
        <w:t xml:space="preserve"> бути,,, […]</w:t>
      </w:r>
    </w:p>
    <w:p w:rsidR="00B00558" w:rsidRDefault="00D3781A">
      <w:pPr>
        <w:tabs>
          <w:tab w:val="left" w:pos="709"/>
        </w:tabs>
        <w:spacing w:after="100"/>
        <w:ind w:left="709"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en-US"/>
        </w:rPr>
        <w:t xml:space="preserve">ГОЛОВУЮЧИЙ. Дивіться, Олексій Юрійович, </w:t>
      </w:r>
      <w:r>
        <w:rPr>
          <w:rStyle w:val="name"/>
          <w:b/>
          <w:sz w:val="28"/>
          <w:szCs w:val="28"/>
          <w:lang w:val="en-US"/>
        </w:rPr>
        <w:t>перед тим в законопроект про "зелених" понаставляли різних норм, які не мають відношення.</w:t>
      </w:r>
      <w:r>
        <w:rPr>
          <w:rStyle w:val="name"/>
          <w:sz w:val="28"/>
          <w:szCs w:val="28"/>
          <w:lang w:val="uk-UA"/>
        </w:rPr>
        <w:t>»</w:t>
      </w:r>
    </w:p>
    <w:p w:rsidR="00B00558" w:rsidRDefault="00B00558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</w:p>
    <w:p w:rsidR="00B00558" w:rsidRDefault="00D3781A">
      <w:pPr>
        <w:tabs>
          <w:tab w:val="left" w:pos="709"/>
        </w:tabs>
        <w:spacing w:after="100"/>
        <w:jc w:val="both"/>
        <w:rPr>
          <w:rStyle w:val="name"/>
          <w:b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ab/>
        <w:t>Натомість, Комітет, знаючи п</w:t>
      </w:r>
      <w:r>
        <w:rPr>
          <w:rStyle w:val="name"/>
          <w:b/>
          <w:sz w:val="28"/>
          <w:szCs w:val="28"/>
          <w:lang w:val="uk-UA"/>
        </w:rPr>
        <w:t>ро порушення Регламенту, про яке попередило ГНЕУ, не вжив жодних дій для запобігання цього та обговорював і шукав виправдання тому, як норми вставляються «не туди».</w:t>
      </w:r>
    </w:p>
    <w:p w:rsidR="00B00558" w:rsidRDefault="00D3781A">
      <w:pPr>
        <w:tabs>
          <w:tab w:val="left" w:pos="709"/>
        </w:tabs>
        <w:spacing w:before="240"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ab/>
        <w:t>3.</w:t>
      </w:r>
      <w:r>
        <w:rPr>
          <w:rStyle w:val="name"/>
          <w:sz w:val="28"/>
          <w:szCs w:val="28"/>
          <w:lang w:val="uk-UA"/>
        </w:rPr>
        <w:t xml:space="preserve"> Відповідно до частини 6 статті 118 Регламенту: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i/>
          <w:sz w:val="28"/>
          <w:szCs w:val="28"/>
          <w:lang w:val="uk-UA"/>
        </w:rPr>
      </w:pPr>
      <w:r>
        <w:rPr>
          <w:rStyle w:val="name"/>
          <w:i/>
          <w:sz w:val="28"/>
          <w:szCs w:val="28"/>
          <w:lang w:val="uk-UA"/>
        </w:rPr>
        <w:t>«У разі якщо висновки юридичної експерти</w:t>
      </w:r>
      <w:r>
        <w:rPr>
          <w:rStyle w:val="name"/>
          <w:i/>
          <w:sz w:val="28"/>
          <w:szCs w:val="28"/>
          <w:lang w:val="uk-UA"/>
        </w:rPr>
        <w:t>зи та редакційного опрацювання містять зауваження до законопроекту, підготовленого до другого читання чи повторного другого читання, головний комітет може розглянути на своєму засіданні пропозиції (поправки) членів комітету, підготовлені з урахуванням таки</w:t>
      </w:r>
      <w:r>
        <w:rPr>
          <w:rStyle w:val="name"/>
          <w:i/>
          <w:sz w:val="28"/>
          <w:szCs w:val="28"/>
          <w:lang w:val="uk-UA"/>
        </w:rPr>
        <w:t>х висновків.»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Всупереч цьому, Комітетом при підготовці законопроекту не було розглянуто пропозицій для усунення порушень та зауважень з урахуванням наведених висновків ГНЕУ.</w:t>
      </w:r>
    </w:p>
    <w:p w:rsidR="00B00558" w:rsidRDefault="00D3781A">
      <w:pPr>
        <w:tabs>
          <w:tab w:val="left" w:pos="709"/>
        </w:tabs>
        <w:spacing w:before="240"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>4.</w:t>
      </w:r>
      <w:r>
        <w:rPr>
          <w:rStyle w:val="name"/>
          <w:sz w:val="28"/>
          <w:szCs w:val="28"/>
          <w:lang w:val="uk-UA"/>
        </w:rPr>
        <w:t xml:space="preserve"> Відповідно до частини 1 статті 119 Регламенту: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i/>
          <w:sz w:val="28"/>
          <w:szCs w:val="28"/>
          <w:lang w:val="uk-UA"/>
        </w:rPr>
      </w:pPr>
      <w:r>
        <w:rPr>
          <w:rStyle w:val="name"/>
          <w:i/>
          <w:sz w:val="28"/>
          <w:szCs w:val="28"/>
          <w:lang w:val="uk-UA"/>
        </w:rPr>
        <w:t xml:space="preserve">«Під час розгляду законопроекту </w:t>
      </w:r>
      <w:r>
        <w:rPr>
          <w:rStyle w:val="name"/>
          <w:i/>
          <w:sz w:val="28"/>
          <w:szCs w:val="28"/>
          <w:lang w:val="uk-UA"/>
        </w:rPr>
        <w:t xml:space="preserve">в другому читанні Верховна Рада проводить його </w:t>
      </w:r>
      <w:r>
        <w:rPr>
          <w:rStyle w:val="name"/>
          <w:b/>
          <w:i/>
          <w:sz w:val="28"/>
          <w:szCs w:val="28"/>
          <w:lang w:val="uk-UA"/>
        </w:rPr>
        <w:t>постатейне обговорення</w:t>
      </w:r>
      <w:r>
        <w:rPr>
          <w:rStyle w:val="name"/>
          <w:i/>
          <w:sz w:val="28"/>
          <w:szCs w:val="28"/>
          <w:lang w:val="uk-UA"/>
        </w:rPr>
        <w:t xml:space="preserve"> та голосування, крім випадку розгляду законопроекту за особливою процедурою (стаття 119-1 цього Регламенту). У разі необхідності можуть обговорюватися і ставитися на голосування окремі ч</w:t>
      </w:r>
      <w:r>
        <w:rPr>
          <w:rStyle w:val="name"/>
          <w:i/>
          <w:sz w:val="28"/>
          <w:szCs w:val="28"/>
          <w:lang w:val="uk-UA"/>
        </w:rPr>
        <w:t>астини, пункти, підпункти, речення або статті.»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Згідно з частиною 5 статті 120 Регламенту: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i/>
          <w:sz w:val="28"/>
          <w:szCs w:val="28"/>
          <w:lang w:val="uk-UA"/>
        </w:rPr>
      </w:pPr>
      <w:r>
        <w:rPr>
          <w:rStyle w:val="name"/>
          <w:i/>
          <w:sz w:val="28"/>
          <w:szCs w:val="28"/>
          <w:lang w:val="uk-UA"/>
        </w:rPr>
        <w:t xml:space="preserve">«Право на роз'яснення пропозицій і поправок </w:t>
      </w:r>
      <w:r>
        <w:rPr>
          <w:rStyle w:val="name"/>
          <w:b/>
          <w:i/>
          <w:sz w:val="28"/>
          <w:szCs w:val="28"/>
          <w:lang w:val="uk-UA"/>
        </w:rPr>
        <w:t xml:space="preserve">мають ініціатори їх внесення </w:t>
      </w:r>
      <w:r>
        <w:rPr>
          <w:rStyle w:val="name"/>
          <w:i/>
          <w:sz w:val="28"/>
          <w:szCs w:val="28"/>
          <w:lang w:val="uk-UA"/>
        </w:rPr>
        <w:t>- суб'єкти права законодавчої ініціативи. Якщо до однієї статті або її частини є декілька пр</w:t>
      </w:r>
      <w:r>
        <w:rPr>
          <w:rStyle w:val="name"/>
          <w:i/>
          <w:sz w:val="28"/>
          <w:szCs w:val="28"/>
          <w:lang w:val="uk-UA"/>
        </w:rPr>
        <w:t>опозицій, які виключають одна одну, їх обговорення проводиться одночасно з послідовним, у порядку черговості їх внесення, наданням слова ініціаторам їх внесення.»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lastRenderedPageBreak/>
        <w:t>Натомість, під час розгляду законопроекту в залі ВР України 01.09.2020 не відбувалося його об</w:t>
      </w:r>
      <w:r>
        <w:rPr>
          <w:rStyle w:val="name"/>
          <w:sz w:val="28"/>
          <w:szCs w:val="28"/>
          <w:lang w:val="uk-UA"/>
        </w:rPr>
        <w:t xml:space="preserve">говорення, а мене, як автора законопроекту та більшості поправок до нього — взагалі було позбавлено права на виступ. </w:t>
      </w:r>
    </w:p>
    <w:p w:rsidR="00B00558" w:rsidRDefault="00D3781A">
      <w:pPr>
        <w:tabs>
          <w:tab w:val="left" w:pos="709"/>
        </w:tabs>
        <w:spacing w:before="240"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>5.</w:t>
      </w:r>
      <w:r>
        <w:rPr>
          <w:rStyle w:val="name"/>
          <w:sz w:val="28"/>
          <w:szCs w:val="28"/>
          <w:lang w:val="uk-UA"/>
        </w:rPr>
        <w:t xml:space="preserve"> Відповідно до частини 5 статті 121 Регламенту: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i/>
          <w:sz w:val="28"/>
          <w:szCs w:val="28"/>
          <w:lang w:val="uk-UA"/>
        </w:rPr>
      </w:pPr>
      <w:r>
        <w:rPr>
          <w:rStyle w:val="name"/>
          <w:i/>
          <w:sz w:val="28"/>
          <w:szCs w:val="28"/>
          <w:lang w:val="uk-UA"/>
        </w:rPr>
        <w:t>«Після завершення постатейного розгляду законопроекту Верховна Рада проводить голосуванн</w:t>
      </w:r>
      <w:r>
        <w:rPr>
          <w:rStyle w:val="name"/>
          <w:i/>
          <w:sz w:val="28"/>
          <w:szCs w:val="28"/>
          <w:lang w:val="uk-UA"/>
        </w:rPr>
        <w:t xml:space="preserve">я щодо прийняття законопроекту в другому читанні. Якщо до законопроекту </w:t>
      </w:r>
      <w:r>
        <w:rPr>
          <w:rStyle w:val="name"/>
          <w:b/>
          <w:i/>
          <w:sz w:val="28"/>
          <w:szCs w:val="28"/>
          <w:lang w:val="uk-UA"/>
        </w:rPr>
        <w:t>немає зауважень народних депутатів</w:t>
      </w:r>
      <w:r>
        <w:rPr>
          <w:rStyle w:val="name"/>
          <w:i/>
          <w:sz w:val="28"/>
          <w:szCs w:val="28"/>
          <w:lang w:val="uk-UA"/>
        </w:rPr>
        <w:t>, головуючий на пленарному засіданні може поставити його на голосування в цілому як акт Верховної Ради.»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У той же час, мене було позбавлено права огол</w:t>
      </w:r>
      <w:r>
        <w:rPr>
          <w:rStyle w:val="name"/>
          <w:sz w:val="28"/>
          <w:szCs w:val="28"/>
          <w:lang w:val="uk-UA"/>
        </w:rPr>
        <w:t>осити зауваження щодо даного законопроекту та процедури його підготовки і розгляду.</w:t>
      </w:r>
    </w:p>
    <w:p w:rsidR="00B00558" w:rsidRDefault="00B00558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>Враховуючи наведене, виходячи із зазначених підстав, вважаю, що рішення про прийняття в цілому як Закону України Проекту Закону про внесення змін до Прикінцевих та перехід</w:t>
      </w:r>
      <w:r>
        <w:rPr>
          <w:rStyle w:val="name"/>
          <w:sz w:val="28"/>
          <w:szCs w:val="28"/>
          <w:lang w:val="uk-UA"/>
        </w:rPr>
        <w:t xml:space="preserve">них положень Закону України «Про ринок електричної енергії» щодо постачання електричної енергії для забезпечення функціонування спільного майна багатоквартирного житлового будинку (реєстр. </w:t>
      </w:r>
      <w:r>
        <w:rPr>
          <w:rStyle w:val="name"/>
          <w:b/>
          <w:sz w:val="28"/>
          <w:szCs w:val="28"/>
          <w:lang w:val="uk-UA"/>
        </w:rPr>
        <w:t>№ 2098 від 09.09.2019</w:t>
      </w:r>
      <w:r>
        <w:rPr>
          <w:rStyle w:val="name"/>
          <w:sz w:val="28"/>
          <w:szCs w:val="28"/>
          <w:lang w:val="uk-UA"/>
        </w:rPr>
        <w:t>).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b/>
          <w:sz w:val="28"/>
          <w:szCs w:val="28"/>
          <w:lang w:val="uk-UA"/>
        </w:rPr>
      </w:pPr>
      <w:r>
        <w:rPr>
          <w:rStyle w:val="name"/>
          <w:b/>
          <w:sz w:val="28"/>
          <w:szCs w:val="28"/>
          <w:lang w:val="uk-UA"/>
        </w:rPr>
        <w:t>— прийнято з порушеннями встановленої Регла</w:t>
      </w:r>
      <w:r>
        <w:rPr>
          <w:rStyle w:val="name"/>
          <w:b/>
          <w:sz w:val="28"/>
          <w:szCs w:val="28"/>
          <w:lang w:val="uk-UA"/>
        </w:rPr>
        <w:t>ментом процедури підготовки, розгляду й голосування, тому не може вважатися ухваленим відповідно до закону, а відтак — підлягає скасуванню за встановленою статтею 48 Регламенту процедурою.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 xml:space="preserve">При цьому, як автор законопроекту, вважаю його суспільно корисним </w:t>
      </w:r>
      <w:r>
        <w:rPr>
          <w:rStyle w:val="name"/>
          <w:sz w:val="28"/>
          <w:szCs w:val="28"/>
          <w:lang w:val="uk-UA"/>
        </w:rPr>
        <w:t>та необхідним, у той же вбачаю, що зазначені порушення та протиправні, не відповідні Регламенту зміни, які не стосуються суті Закону — є неприпустимими.</w:t>
      </w:r>
    </w:p>
    <w:p w:rsidR="00B00558" w:rsidRDefault="00D3781A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  <w:r>
        <w:rPr>
          <w:rStyle w:val="name"/>
          <w:sz w:val="28"/>
          <w:szCs w:val="28"/>
          <w:lang w:val="uk-UA"/>
        </w:rPr>
        <w:t xml:space="preserve">Підсумовуючи викладене, </w:t>
      </w:r>
      <w:r>
        <w:rPr>
          <w:rStyle w:val="name"/>
          <w:b/>
          <w:sz w:val="28"/>
          <w:szCs w:val="28"/>
          <w:lang w:val="uk-UA"/>
        </w:rPr>
        <w:t>повідомляю про необхідність та наявність правових підстав для скасування рішенн</w:t>
      </w:r>
      <w:r>
        <w:rPr>
          <w:rStyle w:val="name"/>
          <w:b/>
          <w:sz w:val="28"/>
          <w:szCs w:val="28"/>
          <w:lang w:val="uk-UA"/>
        </w:rPr>
        <w:t>я Верховної Ради України</w:t>
      </w:r>
      <w:r>
        <w:rPr>
          <w:rStyle w:val="name"/>
          <w:sz w:val="28"/>
          <w:szCs w:val="28"/>
          <w:lang w:val="uk-UA"/>
        </w:rPr>
        <w:t xml:space="preserve"> від </w:t>
      </w:r>
      <w:r>
        <w:rPr>
          <w:rStyle w:val="name"/>
          <w:sz w:val="28"/>
          <w:szCs w:val="28"/>
          <w:lang w:val="uk-UA"/>
        </w:rPr>
        <w:br/>
        <w:t xml:space="preserve">01 вересня 2020 року про прийняття в цілому як Закону України </w:t>
      </w:r>
      <w:r>
        <w:rPr>
          <w:rStyle w:val="name"/>
          <w:i/>
          <w:sz w:val="28"/>
          <w:szCs w:val="28"/>
          <w:lang w:val="uk-UA"/>
        </w:rPr>
        <w:t>проекту Закону про внесення змін до Прикінцевих та перехідних положень Закону України «Про ринок електричної енергії» щодо постачання електричної енергії для забезп</w:t>
      </w:r>
      <w:r>
        <w:rPr>
          <w:rStyle w:val="name"/>
          <w:i/>
          <w:sz w:val="28"/>
          <w:szCs w:val="28"/>
          <w:lang w:val="uk-UA"/>
        </w:rPr>
        <w:t>ечення функціонування спільного майна багатоквартирного житлового будинку</w:t>
      </w:r>
      <w:r>
        <w:rPr>
          <w:rStyle w:val="name"/>
          <w:sz w:val="28"/>
          <w:szCs w:val="28"/>
          <w:lang w:val="uk-UA"/>
        </w:rPr>
        <w:t xml:space="preserve"> (реєстр. </w:t>
      </w:r>
      <w:r>
        <w:rPr>
          <w:rStyle w:val="name"/>
          <w:b/>
          <w:sz w:val="28"/>
          <w:szCs w:val="28"/>
          <w:lang w:val="uk-UA"/>
        </w:rPr>
        <w:t>№ 2098 від 09.09.2019</w:t>
      </w:r>
      <w:r>
        <w:rPr>
          <w:rStyle w:val="name"/>
          <w:sz w:val="28"/>
          <w:szCs w:val="28"/>
          <w:lang w:val="uk-UA"/>
        </w:rPr>
        <w:t>).</w:t>
      </w:r>
    </w:p>
    <w:p w:rsidR="00B00558" w:rsidRDefault="00B00558">
      <w:pPr>
        <w:tabs>
          <w:tab w:val="left" w:pos="709"/>
        </w:tabs>
        <w:spacing w:after="100"/>
        <w:ind w:firstLine="709"/>
        <w:jc w:val="both"/>
        <w:rPr>
          <w:rStyle w:val="name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B00558">
        <w:tc>
          <w:tcPr>
            <w:tcW w:w="4681" w:type="dxa"/>
          </w:tcPr>
          <w:p w:rsidR="00B00558" w:rsidRDefault="00D3781A">
            <w:pPr>
              <w:widowControl w:val="0"/>
              <w:suppressAutoHyphens/>
              <w:spacing w:after="120" w:line="264" w:lineRule="auto"/>
              <w:ind w:left="604"/>
              <w:rPr>
                <w:rFonts w:eastAsia="SimSun"/>
                <w:b/>
                <w:bCs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eastAsia="SimSun"/>
                <w:b/>
                <w:bCs/>
                <w:kern w:val="1"/>
                <w:sz w:val="28"/>
                <w:szCs w:val="28"/>
                <w:lang w:val="uk-UA" w:eastAsia="zh-CN"/>
              </w:rPr>
              <w:t>Народний депутат України</w:t>
            </w:r>
          </w:p>
        </w:tc>
        <w:tc>
          <w:tcPr>
            <w:tcW w:w="4673" w:type="dxa"/>
          </w:tcPr>
          <w:p w:rsidR="00B00558" w:rsidRDefault="00D3781A">
            <w:pPr>
              <w:widowControl w:val="0"/>
              <w:suppressAutoHyphens/>
              <w:spacing w:after="120" w:line="264" w:lineRule="auto"/>
              <w:jc w:val="right"/>
              <w:rPr>
                <w:rFonts w:eastAsia="SimSun"/>
                <w:b/>
                <w:bCs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eastAsia="SimSun"/>
                <w:b/>
                <w:bCs/>
                <w:kern w:val="1"/>
                <w:sz w:val="28"/>
                <w:szCs w:val="28"/>
                <w:lang w:val="uk-UA" w:eastAsia="zh-CN"/>
              </w:rPr>
              <w:t>Кучеренко О.Ю.</w:t>
            </w:r>
          </w:p>
          <w:p w:rsidR="00B00558" w:rsidRDefault="00D3781A">
            <w:pPr>
              <w:widowControl w:val="0"/>
              <w:suppressAutoHyphens/>
              <w:spacing w:after="120" w:line="264" w:lineRule="auto"/>
              <w:jc w:val="right"/>
              <w:rPr>
                <w:rFonts w:eastAsia="SimSun"/>
                <w:bCs/>
                <w:kern w:val="1"/>
                <w:lang w:val="uk-UA" w:eastAsia="zh-CN"/>
              </w:rPr>
            </w:pPr>
            <w:r>
              <w:rPr>
                <w:rFonts w:eastAsia="SimSun"/>
                <w:bCs/>
                <w:kern w:val="1"/>
                <w:lang w:val="uk-UA" w:eastAsia="zh-CN"/>
              </w:rPr>
              <w:t>(посвідчення № 179)</w:t>
            </w:r>
          </w:p>
        </w:tc>
      </w:tr>
    </w:tbl>
    <w:p w:rsidR="00B00558" w:rsidRDefault="00B00558"/>
    <w:sectPr w:rsidR="00B00558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1A" w:rsidRDefault="00D3781A">
      <w:r>
        <w:separator/>
      </w:r>
    </w:p>
  </w:endnote>
  <w:endnote w:type="continuationSeparator" w:id="0">
    <w:p w:rsidR="00D3781A" w:rsidRDefault="00D3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58" w:rsidRDefault="00B00558">
    <w:pPr>
      <w:pStyle w:val="a6"/>
      <w:jc w:val="center"/>
    </w:pPr>
  </w:p>
  <w:p w:rsidR="00B00558" w:rsidRDefault="00B005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1A" w:rsidRDefault="00D3781A">
      <w:r>
        <w:separator/>
      </w:r>
    </w:p>
  </w:footnote>
  <w:footnote w:type="continuationSeparator" w:id="0">
    <w:p w:rsidR="00D3781A" w:rsidRDefault="00D3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422448"/>
      <w:docPartObj>
        <w:docPartGallery w:val="Page Numbers (Top of Page)"/>
        <w:docPartUnique/>
      </w:docPartObj>
    </w:sdtPr>
    <w:sdtEndPr/>
    <w:sdtContent>
      <w:p w:rsidR="00B00558" w:rsidRDefault="00D3781A">
        <w:pPr>
          <w:pStyle w:val="a4"/>
          <w:jc w:val="center"/>
        </w:pPr>
        <w:r>
          <w:fldChar w:fldCharType="begin"/>
        </w:r>
        <w:r>
          <w:instrText>PAGE   \* MERGEF</w:instrText>
        </w:r>
        <w:r>
          <w:instrText>ORMAT</w:instrText>
        </w:r>
        <w:r>
          <w:fldChar w:fldCharType="separate"/>
        </w:r>
        <w:r w:rsidR="00920FFD">
          <w:rPr>
            <w:noProof/>
          </w:rPr>
          <w:t>2</w:t>
        </w:r>
        <w:r>
          <w:fldChar w:fldCharType="end"/>
        </w:r>
      </w:p>
    </w:sdtContent>
  </w:sdt>
  <w:p w:rsidR="00B00558" w:rsidRDefault="00B005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F80"/>
    <w:multiLevelType w:val="hybridMultilevel"/>
    <w:tmpl w:val="54EE96E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AE25E1"/>
    <w:multiLevelType w:val="hybridMultilevel"/>
    <w:tmpl w:val="EAB4A3E4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85541C"/>
    <w:multiLevelType w:val="hybridMultilevel"/>
    <w:tmpl w:val="F260E96A"/>
    <w:lvl w:ilvl="0" w:tplc="48EC107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11717D"/>
    <w:multiLevelType w:val="hybridMultilevel"/>
    <w:tmpl w:val="1F7096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4278EF"/>
    <w:multiLevelType w:val="hybridMultilevel"/>
    <w:tmpl w:val="746486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58"/>
    <w:rsid w:val="00920FFD"/>
    <w:rsid w:val="00B00558"/>
    <w:rsid w:val="00D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3">
    <w:name w:val="Назва документа"/>
    <w:basedOn w:val="a"/>
    <w:next w:val="a"/>
    <w:uiPriority w:val="99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4">
    <w:name w:val="header"/>
    <w:basedOn w:val="a"/>
    <w:link w:val="a5"/>
    <w:uiPriority w:val="99"/>
    <w:unhideWhenUsed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basedOn w:val="a0"/>
    <w:link w:val="a6"/>
    <w:uiPriority w:val="99"/>
    <w:locked/>
    <w:rPr>
      <w:rFonts w:ascii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Pr>
      <w:rFonts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Pr>
      <w:rFonts w:ascii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7849-5033-49BE-A80A-20F115740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2A527-CA38-49DC-AC25-EAD675D9A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E2863-2A04-4BA8-881F-A129776D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7F6E5-B6D8-4A97-828E-84C2B4DE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5419</Words>
  <Characters>3090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2020-09-01T13:40:00Z</dcterms:created>
  <dcterms:modified xsi:type="dcterms:W3CDTF">2020-09-01T13:40:00Z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