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D8" w:rsidRPr="001C79D8" w:rsidRDefault="001C79D8" w:rsidP="00B70F01">
      <w:pPr>
        <w:jc w:val="center"/>
        <w:rPr>
          <w:b/>
          <w:sz w:val="28"/>
          <w:szCs w:val="28"/>
        </w:rPr>
      </w:pPr>
      <w:bookmarkStart w:id="0" w:name="_GoBack"/>
      <w:bookmarkEnd w:id="0"/>
    </w:p>
    <w:p w:rsidR="00B70F01" w:rsidRPr="001C79D8" w:rsidRDefault="00B70F01" w:rsidP="00B70F01">
      <w:pPr>
        <w:jc w:val="center"/>
        <w:rPr>
          <w:b/>
          <w:sz w:val="28"/>
          <w:szCs w:val="28"/>
        </w:rPr>
      </w:pPr>
      <w:r w:rsidRPr="001C79D8">
        <w:rPr>
          <w:b/>
          <w:sz w:val="28"/>
          <w:szCs w:val="28"/>
        </w:rPr>
        <w:t xml:space="preserve">ПОРІВНЯЛЬНА ТАБЛИЦЯ </w:t>
      </w:r>
    </w:p>
    <w:p w:rsidR="001C79D8" w:rsidRPr="001C79D8" w:rsidRDefault="00B70F01" w:rsidP="00B70F01">
      <w:pPr>
        <w:jc w:val="center"/>
        <w:rPr>
          <w:b/>
          <w:sz w:val="28"/>
          <w:szCs w:val="28"/>
        </w:rPr>
      </w:pPr>
      <w:r w:rsidRPr="001C79D8">
        <w:rPr>
          <w:b/>
          <w:sz w:val="28"/>
          <w:szCs w:val="28"/>
        </w:rPr>
        <w:t xml:space="preserve">до проекту Закону України </w:t>
      </w:r>
      <w:r w:rsidR="001C79D8" w:rsidRPr="001C79D8">
        <w:rPr>
          <w:b/>
          <w:sz w:val="28"/>
          <w:szCs w:val="28"/>
        </w:rPr>
        <w:t>п</w:t>
      </w:r>
      <w:r w:rsidRPr="001C79D8">
        <w:rPr>
          <w:b/>
          <w:sz w:val="28"/>
          <w:szCs w:val="28"/>
        </w:rPr>
        <w:t xml:space="preserve">ро внесення змін до Податкового кодексу України </w:t>
      </w:r>
      <w:r w:rsidR="001C79D8" w:rsidRPr="001C79D8">
        <w:rPr>
          <w:b/>
          <w:sz w:val="28"/>
          <w:szCs w:val="28"/>
        </w:rPr>
        <w:t xml:space="preserve">щодо </w:t>
      </w:r>
    </w:p>
    <w:p w:rsidR="001C79D8" w:rsidRPr="001C79D8" w:rsidRDefault="001C79D8" w:rsidP="001C79D8">
      <w:pPr>
        <w:jc w:val="center"/>
        <w:rPr>
          <w:b/>
          <w:sz w:val="28"/>
          <w:szCs w:val="28"/>
        </w:rPr>
      </w:pPr>
      <w:r w:rsidRPr="001C79D8">
        <w:rPr>
          <w:b/>
          <w:sz w:val="28"/>
          <w:szCs w:val="28"/>
        </w:rPr>
        <w:t>врегулювання діяльності суб’єктів господарювання, які здійснюють операції з ювелірними виробами</w:t>
      </w:r>
    </w:p>
    <w:p w:rsidR="001C79D8" w:rsidRPr="001C79D8" w:rsidRDefault="001C79D8" w:rsidP="001C79D8">
      <w:pPr>
        <w:rPr>
          <w:b/>
          <w:sz w:val="28"/>
          <w:szCs w:val="28"/>
        </w:rPr>
      </w:pPr>
    </w:p>
    <w:tbl>
      <w:tblPr>
        <w:tblStyle w:val="2"/>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0"/>
        <w:gridCol w:w="7280"/>
      </w:tblGrid>
      <w:tr w:rsidR="001C79D8" w:rsidRPr="001C79D8" w:rsidTr="001C79D8">
        <w:tc>
          <w:tcPr>
            <w:tcW w:w="7280" w:type="dxa"/>
            <w:tcBorders>
              <w:top w:val="single" w:sz="4" w:space="0" w:color="000000"/>
              <w:left w:val="single" w:sz="4" w:space="0" w:color="000000"/>
              <w:bottom w:val="single" w:sz="4" w:space="0" w:color="000000"/>
              <w:right w:val="single" w:sz="4" w:space="0" w:color="000000"/>
            </w:tcBorders>
            <w:hideMark/>
          </w:tcPr>
          <w:p w:rsidR="001C79D8" w:rsidRPr="001C79D8" w:rsidRDefault="001C79D8" w:rsidP="00EE70DC">
            <w:pPr>
              <w:shd w:val="clear" w:color="auto" w:fill="FFFFFF"/>
              <w:jc w:val="center"/>
              <w:rPr>
                <w:b/>
                <w:sz w:val="28"/>
                <w:szCs w:val="28"/>
              </w:rPr>
            </w:pPr>
            <w:r w:rsidRPr="001C79D8">
              <w:rPr>
                <w:b/>
                <w:sz w:val="28"/>
                <w:szCs w:val="28"/>
              </w:rPr>
              <w:t>Зміст положення (норми)</w:t>
            </w:r>
          </w:p>
          <w:p w:rsidR="001C79D8" w:rsidRPr="001C79D8" w:rsidRDefault="001C79D8" w:rsidP="00EE70DC">
            <w:pPr>
              <w:shd w:val="clear" w:color="auto" w:fill="FFFFFF"/>
              <w:jc w:val="center"/>
              <w:rPr>
                <w:b/>
                <w:sz w:val="28"/>
                <w:szCs w:val="28"/>
              </w:rPr>
            </w:pPr>
            <w:r w:rsidRPr="001C79D8">
              <w:rPr>
                <w:b/>
                <w:sz w:val="28"/>
                <w:szCs w:val="28"/>
              </w:rPr>
              <w:t>чинного акта законодавства</w:t>
            </w:r>
          </w:p>
        </w:tc>
        <w:tc>
          <w:tcPr>
            <w:tcW w:w="7280" w:type="dxa"/>
            <w:tcBorders>
              <w:top w:val="single" w:sz="4" w:space="0" w:color="000000"/>
              <w:left w:val="single" w:sz="4" w:space="0" w:color="000000"/>
              <w:bottom w:val="single" w:sz="4" w:space="0" w:color="000000"/>
              <w:right w:val="single" w:sz="4" w:space="0" w:color="000000"/>
            </w:tcBorders>
            <w:hideMark/>
          </w:tcPr>
          <w:p w:rsidR="001C79D8" w:rsidRPr="001C79D8" w:rsidRDefault="001C79D8" w:rsidP="00EE70DC">
            <w:pPr>
              <w:shd w:val="clear" w:color="auto" w:fill="FFFFFF"/>
              <w:jc w:val="center"/>
              <w:rPr>
                <w:b/>
                <w:sz w:val="28"/>
                <w:szCs w:val="28"/>
              </w:rPr>
            </w:pPr>
            <w:r w:rsidRPr="001C79D8">
              <w:rPr>
                <w:b/>
                <w:sz w:val="28"/>
                <w:szCs w:val="28"/>
              </w:rPr>
              <w:t>Зміст відповідного положення (норми)</w:t>
            </w:r>
          </w:p>
          <w:p w:rsidR="001C79D8" w:rsidRPr="001C79D8" w:rsidRDefault="001E769D" w:rsidP="00EE70DC">
            <w:pPr>
              <w:shd w:val="clear" w:color="auto" w:fill="FFFFFF"/>
              <w:jc w:val="center"/>
              <w:rPr>
                <w:b/>
                <w:sz w:val="28"/>
                <w:szCs w:val="28"/>
              </w:rPr>
            </w:pPr>
            <w:r>
              <w:rPr>
                <w:b/>
                <w:sz w:val="28"/>
                <w:szCs w:val="28"/>
              </w:rPr>
              <w:t>прое</w:t>
            </w:r>
            <w:r w:rsidR="001C79D8" w:rsidRPr="001C79D8">
              <w:rPr>
                <w:b/>
                <w:sz w:val="28"/>
                <w:szCs w:val="28"/>
              </w:rPr>
              <w:t>кту акта законодавства</w:t>
            </w:r>
          </w:p>
        </w:tc>
      </w:tr>
      <w:tr w:rsidR="001C79D8" w:rsidRPr="001C79D8" w:rsidTr="001C79D8">
        <w:trPr>
          <w:trHeight w:val="554"/>
        </w:trPr>
        <w:tc>
          <w:tcPr>
            <w:tcW w:w="14560" w:type="dxa"/>
            <w:gridSpan w:val="2"/>
            <w:tcBorders>
              <w:top w:val="single" w:sz="4" w:space="0" w:color="000000"/>
              <w:left w:val="single" w:sz="4" w:space="0" w:color="000000"/>
              <w:bottom w:val="single" w:sz="4" w:space="0" w:color="000000"/>
              <w:right w:val="single" w:sz="4" w:space="0" w:color="000000"/>
            </w:tcBorders>
            <w:hideMark/>
          </w:tcPr>
          <w:p w:rsidR="001C79D8" w:rsidRPr="001C79D8" w:rsidRDefault="001C79D8" w:rsidP="001C79D8">
            <w:pPr>
              <w:shd w:val="clear" w:color="auto" w:fill="FFFFFF"/>
              <w:jc w:val="center"/>
              <w:rPr>
                <w:b/>
                <w:sz w:val="28"/>
                <w:szCs w:val="28"/>
              </w:rPr>
            </w:pPr>
            <w:r w:rsidRPr="001C79D8">
              <w:rPr>
                <w:b/>
                <w:sz w:val="28"/>
                <w:szCs w:val="28"/>
              </w:rPr>
              <w:t>Податковий кодекс України</w:t>
            </w:r>
          </w:p>
        </w:tc>
      </w:tr>
      <w:tr w:rsidR="001C79D8" w:rsidRPr="001C79D8" w:rsidTr="001C79D8">
        <w:tc>
          <w:tcPr>
            <w:tcW w:w="14560" w:type="dxa"/>
            <w:gridSpan w:val="2"/>
            <w:tcBorders>
              <w:top w:val="single" w:sz="4" w:space="0" w:color="000000"/>
              <w:left w:val="single" w:sz="4" w:space="0" w:color="000000"/>
              <w:bottom w:val="single" w:sz="4" w:space="0" w:color="000000"/>
              <w:right w:val="single" w:sz="4" w:space="0" w:color="000000"/>
            </w:tcBorders>
            <w:hideMark/>
          </w:tcPr>
          <w:p w:rsidR="001C79D8" w:rsidRPr="001410DB" w:rsidRDefault="001C79D8" w:rsidP="001C79D8">
            <w:pPr>
              <w:spacing w:after="120"/>
              <w:ind w:firstLine="397"/>
              <w:jc w:val="center"/>
              <w:rPr>
                <w:b/>
                <w:bCs/>
                <w:sz w:val="28"/>
                <w:szCs w:val="28"/>
                <w:shd w:val="clear" w:color="auto" w:fill="FFFFFF"/>
              </w:rPr>
            </w:pPr>
            <w:r w:rsidRPr="001410DB">
              <w:rPr>
                <w:b/>
                <w:bCs/>
                <w:sz w:val="28"/>
                <w:szCs w:val="28"/>
                <w:shd w:val="clear" w:color="auto" w:fill="FFFFFF"/>
              </w:rPr>
              <w:t>РОЗДІЛ XIV. СПЕЦІАЛЬНІ ПОДАТКОВІ РЕЖИМИ</w:t>
            </w:r>
          </w:p>
          <w:p w:rsidR="001C79D8" w:rsidRPr="001410DB" w:rsidRDefault="001C79D8" w:rsidP="001C79D8">
            <w:pPr>
              <w:spacing w:after="120"/>
              <w:ind w:firstLine="397"/>
              <w:jc w:val="center"/>
              <w:rPr>
                <w:b/>
                <w:bCs/>
                <w:sz w:val="28"/>
                <w:szCs w:val="28"/>
                <w:shd w:val="clear" w:color="auto" w:fill="FFFFFF"/>
              </w:rPr>
            </w:pPr>
            <w:r w:rsidRPr="001410DB">
              <w:rPr>
                <w:b/>
                <w:bCs/>
                <w:sz w:val="28"/>
                <w:szCs w:val="28"/>
                <w:shd w:val="clear" w:color="auto" w:fill="FFFFFF"/>
              </w:rPr>
              <w:t>ГЛАВА 1. СПРОЩЕНА СИСТЕМА ОПОДАТКУВАННЯ, ОБЛІКУ ТА ЗВІТНОСТІ</w:t>
            </w:r>
          </w:p>
        </w:tc>
      </w:tr>
      <w:tr w:rsidR="001C79D8" w:rsidRPr="001C79D8" w:rsidTr="001C79D8">
        <w:tc>
          <w:tcPr>
            <w:tcW w:w="7280" w:type="dxa"/>
            <w:tcBorders>
              <w:top w:val="single" w:sz="4" w:space="0" w:color="000000"/>
              <w:left w:val="single" w:sz="4" w:space="0" w:color="000000"/>
              <w:bottom w:val="single" w:sz="4" w:space="0" w:color="000000"/>
              <w:right w:val="single" w:sz="4" w:space="0" w:color="000000"/>
            </w:tcBorders>
          </w:tcPr>
          <w:p w:rsidR="001C79D8" w:rsidRPr="001410DB" w:rsidRDefault="001C79D8" w:rsidP="00EA683A">
            <w:pPr>
              <w:spacing w:after="120"/>
              <w:ind w:firstLine="397"/>
              <w:rPr>
                <w:sz w:val="28"/>
                <w:szCs w:val="28"/>
              </w:rPr>
            </w:pPr>
            <w:r w:rsidRPr="001410DB">
              <w:rPr>
                <w:rStyle w:val="rvts9"/>
                <w:b/>
                <w:bCs/>
                <w:sz w:val="28"/>
                <w:szCs w:val="28"/>
                <w:shd w:val="clear" w:color="auto" w:fill="FFFFFF"/>
              </w:rPr>
              <w:t>Стаття 291.</w:t>
            </w:r>
            <w:r w:rsidRPr="001410DB">
              <w:rPr>
                <w:sz w:val="28"/>
                <w:szCs w:val="28"/>
                <w:shd w:val="clear" w:color="auto" w:fill="FFFFFF"/>
              </w:rPr>
              <w:t xml:space="preserve"> Загальні положення </w:t>
            </w:r>
          </w:p>
          <w:p w:rsidR="00EA683A" w:rsidRPr="001410DB" w:rsidRDefault="00EA683A" w:rsidP="00EA683A">
            <w:pPr>
              <w:spacing w:after="120"/>
              <w:ind w:firstLine="397"/>
              <w:rPr>
                <w:rStyle w:val="rvts9"/>
                <w:sz w:val="28"/>
                <w:szCs w:val="28"/>
              </w:rPr>
            </w:pPr>
          </w:p>
        </w:tc>
        <w:tc>
          <w:tcPr>
            <w:tcW w:w="7280" w:type="dxa"/>
            <w:tcBorders>
              <w:top w:val="single" w:sz="4" w:space="0" w:color="000000"/>
              <w:left w:val="single" w:sz="4" w:space="0" w:color="000000"/>
              <w:bottom w:val="single" w:sz="4" w:space="0" w:color="000000"/>
              <w:right w:val="single" w:sz="4" w:space="0" w:color="000000"/>
            </w:tcBorders>
          </w:tcPr>
          <w:p w:rsidR="001C79D8" w:rsidRPr="001410DB" w:rsidRDefault="001C79D8" w:rsidP="00EA683A">
            <w:pPr>
              <w:spacing w:after="120"/>
              <w:ind w:firstLine="397"/>
              <w:rPr>
                <w:rStyle w:val="rvts9"/>
                <w:sz w:val="28"/>
                <w:szCs w:val="28"/>
              </w:rPr>
            </w:pPr>
            <w:r w:rsidRPr="001410DB">
              <w:rPr>
                <w:rStyle w:val="rvts9"/>
                <w:b/>
                <w:bCs/>
                <w:sz w:val="28"/>
                <w:szCs w:val="28"/>
                <w:shd w:val="clear" w:color="auto" w:fill="FFFFFF"/>
              </w:rPr>
              <w:t>Стаття 291.</w:t>
            </w:r>
            <w:r w:rsidRPr="001410DB">
              <w:rPr>
                <w:sz w:val="28"/>
                <w:szCs w:val="28"/>
                <w:shd w:val="clear" w:color="auto" w:fill="FFFFFF"/>
              </w:rPr>
              <w:t xml:space="preserve"> Загальні положення </w:t>
            </w:r>
          </w:p>
        </w:tc>
      </w:tr>
      <w:tr w:rsidR="001C79D8" w:rsidRPr="001C79D8" w:rsidTr="001C79D8">
        <w:tc>
          <w:tcPr>
            <w:tcW w:w="7280" w:type="dxa"/>
            <w:tcBorders>
              <w:top w:val="single" w:sz="4" w:space="0" w:color="000000"/>
              <w:left w:val="single" w:sz="4" w:space="0" w:color="000000"/>
              <w:bottom w:val="single" w:sz="4" w:space="0" w:color="000000"/>
              <w:right w:val="single" w:sz="4" w:space="0" w:color="000000"/>
            </w:tcBorders>
            <w:hideMark/>
          </w:tcPr>
          <w:p w:rsidR="001C79D8" w:rsidRPr="001410DB" w:rsidRDefault="001C79D8" w:rsidP="001C79D8">
            <w:pPr>
              <w:pStyle w:val="rvps2"/>
              <w:shd w:val="clear" w:color="auto" w:fill="FFFFFF"/>
              <w:spacing w:before="0" w:beforeAutospacing="0" w:after="150" w:afterAutospacing="0"/>
              <w:ind w:firstLine="450"/>
              <w:jc w:val="both"/>
              <w:rPr>
                <w:sz w:val="28"/>
                <w:szCs w:val="28"/>
                <w:lang w:val="ru-RU" w:eastAsia="en-US"/>
              </w:rPr>
            </w:pPr>
            <w:r w:rsidRPr="001410DB">
              <w:rPr>
                <w:sz w:val="28"/>
                <w:szCs w:val="28"/>
              </w:rPr>
              <w:t>291.4.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1C79D8" w:rsidRPr="001410DB" w:rsidRDefault="001C79D8" w:rsidP="001C79D8">
            <w:pPr>
              <w:pStyle w:val="rvps2"/>
              <w:shd w:val="clear" w:color="auto" w:fill="FFFFFF"/>
              <w:spacing w:before="0" w:beforeAutospacing="0" w:after="150" w:afterAutospacing="0"/>
              <w:ind w:firstLine="450"/>
              <w:jc w:val="both"/>
              <w:rPr>
                <w:sz w:val="28"/>
                <w:szCs w:val="28"/>
              </w:rPr>
            </w:pPr>
            <w:r w:rsidRPr="001410DB">
              <w:rPr>
                <w:sz w:val="28"/>
                <w:szCs w:val="28"/>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1C79D8" w:rsidRPr="001410DB" w:rsidRDefault="001C79D8" w:rsidP="001C79D8">
            <w:pPr>
              <w:pStyle w:val="rvps2"/>
              <w:shd w:val="clear" w:color="auto" w:fill="FFFFFF"/>
              <w:spacing w:before="0" w:beforeAutospacing="0" w:after="150" w:afterAutospacing="0"/>
              <w:ind w:firstLine="450"/>
              <w:jc w:val="both"/>
              <w:rPr>
                <w:sz w:val="28"/>
                <w:szCs w:val="28"/>
              </w:rPr>
            </w:pPr>
            <w:r w:rsidRPr="001410DB">
              <w:rPr>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1C79D8" w:rsidRPr="001410DB" w:rsidRDefault="001C79D8" w:rsidP="001C79D8">
            <w:pPr>
              <w:pStyle w:val="rvps2"/>
              <w:shd w:val="clear" w:color="auto" w:fill="FFFFFF"/>
              <w:spacing w:before="0" w:beforeAutospacing="0" w:after="150" w:afterAutospacing="0"/>
              <w:ind w:firstLine="450"/>
              <w:jc w:val="both"/>
              <w:rPr>
                <w:sz w:val="28"/>
                <w:szCs w:val="28"/>
              </w:rPr>
            </w:pPr>
            <w:r w:rsidRPr="001410DB">
              <w:rPr>
                <w:sz w:val="28"/>
                <w:szCs w:val="28"/>
              </w:rPr>
              <w:t>обсяг доходу не перевищує 5000000 гривень.</w:t>
            </w:r>
          </w:p>
          <w:p w:rsidR="006E098E" w:rsidRPr="001410DB" w:rsidRDefault="006E098E" w:rsidP="006E098E">
            <w:pPr>
              <w:rPr>
                <w:sz w:val="28"/>
                <w:szCs w:val="28"/>
                <w:lang w:val="ru-RU" w:eastAsia="ru-RU"/>
              </w:rPr>
            </w:pPr>
            <w:r w:rsidRPr="001410DB">
              <w:rPr>
                <w:sz w:val="28"/>
                <w:szCs w:val="28"/>
                <w:shd w:val="clear" w:color="auto" w:fill="FFFFFF"/>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w:t>
            </w:r>
            <w:r w:rsidRPr="001410DB">
              <w:rPr>
                <w:sz w:val="28"/>
                <w:szCs w:val="28"/>
                <w:shd w:val="clear" w:color="auto" w:fill="FFFFFF"/>
              </w:rPr>
              <w:lastRenderedPageBreak/>
              <w:t>70.31</w:t>
            </w:r>
            <w:r w:rsidRPr="001410DB">
              <w:rPr>
                <w:rStyle w:val="apple-converted-space"/>
                <w:sz w:val="28"/>
                <w:szCs w:val="28"/>
                <w:shd w:val="clear" w:color="auto" w:fill="FFFFFF"/>
              </w:rPr>
              <w:t> </w:t>
            </w:r>
            <w:r w:rsidRPr="001410DB">
              <w:rPr>
                <w:sz w:val="28"/>
                <w:szCs w:val="28"/>
              </w:rPr>
              <w:t>КВЕД ДК 009:2005</w:t>
            </w:r>
            <w:r w:rsidRPr="001410DB">
              <w:rPr>
                <w:sz w:val="28"/>
                <w:szCs w:val="28"/>
                <w:shd w:val="clear" w:color="auto" w:fill="FFFFFF"/>
              </w:rPr>
              <w:t xml:space="preserve">), </w:t>
            </w:r>
            <w:r w:rsidRPr="001410DB">
              <w:rPr>
                <w:b/>
                <w:sz w:val="28"/>
                <w:szCs w:val="28"/>
                <w:shd w:val="clear" w:color="auto" w:fill="FFFFFF"/>
              </w:rPr>
              <w:t>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r w:rsidRPr="001410DB">
              <w:rPr>
                <w:sz w:val="28"/>
                <w:szCs w:val="28"/>
                <w:shd w:val="clear" w:color="auto" w:fill="FFFFFF"/>
              </w:rPr>
              <w:t xml:space="preserve">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1C79D8" w:rsidRPr="001410DB" w:rsidRDefault="001C79D8" w:rsidP="001C79D8">
            <w:pPr>
              <w:pStyle w:val="rvps2"/>
              <w:shd w:val="clear" w:color="auto" w:fill="FFFFFF"/>
              <w:spacing w:before="0" w:beforeAutospacing="0" w:after="150" w:afterAutospacing="0"/>
              <w:ind w:firstLine="450"/>
              <w:jc w:val="both"/>
              <w:rPr>
                <w:sz w:val="28"/>
                <w:szCs w:val="28"/>
                <w:lang w:val="ru-RU"/>
              </w:rPr>
            </w:pPr>
          </w:p>
        </w:tc>
        <w:tc>
          <w:tcPr>
            <w:tcW w:w="7280" w:type="dxa"/>
            <w:tcBorders>
              <w:top w:val="single" w:sz="4" w:space="0" w:color="000000"/>
              <w:left w:val="single" w:sz="4" w:space="0" w:color="000000"/>
              <w:bottom w:val="single" w:sz="4" w:space="0" w:color="000000"/>
              <w:right w:val="single" w:sz="4" w:space="0" w:color="000000"/>
            </w:tcBorders>
            <w:hideMark/>
          </w:tcPr>
          <w:p w:rsidR="001C79D8" w:rsidRPr="001410DB" w:rsidRDefault="001C79D8" w:rsidP="001C79D8">
            <w:pPr>
              <w:pStyle w:val="rvps2"/>
              <w:shd w:val="clear" w:color="auto" w:fill="FFFFFF"/>
              <w:spacing w:before="0" w:beforeAutospacing="0" w:after="150" w:afterAutospacing="0"/>
              <w:ind w:firstLine="450"/>
              <w:jc w:val="both"/>
              <w:rPr>
                <w:sz w:val="28"/>
                <w:szCs w:val="28"/>
                <w:lang w:val="ru-RU" w:eastAsia="en-US"/>
              </w:rPr>
            </w:pPr>
            <w:r w:rsidRPr="001410DB">
              <w:rPr>
                <w:sz w:val="28"/>
                <w:szCs w:val="28"/>
              </w:rPr>
              <w:lastRenderedPageBreak/>
              <w:t>291.4.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1C79D8" w:rsidRPr="001410DB" w:rsidRDefault="001C79D8" w:rsidP="001C79D8">
            <w:pPr>
              <w:pStyle w:val="rvps2"/>
              <w:shd w:val="clear" w:color="auto" w:fill="FFFFFF"/>
              <w:spacing w:before="0" w:beforeAutospacing="0" w:after="150" w:afterAutospacing="0"/>
              <w:ind w:firstLine="450"/>
              <w:jc w:val="both"/>
              <w:rPr>
                <w:sz w:val="28"/>
                <w:szCs w:val="28"/>
              </w:rPr>
            </w:pPr>
            <w:r w:rsidRPr="001410DB">
              <w:rPr>
                <w:sz w:val="28"/>
                <w:szCs w:val="28"/>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1C79D8" w:rsidRPr="001410DB" w:rsidRDefault="001C79D8" w:rsidP="001C79D8">
            <w:pPr>
              <w:pStyle w:val="rvps2"/>
              <w:shd w:val="clear" w:color="auto" w:fill="FFFFFF"/>
              <w:spacing w:before="0" w:beforeAutospacing="0" w:after="150" w:afterAutospacing="0"/>
              <w:ind w:firstLine="450"/>
              <w:jc w:val="both"/>
              <w:rPr>
                <w:sz w:val="28"/>
                <w:szCs w:val="28"/>
              </w:rPr>
            </w:pPr>
            <w:r w:rsidRPr="001410DB">
              <w:rPr>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1C79D8" w:rsidRPr="001410DB" w:rsidRDefault="001C79D8" w:rsidP="001C79D8">
            <w:pPr>
              <w:pStyle w:val="rvps2"/>
              <w:shd w:val="clear" w:color="auto" w:fill="FFFFFF"/>
              <w:spacing w:before="0" w:beforeAutospacing="0" w:after="150" w:afterAutospacing="0"/>
              <w:ind w:firstLine="450"/>
              <w:jc w:val="both"/>
              <w:rPr>
                <w:sz w:val="28"/>
                <w:szCs w:val="28"/>
              </w:rPr>
            </w:pPr>
            <w:r w:rsidRPr="001410DB">
              <w:rPr>
                <w:sz w:val="28"/>
                <w:szCs w:val="28"/>
              </w:rPr>
              <w:t>обсяг доходу не перевищує 5000000 гривень.</w:t>
            </w:r>
          </w:p>
          <w:p w:rsidR="006E098E" w:rsidRPr="001410DB" w:rsidRDefault="006E098E" w:rsidP="006E098E">
            <w:pPr>
              <w:rPr>
                <w:sz w:val="28"/>
                <w:szCs w:val="28"/>
                <w:lang w:eastAsia="ru-RU"/>
              </w:rPr>
            </w:pPr>
            <w:r w:rsidRPr="001410DB">
              <w:rPr>
                <w:sz w:val="28"/>
                <w:szCs w:val="28"/>
                <w:shd w:val="clear" w:color="auto" w:fill="FFFFFF"/>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w:t>
            </w:r>
            <w:r w:rsidRPr="001410DB">
              <w:rPr>
                <w:sz w:val="28"/>
                <w:szCs w:val="28"/>
                <w:shd w:val="clear" w:color="auto" w:fill="FFFFFF"/>
              </w:rPr>
              <w:lastRenderedPageBreak/>
              <w:t>70.31</w:t>
            </w:r>
            <w:r w:rsidRPr="001410DB">
              <w:rPr>
                <w:rStyle w:val="apple-converted-space"/>
                <w:sz w:val="28"/>
                <w:szCs w:val="28"/>
                <w:shd w:val="clear" w:color="auto" w:fill="FFFFFF"/>
              </w:rPr>
              <w:t> </w:t>
            </w:r>
            <w:r w:rsidRPr="001410DB">
              <w:rPr>
                <w:sz w:val="28"/>
                <w:szCs w:val="28"/>
              </w:rPr>
              <w:t>КВЕД ДК 009:2005</w:t>
            </w:r>
            <w:r w:rsidRPr="001410DB">
              <w:rPr>
                <w:sz w:val="28"/>
                <w:szCs w:val="28"/>
                <w:shd w:val="clear" w:color="auto" w:fill="FFFFFF"/>
              </w:rPr>
              <w:t>)</w:t>
            </w:r>
            <w:r w:rsidR="003D5D45" w:rsidRPr="001410DB">
              <w:rPr>
                <w:sz w:val="28"/>
                <w:szCs w:val="28"/>
                <w:shd w:val="clear" w:color="auto" w:fill="FFFFFF"/>
              </w:rPr>
              <w:t xml:space="preserve">. </w:t>
            </w:r>
            <w:r w:rsidRPr="001410DB">
              <w:rPr>
                <w:sz w:val="28"/>
                <w:szCs w:val="28"/>
                <w:shd w:val="clear" w:color="auto" w:fill="FFFFFF"/>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1C79D8" w:rsidRPr="001410DB" w:rsidRDefault="001C79D8" w:rsidP="001C79D8">
            <w:pPr>
              <w:pStyle w:val="a4"/>
              <w:spacing w:before="0" w:beforeAutospacing="0" w:after="0" w:afterAutospacing="0"/>
              <w:jc w:val="both"/>
              <w:rPr>
                <w:rFonts w:ascii="Times New Roman" w:hAnsi="Times New Roman" w:cs="Times New Roman"/>
                <w:sz w:val="28"/>
                <w:szCs w:val="28"/>
                <w:lang w:val="uk-UA"/>
              </w:rPr>
            </w:pPr>
          </w:p>
          <w:p w:rsidR="001C79D8" w:rsidRPr="001410DB" w:rsidRDefault="001C79D8" w:rsidP="001C79D8">
            <w:pPr>
              <w:pStyle w:val="a4"/>
              <w:spacing w:before="0" w:beforeAutospacing="0" w:after="0" w:afterAutospacing="0"/>
              <w:jc w:val="both"/>
              <w:rPr>
                <w:rFonts w:ascii="Times New Roman" w:hAnsi="Times New Roman" w:cs="Times New Roman"/>
                <w:sz w:val="28"/>
                <w:szCs w:val="28"/>
                <w:lang w:val="uk-UA"/>
              </w:rPr>
            </w:pPr>
          </w:p>
          <w:p w:rsidR="001C79D8" w:rsidRPr="001410DB" w:rsidRDefault="001C79D8" w:rsidP="001C79D8">
            <w:pPr>
              <w:pStyle w:val="a4"/>
              <w:spacing w:before="0" w:beforeAutospacing="0" w:after="0" w:afterAutospacing="0"/>
              <w:jc w:val="both"/>
              <w:rPr>
                <w:rFonts w:ascii="Times New Roman" w:hAnsi="Times New Roman" w:cs="Times New Roman"/>
                <w:sz w:val="28"/>
                <w:szCs w:val="28"/>
                <w:lang w:val="uk-UA"/>
              </w:rPr>
            </w:pPr>
          </w:p>
          <w:p w:rsidR="001C79D8" w:rsidRPr="001410DB" w:rsidRDefault="001C79D8" w:rsidP="001C79D8">
            <w:pPr>
              <w:pStyle w:val="a4"/>
              <w:spacing w:before="0" w:beforeAutospacing="0" w:after="0" w:afterAutospacing="0"/>
              <w:jc w:val="both"/>
              <w:rPr>
                <w:rFonts w:ascii="Times New Roman" w:hAnsi="Times New Roman" w:cs="Times New Roman"/>
                <w:b/>
                <w:sz w:val="28"/>
                <w:szCs w:val="28"/>
                <w:lang w:val="uk-UA" w:eastAsia="ru-RU"/>
              </w:rPr>
            </w:pPr>
          </w:p>
        </w:tc>
      </w:tr>
      <w:tr w:rsidR="001C79D8" w:rsidRPr="001C79D8" w:rsidTr="00EA683A">
        <w:trPr>
          <w:trHeight w:val="4355"/>
        </w:trPr>
        <w:tc>
          <w:tcPr>
            <w:tcW w:w="7280" w:type="dxa"/>
            <w:tcBorders>
              <w:top w:val="single" w:sz="4" w:space="0" w:color="000000"/>
              <w:left w:val="single" w:sz="4" w:space="0" w:color="000000"/>
              <w:bottom w:val="single" w:sz="4" w:space="0" w:color="000000"/>
              <w:right w:val="single" w:sz="4" w:space="0" w:color="000000"/>
            </w:tcBorders>
          </w:tcPr>
          <w:p w:rsidR="001C79D8" w:rsidRPr="001410DB" w:rsidRDefault="001C79D8" w:rsidP="00EA683A">
            <w:pPr>
              <w:rPr>
                <w:sz w:val="28"/>
              </w:rPr>
            </w:pPr>
            <w:r w:rsidRPr="001410DB">
              <w:rPr>
                <w:sz w:val="28"/>
              </w:rPr>
              <w:lastRenderedPageBreak/>
              <w:t>291.5. Не можуть бути платниками єдиного податку першої - третьої груп:</w:t>
            </w:r>
          </w:p>
          <w:p w:rsidR="00EA683A" w:rsidRPr="001410DB" w:rsidRDefault="00EA683A" w:rsidP="00EA683A">
            <w:pPr>
              <w:rPr>
                <w:sz w:val="28"/>
              </w:rPr>
            </w:pPr>
          </w:p>
          <w:p w:rsidR="001C79D8" w:rsidRPr="001410DB" w:rsidRDefault="001C79D8" w:rsidP="00EA683A">
            <w:pPr>
              <w:rPr>
                <w:sz w:val="28"/>
              </w:rPr>
            </w:pPr>
            <w:r w:rsidRPr="001410DB">
              <w:rPr>
                <w:sz w:val="28"/>
              </w:rPr>
              <w:t>291.5.1. суб'єкти господарювання (юридичні особи та фізичні особи - підприємці), які здійснюють:</w:t>
            </w:r>
          </w:p>
          <w:p w:rsidR="00EA683A" w:rsidRPr="001410DB" w:rsidRDefault="00EA683A" w:rsidP="00EA683A">
            <w:pPr>
              <w:rPr>
                <w:sz w:val="28"/>
              </w:rPr>
            </w:pPr>
          </w:p>
          <w:p w:rsidR="001C79D8" w:rsidRPr="001410DB" w:rsidRDefault="001C79D8" w:rsidP="00EA683A">
            <w:pPr>
              <w:rPr>
                <w:sz w:val="28"/>
              </w:rPr>
            </w:pPr>
            <w:r w:rsidRPr="001410DB">
              <w:rPr>
                <w:sz w:val="28"/>
              </w:rPr>
              <w:t>4) видобуток, виробництво, реалізацію </w:t>
            </w:r>
            <w:hyperlink r:id="rId11" w:anchor="w1_19" w:history="1">
              <w:r w:rsidRPr="001410DB">
                <w:rPr>
                  <w:rStyle w:val="a7"/>
                  <w:color w:val="auto"/>
                  <w:sz w:val="28"/>
                  <w:u w:val="none"/>
                </w:rPr>
                <w:t>дорогоці</w:t>
              </w:r>
            </w:hyperlink>
            <w:r w:rsidRPr="001410DB">
              <w:rPr>
                <w:sz w:val="28"/>
              </w:rPr>
              <w:t>нних металів і </w:t>
            </w:r>
            <w:hyperlink r:id="rId12" w:anchor="w1_20" w:history="1">
              <w:r w:rsidRPr="001410DB">
                <w:rPr>
                  <w:rStyle w:val="a7"/>
                  <w:color w:val="auto"/>
                  <w:sz w:val="28"/>
                  <w:u w:val="none"/>
                </w:rPr>
                <w:t>дорогоці</w:t>
              </w:r>
            </w:hyperlink>
            <w:r w:rsidRPr="001410DB">
              <w:rPr>
                <w:sz w:val="28"/>
              </w:rPr>
              <w:t xml:space="preserve">нного каміння, у тому числі органогенного утворення </w:t>
            </w:r>
            <w:r w:rsidRPr="001410DB">
              <w:rPr>
                <w:b/>
                <w:sz w:val="28"/>
              </w:rPr>
              <w:t>(крім</w:t>
            </w:r>
            <w:r w:rsidRPr="001410DB">
              <w:rPr>
                <w:sz w:val="28"/>
              </w:rPr>
              <w:t xml:space="preserve"> виробництва, постачання, продажу (реалізації) ювелірних та побутових виробів з </w:t>
            </w:r>
            <w:hyperlink r:id="rId13" w:anchor="w1_21" w:history="1">
              <w:r w:rsidRPr="001410DB">
                <w:rPr>
                  <w:rStyle w:val="a7"/>
                  <w:color w:val="auto"/>
                  <w:sz w:val="28"/>
                  <w:u w:val="none"/>
                </w:rPr>
                <w:t>дорогоці</w:t>
              </w:r>
            </w:hyperlink>
            <w:r w:rsidRPr="001410DB">
              <w:rPr>
                <w:sz w:val="28"/>
              </w:rPr>
              <w:t>нних металів, </w:t>
            </w:r>
            <w:hyperlink r:id="rId14" w:anchor="w1_22" w:history="1">
              <w:r w:rsidRPr="001410DB">
                <w:rPr>
                  <w:rStyle w:val="a7"/>
                  <w:color w:val="auto"/>
                  <w:sz w:val="28"/>
                  <w:u w:val="none"/>
                </w:rPr>
                <w:t>дорогоці</w:t>
              </w:r>
            </w:hyperlink>
            <w:r w:rsidRPr="001410DB">
              <w:rPr>
                <w:sz w:val="28"/>
              </w:rPr>
              <w:t>нного каміння, </w:t>
            </w:r>
            <w:hyperlink r:id="rId15" w:anchor="w1_23" w:history="1">
              <w:r w:rsidRPr="001410DB">
                <w:rPr>
                  <w:rStyle w:val="a7"/>
                  <w:color w:val="auto"/>
                  <w:sz w:val="28"/>
                  <w:u w:val="none"/>
                </w:rPr>
                <w:t>дорогоці</w:t>
              </w:r>
            </w:hyperlink>
            <w:r w:rsidRPr="001410DB">
              <w:rPr>
                <w:sz w:val="28"/>
              </w:rPr>
              <w:t>нного каміння органогенного утворення та напів</w:t>
            </w:r>
            <w:hyperlink r:id="rId16" w:anchor="w1_24" w:history="1">
              <w:r w:rsidRPr="001410DB">
                <w:rPr>
                  <w:rStyle w:val="a7"/>
                  <w:color w:val="auto"/>
                  <w:sz w:val="28"/>
                  <w:u w:val="none"/>
                </w:rPr>
                <w:t>дорогоці</w:t>
              </w:r>
            </w:hyperlink>
            <w:r w:rsidRPr="001410DB">
              <w:rPr>
                <w:sz w:val="28"/>
              </w:rPr>
              <w:t>нного каміння</w:t>
            </w:r>
            <w:r w:rsidRPr="001410DB">
              <w:rPr>
                <w:b/>
                <w:sz w:val="28"/>
              </w:rPr>
              <w:t>)</w:t>
            </w:r>
            <w:r w:rsidRPr="001410DB">
              <w:rPr>
                <w:sz w:val="28"/>
              </w:rPr>
              <w:t>;</w:t>
            </w:r>
          </w:p>
        </w:tc>
        <w:tc>
          <w:tcPr>
            <w:tcW w:w="7280" w:type="dxa"/>
            <w:tcBorders>
              <w:top w:val="single" w:sz="4" w:space="0" w:color="000000"/>
              <w:left w:val="single" w:sz="4" w:space="0" w:color="000000"/>
              <w:bottom w:val="single" w:sz="4" w:space="0" w:color="000000"/>
              <w:right w:val="single" w:sz="4" w:space="0" w:color="000000"/>
            </w:tcBorders>
          </w:tcPr>
          <w:p w:rsidR="001C79D8" w:rsidRPr="001410DB" w:rsidRDefault="001C79D8" w:rsidP="00EA683A">
            <w:pPr>
              <w:rPr>
                <w:sz w:val="28"/>
              </w:rPr>
            </w:pPr>
            <w:r w:rsidRPr="001410DB">
              <w:rPr>
                <w:sz w:val="28"/>
              </w:rPr>
              <w:t>291.5. Не можуть бути платниками єдиного податку першої - третьої груп:</w:t>
            </w:r>
          </w:p>
          <w:p w:rsidR="00EA683A" w:rsidRPr="001410DB" w:rsidRDefault="00EA683A" w:rsidP="00EA683A">
            <w:pPr>
              <w:rPr>
                <w:sz w:val="28"/>
              </w:rPr>
            </w:pPr>
          </w:p>
          <w:p w:rsidR="001C79D8" w:rsidRPr="001410DB" w:rsidRDefault="001C79D8" w:rsidP="00EA683A">
            <w:pPr>
              <w:rPr>
                <w:sz w:val="28"/>
              </w:rPr>
            </w:pPr>
            <w:r w:rsidRPr="001410DB">
              <w:rPr>
                <w:sz w:val="28"/>
              </w:rPr>
              <w:t>291.5.1. суб'єкти господарювання (юридичні особи та фізичні особи - підприємці), які здійснюють:</w:t>
            </w:r>
          </w:p>
          <w:p w:rsidR="00EA683A" w:rsidRPr="001410DB" w:rsidRDefault="00EA683A" w:rsidP="00EA683A">
            <w:pPr>
              <w:rPr>
                <w:sz w:val="28"/>
              </w:rPr>
            </w:pPr>
          </w:p>
          <w:p w:rsidR="001C79D8" w:rsidRPr="001410DB" w:rsidRDefault="001C79D8" w:rsidP="00EA683A">
            <w:pPr>
              <w:rPr>
                <w:sz w:val="28"/>
              </w:rPr>
            </w:pPr>
            <w:r w:rsidRPr="001410DB">
              <w:rPr>
                <w:sz w:val="28"/>
              </w:rPr>
              <w:t>4) видобуток, виробництво, реалізацію </w:t>
            </w:r>
            <w:hyperlink r:id="rId17" w:anchor="w1_19" w:history="1">
              <w:r w:rsidRPr="001410DB">
                <w:rPr>
                  <w:rStyle w:val="a7"/>
                  <w:color w:val="auto"/>
                  <w:sz w:val="28"/>
                  <w:u w:val="none"/>
                </w:rPr>
                <w:t>дорогоці</w:t>
              </w:r>
            </w:hyperlink>
            <w:r w:rsidRPr="001410DB">
              <w:rPr>
                <w:sz w:val="28"/>
              </w:rPr>
              <w:t>нних металів і </w:t>
            </w:r>
            <w:hyperlink r:id="rId18" w:anchor="w1_20" w:history="1">
              <w:r w:rsidRPr="001410DB">
                <w:rPr>
                  <w:rStyle w:val="a7"/>
                  <w:color w:val="auto"/>
                  <w:sz w:val="28"/>
                  <w:u w:val="none"/>
                </w:rPr>
                <w:t>дорогоці</w:t>
              </w:r>
            </w:hyperlink>
            <w:r w:rsidRPr="001410DB">
              <w:rPr>
                <w:sz w:val="28"/>
              </w:rPr>
              <w:t>нного каміння, у тому числі органогенного утворення</w:t>
            </w:r>
            <w:r w:rsidRPr="001410DB">
              <w:rPr>
                <w:b/>
                <w:sz w:val="28"/>
              </w:rPr>
              <w:t>,</w:t>
            </w:r>
            <w:r w:rsidRPr="001410DB">
              <w:rPr>
                <w:sz w:val="28"/>
              </w:rPr>
              <w:t xml:space="preserve"> виробництво, постачання, продаж (реалізацію) ювелірних та побутових виробів з </w:t>
            </w:r>
            <w:hyperlink r:id="rId19" w:anchor="w1_21" w:history="1">
              <w:r w:rsidRPr="001410DB">
                <w:rPr>
                  <w:rStyle w:val="a7"/>
                  <w:color w:val="auto"/>
                  <w:sz w:val="28"/>
                  <w:szCs w:val="28"/>
                  <w:u w:val="none"/>
                </w:rPr>
                <w:t>дорогоці</w:t>
              </w:r>
            </w:hyperlink>
            <w:r w:rsidRPr="001410DB">
              <w:rPr>
                <w:sz w:val="28"/>
                <w:szCs w:val="28"/>
              </w:rPr>
              <w:t xml:space="preserve">нних металів, дорогоцінного каміння, дорогоцінного каміння органогенного утворення та </w:t>
            </w:r>
            <w:r w:rsidR="00EA683A" w:rsidRPr="001410DB">
              <w:rPr>
                <w:sz w:val="28"/>
                <w:szCs w:val="28"/>
              </w:rPr>
              <w:t>напівдорогоцінного</w:t>
            </w:r>
            <w:r w:rsidRPr="001410DB">
              <w:rPr>
                <w:sz w:val="28"/>
                <w:szCs w:val="28"/>
              </w:rPr>
              <w:t xml:space="preserve"> каміння</w:t>
            </w:r>
            <w:r w:rsidR="004E2FAC">
              <w:rPr>
                <w:sz w:val="28"/>
                <w:szCs w:val="28"/>
              </w:rPr>
              <w:t xml:space="preserve"> </w:t>
            </w:r>
            <w:r w:rsidR="004E2FAC" w:rsidRPr="004E2FAC">
              <w:rPr>
                <w:b/>
                <w:sz w:val="28"/>
                <w:szCs w:val="28"/>
              </w:rPr>
              <w:t>(крім виготовлення ювелірних виробів за індивідуальним замовленням)</w:t>
            </w:r>
            <w:r w:rsidRPr="004E2FAC">
              <w:rPr>
                <w:b/>
                <w:sz w:val="28"/>
                <w:szCs w:val="28"/>
              </w:rPr>
              <w:t>;</w:t>
            </w:r>
          </w:p>
        </w:tc>
      </w:tr>
      <w:tr w:rsidR="00EA683A" w:rsidRPr="001C79D8" w:rsidTr="001C79D8">
        <w:tc>
          <w:tcPr>
            <w:tcW w:w="7280" w:type="dxa"/>
            <w:tcBorders>
              <w:top w:val="single" w:sz="4" w:space="0" w:color="000000"/>
              <w:left w:val="single" w:sz="4" w:space="0" w:color="000000"/>
              <w:bottom w:val="single" w:sz="4" w:space="0" w:color="000000"/>
              <w:right w:val="single" w:sz="4" w:space="0" w:color="000000"/>
            </w:tcBorders>
          </w:tcPr>
          <w:p w:rsidR="00EA683A" w:rsidRPr="001410DB" w:rsidRDefault="00EA683A" w:rsidP="00EA683A">
            <w:pPr>
              <w:jc w:val="left"/>
              <w:rPr>
                <w:sz w:val="28"/>
                <w:lang w:val="ru-RU" w:eastAsia="ru-RU"/>
              </w:rPr>
            </w:pPr>
            <w:r w:rsidRPr="001410DB">
              <w:rPr>
                <w:rStyle w:val="rvts9"/>
                <w:b/>
                <w:bCs/>
                <w:sz w:val="28"/>
              </w:rPr>
              <w:t>Стаття 293.</w:t>
            </w:r>
            <w:r w:rsidRPr="001410DB">
              <w:rPr>
                <w:rStyle w:val="apple-converted-space"/>
                <w:sz w:val="28"/>
                <w:shd w:val="clear" w:color="auto" w:fill="FFFFFF"/>
              </w:rPr>
              <w:t> </w:t>
            </w:r>
            <w:r w:rsidRPr="001410DB">
              <w:rPr>
                <w:sz w:val="28"/>
                <w:shd w:val="clear" w:color="auto" w:fill="FFFFFF"/>
              </w:rPr>
              <w:t>Ставки єдиного податку</w:t>
            </w:r>
          </w:p>
        </w:tc>
        <w:tc>
          <w:tcPr>
            <w:tcW w:w="7280" w:type="dxa"/>
            <w:tcBorders>
              <w:top w:val="single" w:sz="4" w:space="0" w:color="000000"/>
              <w:left w:val="single" w:sz="4" w:space="0" w:color="000000"/>
              <w:bottom w:val="single" w:sz="4" w:space="0" w:color="000000"/>
              <w:right w:val="single" w:sz="4" w:space="0" w:color="000000"/>
            </w:tcBorders>
          </w:tcPr>
          <w:p w:rsidR="00EA683A" w:rsidRPr="001410DB" w:rsidRDefault="00EA683A" w:rsidP="00EA683A">
            <w:pPr>
              <w:jc w:val="left"/>
              <w:rPr>
                <w:sz w:val="28"/>
                <w:shd w:val="clear" w:color="auto" w:fill="FFFFFF"/>
              </w:rPr>
            </w:pPr>
            <w:r w:rsidRPr="001410DB">
              <w:rPr>
                <w:rStyle w:val="rvts9"/>
                <w:b/>
                <w:bCs/>
                <w:sz w:val="28"/>
              </w:rPr>
              <w:t>Стаття 293.</w:t>
            </w:r>
            <w:r w:rsidRPr="001410DB">
              <w:rPr>
                <w:rStyle w:val="apple-converted-space"/>
                <w:sz w:val="28"/>
                <w:shd w:val="clear" w:color="auto" w:fill="FFFFFF"/>
              </w:rPr>
              <w:t> </w:t>
            </w:r>
            <w:r w:rsidRPr="001410DB">
              <w:rPr>
                <w:sz w:val="28"/>
                <w:shd w:val="clear" w:color="auto" w:fill="FFFFFF"/>
              </w:rPr>
              <w:t>Ставки єдиного податку</w:t>
            </w:r>
          </w:p>
          <w:p w:rsidR="00EA683A" w:rsidRPr="001410DB" w:rsidRDefault="00EA683A" w:rsidP="00EA683A">
            <w:pPr>
              <w:jc w:val="left"/>
              <w:rPr>
                <w:sz w:val="28"/>
                <w:lang w:val="ru-RU" w:eastAsia="ru-RU"/>
              </w:rPr>
            </w:pPr>
          </w:p>
        </w:tc>
      </w:tr>
      <w:tr w:rsidR="00EA683A" w:rsidRPr="001C79D8" w:rsidTr="001C79D8">
        <w:tc>
          <w:tcPr>
            <w:tcW w:w="7280" w:type="dxa"/>
            <w:tcBorders>
              <w:top w:val="single" w:sz="4" w:space="0" w:color="000000"/>
              <w:left w:val="single" w:sz="4" w:space="0" w:color="000000"/>
              <w:bottom w:val="single" w:sz="4" w:space="0" w:color="000000"/>
              <w:right w:val="single" w:sz="4" w:space="0" w:color="000000"/>
            </w:tcBorders>
          </w:tcPr>
          <w:p w:rsidR="00EA683A" w:rsidRPr="001410DB" w:rsidRDefault="00EA683A" w:rsidP="00EA683A">
            <w:pPr>
              <w:rPr>
                <w:sz w:val="28"/>
                <w:szCs w:val="28"/>
                <w:lang w:val="ru-RU" w:eastAsia="ru-RU"/>
              </w:rPr>
            </w:pPr>
            <w:r w:rsidRPr="001410DB">
              <w:rPr>
                <w:sz w:val="28"/>
                <w:szCs w:val="28"/>
                <w:shd w:val="clear" w:color="auto" w:fill="FFFFFF"/>
              </w:rPr>
              <w:t>293.3. Відсоткова ставка єдиного податку для платників третьої групи встановлюється у розмірі:</w:t>
            </w:r>
          </w:p>
          <w:p w:rsidR="00EA683A" w:rsidRPr="001410DB" w:rsidRDefault="00EA683A" w:rsidP="00EA683A">
            <w:pPr>
              <w:rPr>
                <w:sz w:val="28"/>
                <w:szCs w:val="28"/>
                <w:lang w:val="ru-RU" w:eastAsia="ru-RU"/>
              </w:rPr>
            </w:pPr>
            <w:r w:rsidRPr="001410DB">
              <w:rPr>
                <w:sz w:val="28"/>
                <w:szCs w:val="28"/>
                <w:shd w:val="clear" w:color="auto" w:fill="FFFFFF"/>
              </w:rPr>
              <w:t>2) 5 відсотків доходу - у разі включення податку на додану вартість до складу єдиного податку.</w:t>
            </w:r>
          </w:p>
          <w:p w:rsidR="00EA683A" w:rsidRPr="001410DB" w:rsidRDefault="00EA683A" w:rsidP="00EA683A">
            <w:pPr>
              <w:pStyle w:val="rvps2"/>
              <w:spacing w:before="0" w:beforeAutospacing="0" w:after="150" w:afterAutospacing="0"/>
              <w:ind w:firstLine="450"/>
              <w:jc w:val="both"/>
              <w:rPr>
                <w:b/>
                <w:sz w:val="28"/>
                <w:szCs w:val="28"/>
                <w:lang w:val="ru-RU" w:eastAsia="ru-RU"/>
              </w:rPr>
            </w:pPr>
            <w:r w:rsidRPr="001410DB">
              <w:rPr>
                <w:b/>
                <w:sz w:val="28"/>
                <w:szCs w:val="28"/>
              </w:rPr>
              <w:lastRenderedPageBreak/>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цієї статті.</w:t>
            </w:r>
          </w:p>
        </w:tc>
        <w:tc>
          <w:tcPr>
            <w:tcW w:w="7280" w:type="dxa"/>
            <w:tcBorders>
              <w:top w:val="single" w:sz="4" w:space="0" w:color="000000"/>
              <w:left w:val="single" w:sz="4" w:space="0" w:color="000000"/>
              <w:bottom w:val="single" w:sz="4" w:space="0" w:color="000000"/>
              <w:right w:val="single" w:sz="4" w:space="0" w:color="000000"/>
            </w:tcBorders>
          </w:tcPr>
          <w:p w:rsidR="00EA683A" w:rsidRPr="001410DB" w:rsidRDefault="00EA683A" w:rsidP="00EA683A">
            <w:pPr>
              <w:rPr>
                <w:sz w:val="28"/>
                <w:szCs w:val="28"/>
                <w:lang w:val="ru-RU" w:eastAsia="ru-RU"/>
              </w:rPr>
            </w:pPr>
            <w:r w:rsidRPr="001410DB">
              <w:rPr>
                <w:sz w:val="28"/>
                <w:szCs w:val="28"/>
                <w:shd w:val="clear" w:color="auto" w:fill="FFFFFF"/>
              </w:rPr>
              <w:lastRenderedPageBreak/>
              <w:t>293.3. Відсоткова ставка єдиного податку для платників третьої групи встановлюється у розмірі:</w:t>
            </w:r>
          </w:p>
          <w:p w:rsidR="00EA683A" w:rsidRPr="001410DB" w:rsidRDefault="00EA683A" w:rsidP="00EA683A">
            <w:pPr>
              <w:rPr>
                <w:sz w:val="28"/>
                <w:szCs w:val="28"/>
                <w:lang w:val="ru-RU" w:eastAsia="ru-RU"/>
              </w:rPr>
            </w:pPr>
            <w:r w:rsidRPr="001410DB">
              <w:rPr>
                <w:sz w:val="28"/>
                <w:szCs w:val="28"/>
                <w:shd w:val="clear" w:color="auto" w:fill="FFFFFF"/>
              </w:rPr>
              <w:t>2) 5 відсотків доходу - у разі включення податку на додану вартість до складу єдиного податку.</w:t>
            </w:r>
          </w:p>
          <w:p w:rsidR="00EA683A" w:rsidRPr="001410DB" w:rsidRDefault="00EA683A" w:rsidP="00EA683A">
            <w:pPr>
              <w:pStyle w:val="rvps2"/>
              <w:spacing w:before="0" w:beforeAutospacing="0" w:after="150" w:afterAutospacing="0"/>
              <w:ind w:firstLine="450"/>
              <w:jc w:val="both"/>
              <w:rPr>
                <w:b/>
                <w:sz w:val="28"/>
                <w:szCs w:val="28"/>
                <w:lang w:val="ru-RU" w:eastAsia="ru-RU"/>
              </w:rPr>
            </w:pPr>
            <w:r w:rsidRPr="001410DB">
              <w:rPr>
                <w:b/>
                <w:sz w:val="28"/>
                <w:szCs w:val="28"/>
              </w:rPr>
              <w:t>Виключити</w:t>
            </w:r>
          </w:p>
          <w:p w:rsidR="00EA683A" w:rsidRPr="001410DB" w:rsidRDefault="00EA683A" w:rsidP="00EA683A">
            <w:pPr>
              <w:rPr>
                <w:sz w:val="28"/>
                <w:szCs w:val="28"/>
              </w:rPr>
            </w:pPr>
          </w:p>
          <w:p w:rsidR="00EA683A" w:rsidRPr="001410DB" w:rsidRDefault="00EA683A" w:rsidP="00EA683A">
            <w:pPr>
              <w:pStyle w:val="rvps2"/>
              <w:shd w:val="clear" w:color="auto" w:fill="FFFFFF"/>
              <w:spacing w:before="0" w:beforeAutospacing="0" w:after="150" w:afterAutospacing="0"/>
              <w:jc w:val="both"/>
              <w:rPr>
                <w:sz w:val="28"/>
                <w:szCs w:val="28"/>
                <w:lang w:eastAsia="en-US"/>
              </w:rPr>
            </w:pPr>
          </w:p>
        </w:tc>
      </w:tr>
      <w:tr w:rsidR="004015D8" w:rsidRPr="001C79D8" w:rsidTr="002703DE">
        <w:tc>
          <w:tcPr>
            <w:tcW w:w="14560" w:type="dxa"/>
            <w:gridSpan w:val="2"/>
            <w:tcBorders>
              <w:top w:val="single" w:sz="4" w:space="0" w:color="000000"/>
              <w:left w:val="single" w:sz="4" w:space="0" w:color="000000"/>
              <w:bottom w:val="single" w:sz="4" w:space="0" w:color="000000"/>
              <w:right w:val="single" w:sz="4" w:space="0" w:color="000000"/>
            </w:tcBorders>
          </w:tcPr>
          <w:p w:rsidR="004015D8" w:rsidRPr="001410DB" w:rsidRDefault="004015D8" w:rsidP="004015D8">
            <w:pPr>
              <w:ind w:firstLine="397"/>
              <w:jc w:val="center"/>
              <w:rPr>
                <w:b/>
                <w:sz w:val="28"/>
                <w:szCs w:val="28"/>
              </w:rPr>
            </w:pPr>
            <w:r w:rsidRPr="001410DB">
              <w:rPr>
                <w:sz w:val="28"/>
                <w:szCs w:val="28"/>
                <w:shd w:val="clear" w:color="auto" w:fill="FFFFFF"/>
              </w:rPr>
              <w:lastRenderedPageBreak/>
              <w:tab/>
            </w:r>
            <w:r w:rsidRPr="001410DB">
              <w:rPr>
                <w:b/>
                <w:sz w:val="28"/>
                <w:szCs w:val="28"/>
              </w:rPr>
              <w:t xml:space="preserve">Закон України </w:t>
            </w:r>
          </w:p>
          <w:p w:rsidR="004015D8" w:rsidRPr="001410DB" w:rsidRDefault="004015D8" w:rsidP="004015D8">
            <w:pPr>
              <w:tabs>
                <w:tab w:val="left" w:pos="9060"/>
              </w:tabs>
              <w:jc w:val="center"/>
              <w:rPr>
                <w:sz w:val="28"/>
                <w:szCs w:val="28"/>
                <w:shd w:val="clear" w:color="auto" w:fill="FFFFFF"/>
              </w:rPr>
            </w:pPr>
            <w:r w:rsidRPr="001410DB">
              <w:rPr>
                <w:b/>
                <w:sz w:val="28"/>
                <w:szCs w:val="28"/>
              </w:rPr>
              <w:t>«Про збір на обов'язкове державне пенсійне страхування»</w:t>
            </w:r>
          </w:p>
        </w:tc>
      </w:tr>
      <w:tr w:rsidR="004015D8" w:rsidRPr="001C79D8" w:rsidTr="00265AC0">
        <w:tc>
          <w:tcPr>
            <w:tcW w:w="7280" w:type="dxa"/>
            <w:tcBorders>
              <w:top w:val="single" w:sz="4" w:space="0" w:color="000000"/>
              <w:left w:val="single" w:sz="4" w:space="0" w:color="000000"/>
              <w:bottom w:val="single" w:sz="4" w:space="0" w:color="000000"/>
              <w:right w:val="single" w:sz="4" w:space="0" w:color="000000"/>
            </w:tcBorders>
          </w:tcPr>
          <w:p w:rsidR="004015D8" w:rsidRPr="001410DB" w:rsidRDefault="004015D8" w:rsidP="004015D8">
            <w:pPr>
              <w:spacing w:after="120"/>
              <w:ind w:firstLine="397"/>
              <w:contextualSpacing/>
              <w:rPr>
                <w:sz w:val="28"/>
                <w:szCs w:val="28"/>
              </w:rPr>
            </w:pPr>
            <w:r w:rsidRPr="001410DB">
              <w:rPr>
                <w:b/>
                <w:bCs/>
                <w:sz w:val="28"/>
                <w:szCs w:val="28"/>
              </w:rPr>
              <w:t>Стаття 1.</w:t>
            </w:r>
            <w:r w:rsidRPr="001410DB">
              <w:rPr>
                <w:sz w:val="28"/>
                <w:szCs w:val="28"/>
              </w:rPr>
              <w:t xml:space="preserve"> Платниками збору на обов'язкове державне пенсійне страхування є:</w:t>
            </w:r>
          </w:p>
          <w:p w:rsidR="004015D8" w:rsidRPr="001410DB" w:rsidRDefault="004015D8" w:rsidP="004015D8">
            <w:pPr>
              <w:spacing w:after="120"/>
              <w:ind w:firstLine="397"/>
              <w:contextualSpacing/>
              <w:rPr>
                <w:sz w:val="28"/>
                <w:szCs w:val="28"/>
              </w:rPr>
            </w:pPr>
            <w:r w:rsidRPr="001410DB">
              <w:rPr>
                <w:b/>
                <w:bCs/>
                <w:sz w:val="28"/>
                <w:szCs w:val="28"/>
              </w:rPr>
              <w:t>6) фізичні особи та суб'єкти господарювання, які подають ювелірні та побутові вироби з дорогоцінних металів на клеймування державним пробірним клеймом до казенних підприємств пробірного контролю.</w:t>
            </w:r>
          </w:p>
          <w:p w:rsidR="004015D8" w:rsidRPr="001410DB" w:rsidRDefault="004015D8" w:rsidP="004015D8">
            <w:pPr>
              <w:spacing w:after="120"/>
              <w:ind w:firstLine="397"/>
              <w:rPr>
                <w:b/>
                <w:bCs/>
                <w:sz w:val="28"/>
                <w:szCs w:val="28"/>
              </w:rPr>
            </w:pPr>
            <w:r w:rsidRPr="001410DB">
              <w:rPr>
                <w:b/>
                <w:bCs/>
                <w:sz w:val="28"/>
                <w:szCs w:val="28"/>
              </w:rPr>
              <w:t>Центральний орган виконавчої влади, що забезпечує формування державної фінансової політики, забезпечує організацію сплати (утримання) збору на обов'язкове державне пенсійне страхування при здійсненні казенними підприємствами пробірного контролю клеймування державним пробірним клеймом ювелірних та побутових виробів з дорогоцінних металів, поданих фізичними особами та суб'єктами господарювання, у безготівковій та/або готівковій формі.</w:t>
            </w:r>
          </w:p>
          <w:p w:rsidR="004015D8" w:rsidRPr="001410DB" w:rsidRDefault="004015D8" w:rsidP="004015D8">
            <w:pPr>
              <w:spacing w:after="120"/>
              <w:ind w:firstLine="397"/>
              <w:rPr>
                <w:b/>
                <w:bCs/>
                <w:sz w:val="28"/>
                <w:szCs w:val="28"/>
              </w:rPr>
            </w:pPr>
            <w:r w:rsidRPr="001410DB">
              <w:rPr>
                <w:b/>
                <w:bCs/>
                <w:sz w:val="28"/>
                <w:szCs w:val="28"/>
              </w:rPr>
              <w:t xml:space="preserve">Центральний орган виконавчої влади, який реалізує державну політику з адміністрування єдиного внеску на загальнообов'язкове державне соціальне страхування, здійснює контроль за сплатою (утриманням) збору на </w:t>
            </w:r>
            <w:r w:rsidRPr="001410DB">
              <w:rPr>
                <w:b/>
                <w:bCs/>
                <w:sz w:val="28"/>
                <w:szCs w:val="28"/>
              </w:rPr>
              <w:lastRenderedPageBreak/>
              <w:t>обов'язкове державне пенсійне страхування при здійсненні казенними підприємствами пробірного контролю клеймування державним пробірним клеймом ювелірних та побутових виробів з дорогоцінних металів, поданих фізичними особами та суб'єктами господарювання, у безготівковій та/або готівковій формі.</w:t>
            </w:r>
          </w:p>
          <w:p w:rsidR="004015D8" w:rsidRPr="001410DB" w:rsidRDefault="004015D8" w:rsidP="004015D8">
            <w:pPr>
              <w:spacing w:after="120"/>
              <w:ind w:firstLine="397"/>
              <w:rPr>
                <w:b/>
                <w:bCs/>
                <w:sz w:val="28"/>
                <w:szCs w:val="28"/>
              </w:rPr>
            </w:pPr>
            <w:r w:rsidRPr="001410DB">
              <w:rPr>
                <w:b/>
                <w:bCs/>
                <w:sz w:val="28"/>
                <w:szCs w:val="28"/>
              </w:rPr>
              <w:t>Казенні підприємства пробірного контролю подають до 20 числа місяця, що настає за звітним, до органів Пенсійного фонду України звіт про нарахування (утримання) та сплату збору на обов'язкове державне пенсійне страхування при здійсненні клеймування виробів державним пробірним клеймом у порядку та за формою, визначеними Кабінетом Міністрів України;</w:t>
            </w:r>
          </w:p>
          <w:p w:rsidR="004015D8" w:rsidRPr="001410DB" w:rsidRDefault="004015D8" w:rsidP="004015D8">
            <w:pPr>
              <w:spacing w:after="120"/>
              <w:ind w:firstLine="397"/>
              <w:rPr>
                <w:b/>
                <w:bCs/>
                <w:sz w:val="28"/>
                <w:szCs w:val="28"/>
              </w:rPr>
            </w:pPr>
          </w:p>
          <w:p w:rsidR="004015D8" w:rsidRPr="001410DB" w:rsidRDefault="004015D8" w:rsidP="004015D8">
            <w:pPr>
              <w:ind w:firstLine="397"/>
              <w:rPr>
                <w:sz w:val="28"/>
                <w:szCs w:val="28"/>
              </w:rPr>
            </w:pPr>
            <w:r w:rsidRPr="001410DB">
              <w:rPr>
                <w:sz w:val="28"/>
                <w:szCs w:val="28"/>
              </w:rPr>
              <w:t>…</w:t>
            </w:r>
          </w:p>
          <w:p w:rsidR="004015D8" w:rsidRPr="001410DB" w:rsidRDefault="004015D8" w:rsidP="004015D8">
            <w:pPr>
              <w:ind w:firstLine="397"/>
              <w:rPr>
                <w:sz w:val="28"/>
                <w:szCs w:val="28"/>
              </w:rPr>
            </w:pPr>
            <w:r w:rsidRPr="001410DB">
              <w:rPr>
                <w:sz w:val="28"/>
                <w:szCs w:val="28"/>
              </w:rPr>
              <w:t xml:space="preserve">Суб'єкти підприємницької діяльності, які застосовують спрощений режим оподаткування (єдиний податок), та юридичні і фізичні особи, що розташовані (проживають) у зонах гарантованого добровільного відселення та посиленого радіоекологічного контролю, сплачують збір на обов'язкове державне пенсійне страхування </w:t>
            </w:r>
            <w:r w:rsidRPr="001410DB">
              <w:rPr>
                <w:b/>
                <w:bCs/>
                <w:sz w:val="28"/>
                <w:szCs w:val="28"/>
              </w:rPr>
              <w:t>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w:t>
            </w:r>
            <w:r w:rsidRPr="001410DB">
              <w:rPr>
                <w:sz w:val="28"/>
                <w:szCs w:val="28"/>
              </w:rPr>
              <w:t>, під час набуття права власності на легкові автомобілі у випадках, зазначених у пункті 7 частини першої цієї статті, з операцій купівлі-продажу нерухомого майна, з надання послуг стільникового рухомого зв'язку на загальних підставах.</w:t>
            </w:r>
          </w:p>
        </w:tc>
        <w:tc>
          <w:tcPr>
            <w:tcW w:w="7280" w:type="dxa"/>
            <w:tcBorders>
              <w:top w:val="single" w:sz="4" w:space="0" w:color="000000"/>
              <w:left w:val="single" w:sz="4" w:space="0" w:color="000000"/>
              <w:bottom w:val="single" w:sz="4" w:space="0" w:color="000000"/>
              <w:right w:val="single" w:sz="4" w:space="0" w:color="000000"/>
            </w:tcBorders>
          </w:tcPr>
          <w:p w:rsidR="004015D8" w:rsidRPr="001410DB" w:rsidRDefault="004015D8" w:rsidP="004015D8">
            <w:pPr>
              <w:rPr>
                <w:sz w:val="28"/>
                <w:szCs w:val="28"/>
              </w:rPr>
            </w:pPr>
            <w:r w:rsidRPr="001410DB">
              <w:rPr>
                <w:b/>
                <w:bCs/>
                <w:sz w:val="28"/>
                <w:szCs w:val="28"/>
              </w:rPr>
              <w:lastRenderedPageBreak/>
              <w:t>Стаття 1.</w:t>
            </w:r>
            <w:r w:rsidRPr="001410DB">
              <w:rPr>
                <w:sz w:val="28"/>
                <w:szCs w:val="28"/>
              </w:rPr>
              <w:t xml:space="preserve"> Платниками збору на обов'язкове державне пенсійне страхування є:</w:t>
            </w:r>
          </w:p>
          <w:p w:rsidR="004015D8" w:rsidRPr="001410DB" w:rsidRDefault="004015D8" w:rsidP="004015D8">
            <w:pPr>
              <w:contextualSpacing/>
              <w:rPr>
                <w:b/>
                <w:sz w:val="28"/>
                <w:szCs w:val="28"/>
              </w:rPr>
            </w:pPr>
            <w:r w:rsidRPr="001410DB">
              <w:rPr>
                <w:b/>
                <w:sz w:val="28"/>
                <w:szCs w:val="28"/>
              </w:rPr>
              <w:t>Виключити</w:t>
            </w: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p>
          <w:p w:rsidR="004015D8" w:rsidRPr="001410DB" w:rsidRDefault="004015D8" w:rsidP="004015D8">
            <w:pPr>
              <w:pStyle w:val="a4"/>
              <w:spacing w:before="0" w:beforeAutospacing="0" w:after="0" w:afterAutospacing="0"/>
              <w:jc w:val="both"/>
              <w:rPr>
                <w:rFonts w:ascii="Times New Roman" w:hAnsi="Times New Roman" w:cs="Times New Roman"/>
                <w:sz w:val="28"/>
                <w:szCs w:val="28"/>
                <w:lang w:val="uk-UA" w:eastAsia="ru-RU"/>
              </w:rPr>
            </w:pPr>
            <w:r w:rsidRPr="001410DB">
              <w:rPr>
                <w:rFonts w:ascii="Times New Roman" w:hAnsi="Times New Roman" w:cs="Times New Roman"/>
                <w:sz w:val="28"/>
                <w:szCs w:val="28"/>
                <w:lang w:val="uk-UA" w:eastAsia="ru-RU"/>
              </w:rPr>
              <w:t>…</w:t>
            </w:r>
          </w:p>
          <w:p w:rsidR="004015D8" w:rsidRPr="001410DB" w:rsidRDefault="004015D8" w:rsidP="004015D8">
            <w:pPr>
              <w:pStyle w:val="a4"/>
              <w:spacing w:before="0" w:beforeAutospacing="0" w:after="0" w:afterAutospacing="0"/>
              <w:jc w:val="both"/>
              <w:rPr>
                <w:rFonts w:ascii="Times New Roman" w:hAnsi="Times New Roman" w:cs="Times New Roman"/>
                <w:b/>
                <w:sz w:val="28"/>
                <w:szCs w:val="28"/>
                <w:lang w:val="uk-UA" w:eastAsia="ru-RU"/>
              </w:rPr>
            </w:pPr>
            <w:r w:rsidRPr="001410DB">
              <w:rPr>
                <w:rFonts w:ascii="Times New Roman" w:hAnsi="Times New Roman" w:cs="Times New Roman"/>
                <w:sz w:val="28"/>
                <w:szCs w:val="28"/>
                <w:shd w:val="clear" w:color="auto" w:fill="FFFFFF"/>
                <w:lang w:val="uk-UA"/>
              </w:rPr>
              <w:t>Суб'єкти підприємницької діяльності, які застосовують спрощений режим оподаткування (єдиний податок), та юридичні і фізичні особи, що розташовані (проживають) у зонах гарантованого добровільного відселення та посиленого радіоекологічного контролю, сплачують збір на обов'язкове державне пенсійне страхування під час набуття права власності на легкові автомобілі у випадках, зазначених у пункті 7 частини першої цієї статті, з операцій купівлі-продажу нерухомого майна, з надання послуг стільникового рухомого зв'язку на загальних підставах.</w:t>
            </w:r>
          </w:p>
        </w:tc>
      </w:tr>
      <w:tr w:rsidR="004015D8" w:rsidRPr="001C79D8" w:rsidTr="00265AC0">
        <w:tc>
          <w:tcPr>
            <w:tcW w:w="7280" w:type="dxa"/>
            <w:tcBorders>
              <w:top w:val="single" w:sz="4" w:space="0" w:color="000000"/>
              <w:left w:val="single" w:sz="4" w:space="0" w:color="000000"/>
              <w:bottom w:val="single" w:sz="4" w:space="0" w:color="000000"/>
              <w:right w:val="single" w:sz="4" w:space="0" w:color="000000"/>
            </w:tcBorders>
          </w:tcPr>
          <w:p w:rsidR="004015D8" w:rsidRDefault="004015D8" w:rsidP="004015D8">
            <w:pPr>
              <w:ind w:firstLine="397"/>
              <w:contextualSpacing/>
              <w:rPr>
                <w:sz w:val="28"/>
                <w:szCs w:val="28"/>
              </w:rPr>
            </w:pPr>
            <w:r w:rsidRPr="001C79D8">
              <w:rPr>
                <w:b/>
                <w:bCs/>
                <w:sz w:val="28"/>
                <w:szCs w:val="28"/>
              </w:rPr>
              <w:lastRenderedPageBreak/>
              <w:t>Стаття 2.</w:t>
            </w:r>
            <w:r w:rsidRPr="001C79D8">
              <w:rPr>
                <w:sz w:val="28"/>
                <w:szCs w:val="28"/>
              </w:rPr>
              <w:t xml:space="preserve"> Об'єктом оподаткування є:</w:t>
            </w:r>
          </w:p>
          <w:p w:rsidR="004015D8" w:rsidRPr="001C79D8" w:rsidRDefault="004015D8" w:rsidP="004015D8">
            <w:pPr>
              <w:ind w:firstLine="397"/>
              <w:contextualSpacing/>
              <w:rPr>
                <w:sz w:val="28"/>
                <w:szCs w:val="28"/>
              </w:rPr>
            </w:pPr>
            <w:r w:rsidRPr="001C79D8">
              <w:rPr>
                <w:sz w:val="28"/>
                <w:szCs w:val="28"/>
              </w:rPr>
              <w:lastRenderedPageBreak/>
              <w:t>…</w:t>
            </w:r>
          </w:p>
          <w:p w:rsidR="004015D8" w:rsidRPr="001C79D8" w:rsidRDefault="004015D8" w:rsidP="004015D8">
            <w:pPr>
              <w:ind w:firstLine="397"/>
              <w:contextualSpacing/>
              <w:rPr>
                <w:sz w:val="28"/>
                <w:szCs w:val="28"/>
              </w:rPr>
            </w:pPr>
            <w:r w:rsidRPr="001C79D8">
              <w:rPr>
                <w:b/>
                <w:bCs/>
                <w:sz w:val="28"/>
                <w:szCs w:val="28"/>
              </w:rPr>
              <w:t>5) для платників збору, визначених </w:t>
            </w:r>
            <w:hyperlink r:id="rId20" w:anchor="n23" w:history="1">
              <w:r w:rsidRPr="001C79D8">
                <w:rPr>
                  <w:b/>
                  <w:bCs/>
                  <w:sz w:val="28"/>
                  <w:szCs w:val="28"/>
                </w:rPr>
                <w:t>пунктом 6</w:t>
              </w:r>
            </w:hyperlink>
            <w:r w:rsidRPr="001C79D8">
              <w:rPr>
                <w:b/>
                <w:bCs/>
                <w:sz w:val="28"/>
                <w:szCs w:val="28"/>
              </w:rPr>
              <w:t> статті 1 цього Закону, - вартість основного дорогоцінного металу (золото, срібло, платина, паладій), у перерахунку на вагу чистого металу, що міститься у сплаві, з якого виготовлено ювелірний чи побутовий виріб, визначена за офіційним курсом Національного банку України на банківські метали на час подання платником збору ювелірних та побутових виробів на клеймування до казенного підприємства пробірного контролю</w:t>
            </w:r>
            <w:r w:rsidRPr="001C79D8">
              <w:rPr>
                <w:sz w:val="28"/>
                <w:szCs w:val="28"/>
              </w:rPr>
              <w:t>;</w:t>
            </w:r>
          </w:p>
          <w:p w:rsidR="004015D8" w:rsidRPr="001C79D8" w:rsidRDefault="004015D8" w:rsidP="004015D8">
            <w:pPr>
              <w:ind w:firstLine="397"/>
              <w:contextualSpacing/>
              <w:rPr>
                <w:sz w:val="28"/>
                <w:szCs w:val="28"/>
              </w:rPr>
            </w:pPr>
          </w:p>
        </w:tc>
        <w:tc>
          <w:tcPr>
            <w:tcW w:w="7280" w:type="dxa"/>
            <w:tcBorders>
              <w:top w:val="single" w:sz="4" w:space="0" w:color="000000"/>
              <w:left w:val="single" w:sz="4" w:space="0" w:color="000000"/>
              <w:bottom w:val="single" w:sz="4" w:space="0" w:color="000000"/>
              <w:right w:val="single" w:sz="4" w:space="0" w:color="000000"/>
            </w:tcBorders>
          </w:tcPr>
          <w:p w:rsidR="004015D8" w:rsidRDefault="004015D8" w:rsidP="004015D8">
            <w:pPr>
              <w:contextualSpacing/>
              <w:rPr>
                <w:sz w:val="28"/>
                <w:szCs w:val="28"/>
              </w:rPr>
            </w:pPr>
            <w:r w:rsidRPr="001C79D8">
              <w:rPr>
                <w:b/>
                <w:bCs/>
                <w:sz w:val="28"/>
                <w:szCs w:val="28"/>
              </w:rPr>
              <w:lastRenderedPageBreak/>
              <w:t>Стаття 2.</w:t>
            </w:r>
            <w:r w:rsidRPr="001C79D8">
              <w:rPr>
                <w:sz w:val="28"/>
                <w:szCs w:val="28"/>
              </w:rPr>
              <w:t xml:space="preserve"> Об'єктом оподаткування є:</w:t>
            </w:r>
          </w:p>
          <w:p w:rsidR="004015D8" w:rsidRPr="001C79D8" w:rsidRDefault="004015D8" w:rsidP="004015D8">
            <w:pPr>
              <w:contextualSpacing/>
              <w:rPr>
                <w:sz w:val="28"/>
                <w:szCs w:val="28"/>
              </w:rPr>
            </w:pPr>
            <w:r w:rsidRPr="001C79D8">
              <w:rPr>
                <w:sz w:val="28"/>
                <w:szCs w:val="28"/>
              </w:rPr>
              <w:lastRenderedPageBreak/>
              <w:t>…</w:t>
            </w:r>
          </w:p>
          <w:p w:rsidR="004015D8" w:rsidRPr="001C79D8" w:rsidRDefault="004015D8" w:rsidP="004015D8">
            <w:pPr>
              <w:contextualSpacing/>
              <w:rPr>
                <w:b/>
                <w:bCs/>
                <w:sz w:val="28"/>
                <w:szCs w:val="28"/>
              </w:rPr>
            </w:pPr>
            <w:r>
              <w:rPr>
                <w:b/>
                <w:bCs/>
                <w:sz w:val="28"/>
                <w:szCs w:val="28"/>
                <w:lang w:eastAsia="ru-RU"/>
              </w:rPr>
              <w:t>В</w:t>
            </w:r>
            <w:r w:rsidRPr="001C79D8">
              <w:rPr>
                <w:b/>
                <w:bCs/>
                <w:sz w:val="28"/>
                <w:szCs w:val="28"/>
                <w:lang w:eastAsia="ru-RU"/>
              </w:rPr>
              <w:t>иключити</w:t>
            </w:r>
          </w:p>
        </w:tc>
      </w:tr>
      <w:tr w:rsidR="004015D8" w:rsidRPr="001C79D8" w:rsidTr="00265AC0">
        <w:tc>
          <w:tcPr>
            <w:tcW w:w="7280" w:type="dxa"/>
            <w:tcBorders>
              <w:top w:val="single" w:sz="4" w:space="0" w:color="000000"/>
              <w:left w:val="single" w:sz="4" w:space="0" w:color="000000"/>
              <w:bottom w:val="single" w:sz="4" w:space="0" w:color="000000"/>
              <w:right w:val="single" w:sz="4" w:space="0" w:color="000000"/>
            </w:tcBorders>
          </w:tcPr>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textAlignment w:val="baseline"/>
              <w:rPr>
                <w:sz w:val="28"/>
                <w:szCs w:val="28"/>
              </w:rPr>
            </w:pPr>
            <w:r w:rsidRPr="001C79D8">
              <w:rPr>
                <w:b/>
                <w:bCs/>
                <w:sz w:val="28"/>
                <w:szCs w:val="28"/>
              </w:rPr>
              <w:lastRenderedPageBreak/>
              <w:t>Стаття 3.</w:t>
            </w:r>
            <w:r w:rsidRPr="001C79D8">
              <w:rPr>
                <w:sz w:val="28"/>
                <w:szCs w:val="28"/>
              </w:rPr>
              <w:t> Збір на обов'язкове державне пенсійне страхування платники збору, визначені у частині другій цієї статті, сплачують до Пенсійного фонду України в порядку, визначеному Кабінетом Міністрів України.</w:t>
            </w:r>
          </w:p>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textAlignment w:val="baseline"/>
              <w:rPr>
                <w:sz w:val="28"/>
                <w:szCs w:val="28"/>
              </w:rPr>
            </w:pPr>
            <w:r w:rsidRPr="001C79D8">
              <w:rPr>
                <w:sz w:val="28"/>
                <w:szCs w:val="28"/>
              </w:rPr>
              <w:t>Платники, визначені </w:t>
            </w:r>
            <w:hyperlink r:id="rId21" w:anchor="n13" w:history="1">
              <w:r w:rsidRPr="001C79D8">
                <w:rPr>
                  <w:sz w:val="28"/>
                  <w:szCs w:val="28"/>
                </w:rPr>
                <w:t>пунктами 1</w:t>
              </w:r>
            </w:hyperlink>
            <w:r w:rsidRPr="001C79D8">
              <w:rPr>
                <w:sz w:val="28"/>
                <w:szCs w:val="28"/>
              </w:rPr>
              <w:t>, </w:t>
            </w:r>
            <w:hyperlink r:id="rId22" w:anchor="n14" w:history="1">
              <w:r w:rsidRPr="001C79D8">
                <w:rPr>
                  <w:sz w:val="28"/>
                  <w:szCs w:val="28"/>
                </w:rPr>
                <w:t>2</w:t>
              </w:r>
            </w:hyperlink>
            <w:r w:rsidRPr="001C79D8">
              <w:rPr>
                <w:sz w:val="28"/>
                <w:szCs w:val="28"/>
              </w:rPr>
              <w:t> та </w:t>
            </w:r>
            <w:hyperlink r:id="rId23" w:anchor="n15" w:history="1">
              <w:r w:rsidRPr="001C79D8">
                <w:rPr>
                  <w:sz w:val="28"/>
                  <w:szCs w:val="28"/>
                </w:rPr>
                <w:t>3</w:t>
              </w:r>
            </w:hyperlink>
            <w:r w:rsidRPr="001C79D8">
              <w:rPr>
                <w:sz w:val="28"/>
                <w:szCs w:val="28"/>
              </w:rPr>
              <w:t> статті 1 цього Закону, зобов'язані зареєструватися в органах Пенсійного фонду України. Комерційні банки при відкритті відповідних банківських рахунків зобов'язані вимагати інформацію від таких платників щодо зазначеної реєстрації.</w:t>
            </w:r>
          </w:p>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textAlignment w:val="baseline"/>
              <w:rPr>
                <w:sz w:val="28"/>
                <w:szCs w:val="28"/>
              </w:rPr>
            </w:pPr>
            <w:r w:rsidRPr="001C79D8">
              <w:rPr>
                <w:sz w:val="28"/>
                <w:szCs w:val="28"/>
              </w:rPr>
              <w:t>Платники збору, визначені </w:t>
            </w:r>
            <w:hyperlink r:id="rId24" w:anchor="n23" w:history="1">
              <w:r w:rsidRPr="001C79D8">
                <w:rPr>
                  <w:sz w:val="28"/>
                  <w:szCs w:val="28"/>
                </w:rPr>
                <w:t>пунктами</w:t>
              </w:r>
              <w:r w:rsidRPr="001C79D8">
                <w:rPr>
                  <w:b/>
                  <w:bCs/>
                  <w:sz w:val="28"/>
                  <w:szCs w:val="28"/>
                </w:rPr>
                <w:t xml:space="preserve"> 6</w:t>
              </w:r>
            </w:hyperlink>
            <w:r w:rsidRPr="001C79D8">
              <w:rPr>
                <w:sz w:val="28"/>
                <w:szCs w:val="28"/>
              </w:rPr>
              <w:t>, </w:t>
            </w:r>
            <w:hyperlink r:id="rId25" w:anchor="n28" w:history="1">
              <w:r w:rsidRPr="001C79D8">
                <w:rPr>
                  <w:sz w:val="28"/>
                  <w:szCs w:val="28"/>
                </w:rPr>
                <w:t>7</w:t>
              </w:r>
            </w:hyperlink>
            <w:r w:rsidRPr="001C79D8">
              <w:rPr>
                <w:sz w:val="28"/>
                <w:szCs w:val="28"/>
              </w:rPr>
              <w:t>, </w:t>
            </w:r>
            <w:hyperlink r:id="rId26" w:anchor="n31" w:history="1">
              <w:r w:rsidRPr="001C79D8">
                <w:rPr>
                  <w:sz w:val="28"/>
                  <w:szCs w:val="28"/>
                </w:rPr>
                <w:t>9</w:t>
              </w:r>
            </w:hyperlink>
            <w:r w:rsidRPr="001C79D8">
              <w:rPr>
                <w:sz w:val="28"/>
                <w:szCs w:val="28"/>
              </w:rPr>
              <w:t> і </w:t>
            </w:r>
            <w:hyperlink r:id="rId27" w:anchor="n36" w:history="1">
              <w:r w:rsidRPr="001C79D8">
                <w:rPr>
                  <w:sz w:val="28"/>
                  <w:szCs w:val="28"/>
                </w:rPr>
                <w:t>10</w:t>
              </w:r>
            </w:hyperlink>
            <w:r w:rsidRPr="001C79D8">
              <w:rPr>
                <w:sz w:val="28"/>
                <w:szCs w:val="28"/>
              </w:rPr>
              <w:t xml:space="preserve"> статті 1 цього Закону, збір на обов'язкове державне пенсійне страхування сплачують на бюджетні рахунки для зарахування надходжень до державного бюджету, відкриті в головних управліннях центрального органу виконавчої влади, що реалізує державну політику у сфері казначейського обслуговування бюджетних коштів. Ці кошти в установленому порядку зараховуються до загального фонду державного бюджету і </w:t>
            </w:r>
            <w:r w:rsidRPr="001C79D8">
              <w:rPr>
                <w:sz w:val="28"/>
                <w:szCs w:val="28"/>
              </w:rPr>
              <w:lastRenderedPageBreak/>
              <w:t>використовуються згідно із законом про Державний бюджет України.</w:t>
            </w:r>
          </w:p>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textAlignment w:val="baseline"/>
              <w:rPr>
                <w:sz w:val="28"/>
                <w:szCs w:val="28"/>
              </w:rPr>
            </w:pPr>
          </w:p>
        </w:tc>
        <w:tc>
          <w:tcPr>
            <w:tcW w:w="7280" w:type="dxa"/>
            <w:tcBorders>
              <w:top w:val="single" w:sz="4" w:space="0" w:color="000000"/>
              <w:left w:val="single" w:sz="4" w:space="0" w:color="000000"/>
              <w:bottom w:val="single" w:sz="4" w:space="0" w:color="000000"/>
              <w:right w:val="single" w:sz="4" w:space="0" w:color="000000"/>
            </w:tcBorders>
          </w:tcPr>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8"/>
                <w:szCs w:val="28"/>
              </w:rPr>
            </w:pPr>
            <w:r w:rsidRPr="001C79D8">
              <w:rPr>
                <w:b/>
                <w:bCs/>
                <w:sz w:val="28"/>
                <w:szCs w:val="28"/>
              </w:rPr>
              <w:lastRenderedPageBreak/>
              <w:t>Стаття 3.</w:t>
            </w:r>
            <w:r w:rsidRPr="001C79D8">
              <w:rPr>
                <w:sz w:val="28"/>
                <w:szCs w:val="28"/>
              </w:rPr>
              <w:t> Збір на обов'язкове державне пенсійне страхування платники збору, визначені у частині другій цієї статті, сплачують до Пенсійного фонду України в порядку, визначеному Кабінетом Міністрів України.</w:t>
            </w:r>
          </w:p>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8"/>
                <w:szCs w:val="28"/>
              </w:rPr>
            </w:pPr>
            <w:r w:rsidRPr="001C79D8">
              <w:rPr>
                <w:sz w:val="28"/>
                <w:szCs w:val="28"/>
              </w:rPr>
              <w:t>Платники, визначені </w:t>
            </w:r>
            <w:hyperlink r:id="rId28" w:anchor="n13" w:history="1">
              <w:r w:rsidRPr="001C79D8">
                <w:rPr>
                  <w:sz w:val="28"/>
                  <w:szCs w:val="28"/>
                </w:rPr>
                <w:t>пунктами 1</w:t>
              </w:r>
            </w:hyperlink>
            <w:r w:rsidRPr="001C79D8">
              <w:rPr>
                <w:sz w:val="28"/>
                <w:szCs w:val="28"/>
              </w:rPr>
              <w:t>, </w:t>
            </w:r>
            <w:hyperlink r:id="rId29" w:anchor="n14" w:history="1">
              <w:r w:rsidRPr="001C79D8">
                <w:rPr>
                  <w:sz w:val="28"/>
                  <w:szCs w:val="28"/>
                </w:rPr>
                <w:t>2</w:t>
              </w:r>
            </w:hyperlink>
            <w:r w:rsidRPr="001C79D8">
              <w:rPr>
                <w:sz w:val="28"/>
                <w:szCs w:val="28"/>
              </w:rPr>
              <w:t> та </w:t>
            </w:r>
            <w:hyperlink r:id="rId30" w:anchor="n15" w:history="1">
              <w:r w:rsidRPr="001C79D8">
                <w:rPr>
                  <w:sz w:val="28"/>
                  <w:szCs w:val="28"/>
                </w:rPr>
                <w:t>3</w:t>
              </w:r>
            </w:hyperlink>
            <w:r w:rsidRPr="001C79D8">
              <w:rPr>
                <w:sz w:val="28"/>
                <w:szCs w:val="28"/>
              </w:rPr>
              <w:t> статті 1 цього Закону, зобов'язані зареєструватися в органах Пенсійного фонду України. Комерційні банки при відкритті відповідних банківських рахунків зобов'язані вимагати інформацію від таких платників щодо зазначеної реєстрації.</w:t>
            </w:r>
          </w:p>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8"/>
                <w:szCs w:val="28"/>
              </w:rPr>
            </w:pPr>
            <w:r w:rsidRPr="001C79D8">
              <w:rPr>
                <w:sz w:val="28"/>
                <w:szCs w:val="28"/>
              </w:rPr>
              <w:t xml:space="preserve">Платники збору, визначені пунктами </w:t>
            </w:r>
            <w:hyperlink r:id="rId31" w:anchor="n28" w:history="1">
              <w:r w:rsidRPr="001C79D8">
                <w:rPr>
                  <w:sz w:val="28"/>
                  <w:szCs w:val="28"/>
                </w:rPr>
                <w:t>7</w:t>
              </w:r>
            </w:hyperlink>
            <w:r w:rsidRPr="001C79D8">
              <w:rPr>
                <w:sz w:val="28"/>
                <w:szCs w:val="28"/>
              </w:rPr>
              <w:t>, </w:t>
            </w:r>
            <w:hyperlink r:id="rId32" w:anchor="n31" w:history="1">
              <w:r w:rsidRPr="001C79D8">
                <w:rPr>
                  <w:sz w:val="28"/>
                  <w:szCs w:val="28"/>
                </w:rPr>
                <w:t>9</w:t>
              </w:r>
            </w:hyperlink>
            <w:r w:rsidRPr="001C79D8">
              <w:rPr>
                <w:sz w:val="28"/>
                <w:szCs w:val="28"/>
              </w:rPr>
              <w:t> і </w:t>
            </w:r>
            <w:hyperlink r:id="rId33" w:anchor="n36" w:history="1">
              <w:r w:rsidRPr="001C79D8">
                <w:rPr>
                  <w:sz w:val="28"/>
                  <w:szCs w:val="28"/>
                </w:rPr>
                <w:t>10</w:t>
              </w:r>
            </w:hyperlink>
            <w:r w:rsidRPr="001C79D8">
              <w:rPr>
                <w:sz w:val="28"/>
                <w:szCs w:val="28"/>
              </w:rPr>
              <w:t xml:space="preserve"> статті 1 цього Закону, збір на обов'язкове державне пенсійне страхування сплачують на бюджетні рахунки для зарахування надходжень до державного бюджету, відкриті в головних управліннях центрального органу виконавчої влади, що реалізує державну політику у сфері казначейського обслуговування бюджетних коштів. Ці кошти в установленому порядку зараховуються до загального фонду державного бюджету і </w:t>
            </w:r>
            <w:r w:rsidRPr="001C79D8">
              <w:rPr>
                <w:sz w:val="28"/>
                <w:szCs w:val="28"/>
              </w:rPr>
              <w:lastRenderedPageBreak/>
              <w:t>використовуються згідно із законом про Державний бюджет України</w:t>
            </w:r>
          </w:p>
        </w:tc>
      </w:tr>
      <w:tr w:rsidR="004015D8" w:rsidRPr="001C79D8" w:rsidTr="00265AC0">
        <w:tc>
          <w:tcPr>
            <w:tcW w:w="7280" w:type="dxa"/>
            <w:tcBorders>
              <w:top w:val="single" w:sz="4" w:space="0" w:color="000000"/>
              <w:left w:val="single" w:sz="4" w:space="0" w:color="000000"/>
              <w:bottom w:val="single" w:sz="4" w:space="0" w:color="000000"/>
              <w:right w:val="single" w:sz="4" w:space="0" w:color="000000"/>
            </w:tcBorders>
          </w:tcPr>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textAlignment w:val="baseline"/>
              <w:rPr>
                <w:sz w:val="28"/>
                <w:szCs w:val="28"/>
              </w:rPr>
            </w:pPr>
            <w:r w:rsidRPr="001C79D8">
              <w:rPr>
                <w:sz w:val="28"/>
                <w:szCs w:val="28"/>
              </w:rPr>
              <w:lastRenderedPageBreak/>
              <w:t>Стаття 4. На обов'язкове  державне пенсійне страхування встановлюються ставки збору в таких розмірах:</w:t>
            </w:r>
          </w:p>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textAlignment w:val="baseline"/>
              <w:rPr>
                <w:sz w:val="28"/>
                <w:szCs w:val="28"/>
              </w:rPr>
            </w:pPr>
            <w:r w:rsidRPr="001C79D8">
              <w:rPr>
                <w:sz w:val="28"/>
                <w:szCs w:val="28"/>
              </w:rPr>
              <w:t>…</w:t>
            </w:r>
          </w:p>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textAlignment w:val="baseline"/>
              <w:rPr>
                <w:b/>
                <w:sz w:val="28"/>
                <w:szCs w:val="28"/>
                <w:lang w:eastAsia="ru-RU"/>
              </w:rPr>
            </w:pPr>
            <w:r w:rsidRPr="001C79D8">
              <w:rPr>
                <w:b/>
                <w:sz w:val="28"/>
                <w:szCs w:val="28"/>
                <w:lang w:eastAsia="ru-RU"/>
              </w:rPr>
              <w:t>7) для платників збору, визначених пунктом 6 статті 1 цього Закону, - 10,0 відсотка від об'єкта оподаткування, визначеного пунктом 5 статті 2 цього Закону;</w:t>
            </w:r>
          </w:p>
        </w:tc>
        <w:tc>
          <w:tcPr>
            <w:tcW w:w="7280" w:type="dxa"/>
            <w:tcBorders>
              <w:top w:val="single" w:sz="4" w:space="0" w:color="000000"/>
              <w:left w:val="single" w:sz="4" w:space="0" w:color="000000"/>
              <w:bottom w:val="single" w:sz="4" w:space="0" w:color="000000"/>
              <w:right w:val="single" w:sz="4" w:space="0" w:color="000000"/>
            </w:tcBorders>
          </w:tcPr>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1C79D8">
              <w:rPr>
                <w:sz w:val="28"/>
                <w:szCs w:val="28"/>
              </w:rPr>
              <w:t>Стаття 4. На обов'язкове державне пенсійне страхування встановлюються ставки збору в таких розмірах:</w:t>
            </w:r>
          </w:p>
          <w:p w:rsidR="004015D8" w:rsidRPr="001C79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1C79D8">
              <w:rPr>
                <w:sz w:val="28"/>
                <w:szCs w:val="28"/>
              </w:rPr>
              <w:t>…</w:t>
            </w:r>
          </w:p>
          <w:p w:rsidR="004015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8"/>
                <w:szCs w:val="28"/>
                <w:lang w:eastAsia="ru-RU"/>
              </w:rPr>
            </w:pPr>
          </w:p>
          <w:p w:rsidR="004015D8" w:rsidRPr="004015D8" w:rsidRDefault="004015D8" w:rsidP="0040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8"/>
                <w:szCs w:val="28"/>
                <w:lang w:eastAsia="ru-RU"/>
              </w:rPr>
            </w:pPr>
            <w:r>
              <w:rPr>
                <w:b/>
                <w:bCs/>
                <w:sz w:val="28"/>
                <w:szCs w:val="28"/>
                <w:lang w:eastAsia="ru-RU"/>
              </w:rPr>
              <w:t>В</w:t>
            </w:r>
            <w:r w:rsidRPr="001C79D8">
              <w:rPr>
                <w:b/>
                <w:bCs/>
                <w:sz w:val="28"/>
                <w:szCs w:val="28"/>
                <w:lang w:eastAsia="ru-RU"/>
              </w:rPr>
              <w:t>иключит</w:t>
            </w:r>
            <w:r>
              <w:rPr>
                <w:b/>
                <w:bCs/>
                <w:sz w:val="28"/>
                <w:szCs w:val="28"/>
                <w:lang w:eastAsia="ru-RU"/>
              </w:rPr>
              <w:t>и</w:t>
            </w:r>
            <w:r w:rsidR="009D1FA9">
              <w:rPr>
                <w:b/>
                <w:bCs/>
                <w:sz w:val="28"/>
                <w:szCs w:val="28"/>
                <w:lang w:eastAsia="ru-RU"/>
              </w:rPr>
              <w:t>.</w:t>
            </w:r>
          </w:p>
        </w:tc>
      </w:tr>
    </w:tbl>
    <w:p w:rsidR="001C79D8" w:rsidRPr="001C79D8" w:rsidRDefault="001C79D8" w:rsidP="00B70F01">
      <w:pPr>
        <w:jc w:val="center"/>
        <w:rPr>
          <w:b/>
          <w:sz w:val="28"/>
          <w:szCs w:val="28"/>
        </w:rPr>
      </w:pPr>
    </w:p>
    <w:p w:rsidR="001C79D8" w:rsidRPr="001C79D8" w:rsidRDefault="001C79D8" w:rsidP="00B70F01">
      <w:pPr>
        <w:jc w:val="center"/>
        <w:rPr>
          <w:b/>
          <w:sz w:val="28"/>
          <w:szCs w:val="28"/>
        </w:rPr>
      </w:pPr>
    </w:p>
    <w:p w:rsidR="00B70F01" w:rsidRPr="001C79D8" w:rsidRDefault="00B70F01" w:rsidP="00B70F01">
      <w:pPr>
        <w:tabs>
          <w:tab w:val="left" w:pos="0"/>
        </w:tabs>
        <w:rPr>
          <w:color w:val="333333"/>
          <w:sz w:val="28"/>
          <w:szCs w:val="28"/>
          <w:shd w:val="clear" w:color="auto" w:fill="FFFFFF"/>
        </w:rPr>
      </w:pPr>
    </w:p>
    <w:p w:rsidR="004E2FAC" w:rsidRDefault="00B70F01" w:rsidP="00B70F01">
      <w:pPr>
        <w:tabs>
          <w:tab w:val="left" w:pos="0"/>
        </w:tabs>
        <w:rPr>
          <w:b/>
          <w:sz w:val="28"/>
          <w:szCs w:val="28"/>
          <w:lang w:eastAsia="ru-RU"/>
        </w:rPr>
      </w:pPr>
      <w:r w:rsidRPr="001C79D8">
        <w:rPr>
          <w:b/>
          <w:sz w:val="28"/>
          <w:szCs w:val="28"/>
          <w:lang w:eastAsia="ru-RU"/>
        </w:rPr>
        <w:t>Народн</w:t>
      </w:r>
      <w:r w:rsidR="004E2FAC">
        <w:rPr>
          <w:b/>
          <w:sz w:val="28"/>
          <w:szCs w:val="28"/>
          <w:lang w:eastAsia="ru-RU"/>
        </w:rPr>
        <w:t>ий</w:t>
      </w:r>
      <w:r w:rsidRPr="001C79D8">
        <w:rPr>
          <w:b/>
          <w:sz w:val="28"/>
          <w:szCs w:val="28"/>
          <w:lang w:eastAsia="ru-RU"/>
        </w:rPr>
        <w:t xml:space="preserve"> депутат України        </w:t>
      </w:r>
    </w:p>
    <w:p w:rsidR="004E2FAC" w:rsidRDefault="004E2FAC" w:rsidP="00B70F01">
      <w:pPr>
        <w:tabs>
          <w:tab w:val="left" w:pos="0"/>
        </w:tabs>
        <w:rPr>
          <w:b/>
          <w:sz w:val="28"/>
          <w:szCs w:val="28"/>
          <w:lang w:eastAsia="ru-RU"/>
        </w:rPr>
      </w:pPr>
      <w:r>
        <w:rPr>
          <w:b/>
          <w:sz w:val="28"/>
          <w:szCs w:val="28"/>
          <w:lang w:eastAsia="ru-RU"/>
        </w:rPr>
        <w:t xml:space="preserve">Сова О.Г. </w:t>
      </w:r>
    </w:p>
    <w:p w:rsidR="00B70F01" w:rsidRPr="001C79D8" w:rsidRDefault="004E2FAC" w:rsidP="00B70F01">
      <w:pPr>
        <w:tabs>
          <w:tab w:val="left" w:pos="0"/>
        </w:tabs>
        <w:rPr>
          <w:b/>
          <w:sz w:val="28"/>
          <w:szCs w:val="28"/>
          <w:lang w:eastAsia="ru-RU"/>
        </w:rPr>
      </w:pPr>
      <w:r>
        <w:rPr>
          <w:b/>
          <w:sz w:val="28"/>
          <w:szCs w:val="28"/>
          <w:lang w:eastAsia="ru-RU"/>
        </w:rPr>
        <w:t>та інші народні депутати України</w:t>
      </w:r>
      <w:r w:rsidR="00B70F01" w:rsidRPr="001C79D8">
        <w:rPr>
          <w:b/>
          <w:sz w:val="28"/>
          <w:szCs w:val="28"/>
          <w:lang w:eastAsia="ru-RU"/>
        </w:rPr>
        <w:t xml:space="preserve">                                                                                                                   </w:t>
      </w:r>
      <w:r w:rsidR="00B70F01" w:rsidRPr="001C79D8">
        <w:rPr>
          <w:b/>
          <w:sz w:val="28"/>
          <w:szCs w:val="28"/>
          <w:lang w:val="ru-RU" w:eastAsia="ru-RU"/>
        </w:rPr>
        <w:t xml:space="preserve">           </w:t>
      </w:r>
    </w:p>
    <w:p w:rsidR="00020AF7" w:rsidRDefault="00855EEE">
      <w:pPr>
        <w:rPr>
          <w:sz w:val="28"/>
          <w:szCs w:val="28"/>
        </w:rPr>
      </w:pPr>
    </w:p>
    <w:p w:rsidR="004015D8" w:rsidRDefault="004015D8">
      <w:pPr>
        <w:rPr>
          <w:sz w:val="28"/>
          <w:szCs w:val="28"/>
        </w:rPr>
      </w:pPr>
    </w:p>
    <w:p w:rsidR="004015D8" w:rsidRDefault="004015D8">
      <w:pPr>
        <w:rPr>
          <w:sz w:val="28"/>
          <w:szCs w:val="28"/>
        </w:rPr>
      </w:pPr>
    </w:p>
    <w:p w:rsidR="004015D8" w:rsidRPr="004015D8" w:rsidRDefault="004015D8">
      <w:pPr>
        <w:rPr>
          <w:sz w:val="28"/>
          <w:szCs w:val="28"/>
          <w:lang w:val="ru-RU"/>
        </w:rPr>
      </w:pPr>
    </w:p>
    <w:sectPr w:rsidR="004015D8" w:rsidRPr="004015D8" w:rsidSect="00BD7575">
      <w:headerReference w:type="default" r:id="rId34"/>
      <w:pgSz w:w="16838" w:h="11906" w:orient="landscape"/>
      <w:pgMar w:top="567" w:right="567" w:bottom="567" w:left="1134" w:header="425" w:footer="32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EEE" w:rsidRDefault="00855EEE">
      <w:r>
        <w:separator/>
      </w:r>
    </w:p>
  </w:endnote>
  <w:endnote w:type="continuationSeparator" w:id="0">
    <w:p w:rsidR="00855EEE" w:rsidRDefault="0085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EEE" w:rsidRDefault="00855EEE">
      <w:r>
        <w:separator/>
      </w:r>
    </w:p>
  </w:footnote>
  <w:footnote w:type="continuationSeparator" w:id="0">
    <w:p w:rsidR="00855EEE" w:rsidRDefault="0085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AB" w:rsidRDefault="003D5D45">
    <w:pPr>
      <w:pStyle w:val="a5"/>
      <w:jc w:val="center"/>
    </w:pPr>
    <w:r>
      <w:fldChar w:fldCharType="begin"/>
    </w:r>
    <w:r>
      <w:instrText xml:space="preserve"> PAGE   \* MERGEFORMAT </w:instrText>
    </w:r>
    <w:r>
      <w:fldChar w:fldCharType="separate"/>
    </w:r>
    <w:r w:rsidR="00200375">
      <w:rPr>
        <w:noProof/>
      </w:rPr>
      <w:t>2</w:t>
    </w:r>
    <w:r>
      <w:fldChar w:fldCharType="end"/>
    </w:r>
  </w:p>
  <w:p w:rsidR="00F22DAB" w:rsidRDefault="00855E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01"/>
    <w:rsid w:val="000E75FF"/>
    <w:rsid w:val="001410DB"/>
    <w:rsid w:val="00186FF5"/>
    <w:rsid w:val="001C79D8"/>
    <w:rsid w:val="001E769D"/>
    <w:rsid w:val="00200375"/>
    <w:rsid w:val="002E450F"/>
    <w:rsid w:val="00306ECD"/>
    <w:rsid w:val="003D5D45"/>
    <w:rsid w:val="004015D8"/>
    <w:rsid w:val="004E2FAC"/>
    <w:rsid w:val="005618C3"/>
    <w:rsid w:val="0061371C"/>
    <w:rsid w:val="006E098E"/>
    <w:rsid w:val="007852A4"/>
    <w:rsid w:val="00815292"/>
    <w:rsid w:val="00855EEE"/>
    <w:rsid w:val="009D1FA9"/>
    <w:rsid w:val="009E0109"/>
    <w:rsid w:val="00A231FE"/>
    <w:rsid w:val="00A93581"/>
    <w:rsid w:val="00B07931"/>
    <w:rsid w:val="00B70F01"/>
    <w:rsid w:val="00B74E2E"/>
    <w:rsid w:val="00C335F5"/>
    <w:rsid w:val="00D41BD8"/>
    <w:rsid w:val="00EA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7B3A6-7F16-4F4D-90D3-75E6CB7F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F01"/>
    <w:pPr>
      <w:jc w:val="both"/>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Çíàê"/>
    <w:link w:val="StyleZakonu0"/>
    <w:uiPriority w:val="99"/>
    <w:locked/>
    <w:rsid w:val="00B70F01"/>
    <w:rPr>
      <w:rFonts w:eastAsia="Times New Roman"/>
      <w:lang w:val="x-none" w:eastAsia="ru-RU"/>
    </w:rPr>
  </w:style>
  <w:style w:type="character" w:customStyle="1" w:styleId="a3">
    <w:name w:val="Звичайний (веб) Знак"/>
    <w:aliases w:val="Çíàê Знак,Îáû÷íûé (âåá) Çíàê Знак,Çíàê1 Çíàê Знак,Çíàê1 Знак,Îáû÷íûé (âåá) Çíàê2 Знак,Îáû÷íûé (âåá) Çíàê1 Çíàê Знак,Çíàê Çíàê1 Çíàê Знак,Îáû÷íûé (âåá) Çíàê Çíàê Çíàê Знак,Çíàê1 Çíàê Çíàê Çíàê Знак,Çíàê1 Çíàê1 Çíàê Знак"/>
    <w:link w:val="a4"/>
    <w:uiPriority w:val="99"/>
    <w:locked/>
    <w:rsid w:val="00B70F01"/>
    <w:rPr>
      <w:rFonts w:eastAsia="Times New Roman"/>
    </w:rPr>
  </w:style>
  <w:style w:type="paragraph" w:customStyle="1" w:styleId="StyleZakonu0">
    <w:name w:val="StyleZakonu"/>
    <w:basedOn w:val="a"/>
    <w:link w:val="StyleZakonu"/>
    <w:uiPriority w:val="99"/>
    <w:rsid w:val="00B70F01"/>
    <w:pPr>
      <w:spacing w:after="60" w:line="220" w:lineRule="exact"/>
      <w:ind w:firstLine="284"/>
    </w:pPr>
    <w:rPr>
      <w:rFonts w:asciiTheme="minorHAnsi" w:hAnsiTheme="minorHAnsi" w:cstheme="minorBidi"/>
      <w:sz w:val="24"/>
      <w:szCs w:val="24"/>
      <w:lang w:val="x-none" w:eastAsia="ru-RU"/>
    </w:rPr>
  </w:style>
  <w:style w:type="paragraph" w:styleId="a4">
    <w:name w:val="Normal (Web)"/>
    <w:aliases w:val="Çíàê,Îáû÷íûé (âåá) Çíàê,Çíàê1 Çíàê,Çíàê1,Îáû÷íûé (âåá) Çíàê2,Îáû÷íûé (âåá) Çíàê1 Çíàê,Çíàê Çíàê1 Çíàê,Îáû÷íûé (âåá) Çíàê Çíàê Çíàê,Çíàê1 Çíàê Çíàê Çíàê,Çíàê1 Çíàê1 Çíàê,Îáû÷íûé (âåá) Çíàê Çíàê1,Çíàê1 Çíàê2,Çíàê1 Çíàê Çíàê1"/>
    <w:basedOn w:val="a"/>
    <w:link w:val="a3"/>
    <w:uiPriority w:val="99"/>
    <w:rsid w:val="00B70F01"/>
    <w:pPr>
      <w:spacing w:before="100" w:beforeAutospacing="1" w:after="100" w:afterAutospacing="1"/>
      <w:jc w:val="left"/>
    </w:pPr>
    <w:rPr>
      <w:rFonts w:asciiTheme="minorHAnsi" w:hAnsiTheme="minorHAnsi" w:cstheme="minorBidi"/>
      <w:sz w:val="24"/>
      <w:szCs w:val="24"/>
      <w:lang w:val="ru-RU" w:eastAsia="en-US"/>
    </w:rPr>
  </w:style>
  <w:style w:type="paragraph" w:styleId="a5">
    <w:name w:val="header"/>
    <w:basedOn w:val="a"/>
    <w:link w:val="a6"/>
    <w:uiPriority w:val="99"/>
    <w:rsid w:val="00B70F01"/>
    <w:pPr>
      <w:tabs>
        <w:tab w:val="center" w:pos="4819"/>
        <w:tab w:val="right" w:pos="9639"/>
      </w:tabs>
    </w:pPr>
    <w:rPr>
      <w:sz w:val="22"/>
      <w:lang w:eastAsia="en-US"/>
    </w:rPr>
  </w:style>
  <w:style w:type="character" w:customStyle="1" w:styleId="a6">
    <w:name w:val="Верхній колонтитул Знак"/>
    <w:basedOn w:val="a0"/>
    <w:link w:val="a5"/>
    <w:uiPriority w:val="99"/>
    <w:rsid w:val="00B70F01"/>
    <w:rPr>
      <w:rFonts w:ascii="Times New Roman" w:eastAsia="Times New Roman" w:hAnsi="Times New Roman" w:cs="Times New Roman"/>
      <w:sz w:val="22"/>
      <w:szCs w:val="20"/>
      <w:lang w:val="uk-UA"/>
    </w:rPr>
  </w:style>
  <w:style w:type="character" w:styleId="a7">
    <w:name w:val="Hyperlink"/>
    <w:basedOn w:val="a0"/>
    <w:uiPriority w:val="99"/>
    <w:rsid w:val="00B70F01"/>
    <w:rPr>
      <w:rFonts w:cs="Times New Roman"/>
      <w:color w:val="0000FF"/>
      <w:u w:val="single"/>
    </w:rPr>
  </w:style>
  <w:style w:type="character" w:customStyle="1" w:styleId="rvts9">
    <w:name w:val="rvts9"/>
    <w:rsid w:val="00B70F01"/>
  </w:style>
  <w:style w:type="paragraph" w:customStyle="1" w:styleId="rvps2">
    <w:name w:val="rvps2"/>
    <w:basedOn w:val="a"/>
    <w:rsid w:val="00B70F01"/>
    <w:pPr>
      <w:spacing w:before="100" w:beforeAutospacing="1" w:after="100" w:afterAutospacing="1"/>
      <w:jc w:val="left"/>
    </w:pPr>
    <w:rPr>
      <w:sz w:val="24"/>
      <w:szCs w:val="24"/>
    </w:rPr>
  </w:style>
  <w:style w:type="table" w:customStyle="1" w:styleId="2">
    <w:name w:val="2"/>
    <w:basedOn w:val="a1"/>
    <w:rsid w:val="001C79D8"/>
    <w:rPr>
      <w:rFonts w:ascii="Calibri" w:eastAsia="Calibri" w:hAnsi="Calibri" w:cs="Calibri"/>
      <w:sz w:val="22"/>
      <w:szCs w:val="22"/>
      <w:lang w:val="uk-UA" w:eastAsia="ru-RU"/>
    </w:rPr>
    <w:tblPr>
      <w:tblStyleRowBandSize w:val="1"/>
      <w:tblStyleColBandSize w:val="1"/>
      <w:tblInd w:w="0" w:type="nil"/>
    </w:tblPr>
  </w:style>
  <w:style w:type="character" w:styleId="a8">
    <w:name w:val="FollowedHyperlink"/>
    <w:basedOn w:val="a0"/>
    <w:uiPriority w:val="99"/>
    <w:semiHidden/>
    <w:unhideWhenUsed/>
    <w:rsid w:val="00EA683A"/>
    <w:rPr>
      <w:color w:val="954F72" w:themeColor="followedHyperlink"/>
      <w:u w:val="single"/>
    </w:rPr>
  </w:style>
  <w:style w:type="character" w:customStyle="1" w:styleId="apple-converted-space">
    <w:name w:val="apple-converted-space"/>
    <w:basedOn w:val="a0"/>
    <w:rsid w:val="00EA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803">
      <w:bodyDiv w:val="1"/>
      <w:marLeft w:val="0"/>
      <w:marRight w:val="0"/>
      <w:marTop w:val="0"/>
      <w:marBottom w:val="0"/>
      <w:divBdr>
        <w:top w:val="none" w:sz="0" w:space="0" w:color="auto"/>
        <w:left w:val="none" w:sz="0" w:space="0" w:color="auto"/>
        <w:bottom w:val="none" w:sz="0" w:space="0" w:color="auto"/>
        <w:right w:val="none" w:sz="0" w:space="0" w:color="auto"/>
      </w:divBdr>
    </w:div>
    <w:div w:id="257297113">
      <w:bodyDiv w:val="1"/>
      <w:marLeft w:val="0"/>
      <w:marRight w:val="0"/>
      <w:marTop w:val="0"/>
      <w:marBottom w:val="0"/>
      <w:divBdr>
        <w:top w:val="none" w:sz="0" w:space="0" w:color="auto"/>
        <w:left w:val="none" w:sz="0" w:space="0" w:color="auto"/>
        <w:bottom w:val="none" w:sz="0" w:space="0" w:color="auto"/>
        <w:right w:val="none" w:sz="0" w:space="0" w:color="auto"/>
      </w:divBdr>
    </w:div>
    <w:div w:id="383524273">
      <w:bodyDiv w:val="1"/>
      <w:marLeft w:val="0"/>
      <w:marRight w:val="0"/>
      <w:marTop w:val="0"/>
      <w:marBottom w:val="0"/>
      <w:divBdr>
        <w:top w:val="none" w:sz="0" w:space="0" w:color="auto"/>
        <w:left w:val="none" w:sz="0" w:space="0" w:color="auto"/>
        <w:bottom w:val="none" w:sz="0" w:space="0" w:color="auto"/>
        <w:right w:val="none" w:sz="0" w:space="0" w:color="auto"/>
      </w:divBdr>
    </w:div>
    <w:div w:id="570387007">
      <w:bodyDiv w:val="1"/>
      <w:marLeft w:val="0"/>
      <w:marRight w:val="0"/>
      <w:marTop w:val="0"/>
      <w:marBottom w:val="0"/>
      <w:divBdr>
        <w:top w:val="none" w:sz="0" w:space="0" w:color="auto"/>
        <w:left w:val="none" w:sz="0" w:space="0" w:color="auto"/>
        <w:bottom w:val="none" w:sz="0" w:space="0" w:color="auto"/>
        <w:right w:val="none" w:sz="0" w:space="0" w:color="auto"/>
      </w:divBdr>
    </w:div>
    <w:div w:id="893202504">
      <w:bodyDiv w:val="1"/>
      <w:marLeft w:val="0"/>
      <w:marRight w:val="0"/>
      <w:marTop w:val="0"/>
      <w:marBottom w:val="0"/>
      <w:divBdr>
        <w:top w:val="none" w:sz="0" w:space="0" w:color="auto"/>
        <w:left w:val="none" w:sz="0" w:space="0" w:color="auto"/>
        <w:bottom w:val="none" w:sz="0" w:space="0" w:color="auto"/>
        <w:right w:val="none" w:sz="0" w:space="0" w:color="auto"/>
      </w:divBdr>
    </w:div>
    <w:div w:id="963383710">
      <w:bodyDiv w:val="1"/>
      <w:marLeft w:val="0"/>
      <w:marRight w:val="0"/>
      <w:marTop w:val="0"/>
      <w:marBottom w:val="0"/>
      <w:divBdr>
        <w:top w:val="none" w:sz="0" w:space="0" w:color="auto"/>
        <w:left w:val="none" w:sz="0" w:space="0" w:color="auto"/>
        <w:bottom w:val="none" w:sz="0" w:space="0" w:color="auto"/>
        <w:right w:val="none" w:sz="0" w:space="0" w:color="auto"/>
      </w:divBdr>
    </w:div>
    <w:div w:id="1489634489">
      <w:bodyDiv w:val="1"/>
      <w:marLeft w:val="0"/>
      <w:marRight w:val="0"/>
      <w:marTop w:val="0"/>
      <w:marBottom w:val="0"/>
      <w:divBdr>
        <w:top w:val="none" w:sz="0" w:space="0" w:color="auto"/>
        <w:left w:val="none" w:sz="0" w:space="0" w:color="auto"/>
        <w:bottom w:val="none" w:sz="0" w:space="0" w:color="auto"/>
        <w:right w:val="none" w:sz="0" w:space="0" w:color="auto"/>
      </w:divBdr>
    </w:div>
    <w:div w:id="1512061493">
      <w:bodyDiv w:val="1"/>
      <w:marLeft w:val="0"/>
      <w:marRight w:val="0"/>
      <w:marTop w:val="0"/>
      <w:marBottom w:val="0"/>
      <w:divBdr>
        <w:top w:val="none" w:sz="0" w:space="0" w:color="auto"/>
        <w:left w:val="none" w:sz="0" w:space="0" w:color="auto"/>
        <w:bottom w:val="none" w:sz="0" w:space="0" w:color="auto"/>
        <w:right w:val="none" w:sz="0" w:space="0" w:color="auto"/>
      </w:divBdr>
    </w:div>
    <w:div w:id="1679622937">
      <w:bodyDiv w:val="1"/>
      <w:marLeft w:val="0"/>
      <w:marRight w:val="0"/>
      <w:marTop w:val="0"/>
      <w:marBottom w:val="0"/>
      <w:divBdr>
        <w:top w:val="none" w:sz="0" w:space="0" w:color="auto"/>
        <w:left w:val="none" w:sz="0" w:space="0" w:color="auto"/>
        <w:bottom w:val="none" w:sz="0" w:space="0" w:color="auto"/>
        <w:right w:val="none" w:sz="0" w:space="0" w:color="auto"/>
      </w:divBdr>
    </w:div>
    <w:div w:id="1747730335">
      <w:bodyDiv w:val="1"/>
      <w:marLeft w:val="0"/>
      <w:marRight w:val="0"/>
      <w:marTop w:val="0"/>
      <w:marBottom w:val="0"/>
      <w:divBdr>
        <w:top w:val="none" w:sz="0" w:space="0" w:color="auto"/>
        <w:left w:val="none" w:sz="0" w:space="0" w:color="auto"/>
        <w:bottom w:val="none" w:sz="0" w:space="0" w:color="auto"/>
        <w:right w:val="none" w:sz="0" w:space="0" w:color="auto"/>
      </w:divBdr>
    </w:div>
    <w:div w:id="21175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find=1&amp;text=%D0%B4%D0%BE%D1%80%D0%BE%D0%B3%D0%BE%D1%86%D1%96" TargetMode="External"/><Relationship Id="rId18" Type="http://schemas.openxmlformats.org/officeDocument/2006/relationships/hyperlink" Target="https://zakon.rada.gov.ua/laws/show/2755-17?find=1&amp;text=%D0%B4%D0%BE%D1%80%D0%BE%D0%B3%D0%BE%D1%86%D1%96" TargetMode="External"/><Relationship Id="rId26" Type="http://schemas.openxmlformats.org/officeDocument/2006/relationships/hyperlink" Target="https://zakon.rada.gov.ua/laws/show/400/97-%D0%B2%D1%80/print" TargetMode="External"/><Relationship Id="rId3" Type="http://schemas.openxmlformats.org/officeDocument/2006/relationships/customXml" Target="../customXml/item3.xml"/><Relationship Id="rId21" Type="http://schemas.openxmlformats.org/officeDocument/2006/relationships/hyperlink" Target="https://zakon.rada.gov.ua/laws/show/400/97-%D0%B2%D1%80/prin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zakon.rada.gov.ua/laws/show/2755-17?find=1&amp;text=%D0%B4%D0%BE%D1%80%D0%BE%D0%B3%D0%BE%D1%86%D1%96" TargetMode="External"/><Relationship Id="rId17" Type="http://schemas.openxmlformats.org/officeDocument/2006/relationships/hyperlink" Target="https://zakon.rada.gov.ua/laws/show/2755-17?find=1&amp;text=%D0%B4%D0%BE%D1%80%D0%BE%D0%B3%D0%BE%D1%86%D1%96" TargetMode="External"/><Relationship Id="rId25" Type="http://schemas.openxmlformats.org/officeDocument/2006/relationships/hyperlink" Target="https://zakon.rada.gov.ua/laws/show/400/97-%D0%B2%D1%80/print" TargetMode="External"/><Relationship Id="rId33" Type="http://schemas.openxmlformats.org/officeDocument/2006/relationships/hyperlink" Target="https://zakon.rada.gov.ua/laws/show/400/97-%D0%B2%D1%80/print" TargetMode="External"/><Relationship Id="rId2" Type="http://schemas.openxmlformats.org/officeDocument/2006/relationships/customXml" Target="../customXml/item2.xml"/><Relationship Id="rId16" Type="http://schemas.openxmlformats.org/officeDocument/2006/relationships/hyperlink" Target="https://zakon.rada.gov.ua/laws/show/2755-17?find=1&amp;text=%D0%B4%D0%BE%D1%80%D0%BE%D0%B3%D0%BE%D1%86%D1%96" TargetMode="External"/><Relationship Id="rId20" Type="http://schemas.openxmlformats.org/officeDocument/2006/relationships/hyperlink" Target="https://zakon.rada.gov.ua/laws/show/400/97-%D0%B2%D1%80/print" TargetMode="External"/><Relationship Id="rId29" Type="http://schemas.openxmlformats.org/officeDocument/2006/relationships/hyperlink" Target="https://zakon.rada.gov.ua/laws/show/400/97-%D0%B2%D1%80/pr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755-17?find=1&amp;text=%D0%B4%D0%BE%D1%80%D0%BE%D0%B3%D0%BE%D1%86%D1%96" TargetMode="External"/><Relationship Id="rId24" Type="http://schemas.openxmlformats.org/officeDocument/2006/relationships/hyperlink" Target="https://zakon.rada.gov.ua/laws/show/400/97-%D0%B2%D1%80/print" TargetMode="External"/><Relationship Id="rId32" Type="http://schemas.openxmlformats.org/officeDocument/2006/relationships/hyperlink" Target="https://zakon.rada.gov.ua/laws/show/400/97-%D0%B2%D1%80/print" TargetMode="External"/><Relationship Id="rId5" Type="http://schemas.openxmlformats.org/officeDocument/2006/relationships/numbering" Target="numbering.xml"/><Relationship Id="rId15" Type="http://schemas.openxmlformats.org/officeDocument/2006/relationships/hyperlink" Target="https://zakon.rada.gov.ua/laws/show/2755-17?find=1&amp;text=%D0%B4%D0%BE%D1%80%D0%BE%D0%B3%D0%BE%D1%86%D1%96" TargetMode="External"/><Relationship Id="rId23" Type="http://schemas.openxmlformats.org/officeDocument/2006/relationships/hyperlink" Target="https://zakon.rada.gov.ua/laws/show/400/97-%D0%B2%D1%80/print" TargetMode="External"/><Relationship Id="rId28" Type="http://schemas.openxmlformats.org/officeDocument/2006/relationships/hyperlink" Target="https://zakon.rada.gov.ua/laws/show/400/97-%D0%B2%D1%80/prin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zakon.rada.gov.ua/laws/show/2755-17?find=1&amp;text=%D0%B4%D0%BE%D1%80%D0%BE%D0%B3%D0%BE%D1%86%D1%96" TargetMode="External"/><Relationship Id="rId31" Type="http://schemas.openxmlformats.org/officeDocument/2006/relationships/hyperlink" Target="https://zakon.rada.gov.ua/laws/show/400/97-%D0%B2%D1%80/pr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2755-17?find=1&amp;text=%D0%B4%D0%BE%D1%80%D0%BE%D0%B3%D0%BE%D1%86%D1%96" TargetMode="External"/><Relationship Id="rId22" Type="http://schemas.openxmlformats.org/officeDocument/2006/relationships/hyperlink" Target="https://zakon.rada.gov.ua/laws/show/400/97-%D0%B2%D1%80/print" TargetMode="External"/><Relationship Id="rId27" Type="http://schemas.openxmlformats.org/officeDocument/2006/relationships/hyperlink" Target="https://zakon.rada.gov.ua/laws/show/400/97-%D0%B2%D1%80/print" TargetMode="External"/><Relationship Id="rId30" Type="http://schemas.openxmlformats.org/officeDocument/2006/relationships/hyperlink" Target="https://zakon.rada.gov.ua/laws/show/400/97-%D0%B2%D1%80/print"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EB21-D552-4EBC-BDDF-9FCF3D09B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0C6D4-13D1-4A84-8A48-4A11499E18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65E94-26FD-4101-8136-BEEE97AAA787}">
  <ds:schemaRefs>
    <ds:schemaRef ds:uri="http://schemas.microsoft.com/sharepoint/v3/contenttype/forms"/>
  </ds:schemaRefs>
</ds:datastoreItem>
</file>

<file path=customXml/itemProps4.xml><?xml version="1.0" encoding="utf-8"?>
<ds:datastoreItem xmlns:ds="http://schemas.openxmlformats.org/officeDocument/2006/customXml" ds:itemID="{11DF5AA1-4E90-4592-9A5B-CCB21FB2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8380</Words>
  <Characters>4777</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2020-09-15T08:29:00Z</dcterms:created>
  <dcterms:modified xsi:type="dcterms:W3CDTF">2020-09-15T08:29:00Z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