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76" w:rsidRDefault="00AE0A76" w:rsidP="009F197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:rsidR="00692BF3" w:rsidRPr="00692BF3" w:rsidRDefault="00692BF3" w:rsidP="009F197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692BF3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ВИСНОВОК</w:t>
      </w:r>
    </w:p>
    <w:p w:rsidR="00692BF3" w:rsidRPr="00692BF3" w:rsidRDefault="00692BF3" w:rsidP="009F197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692BF3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на проект Закону України </w:t>
      </w:r>
      <w:r w:rsidRPr="00692BF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Виборчого кодексу України та деяких законодавчих актів України щодо особливостей організації підготовки та проведення виборів у період дії карантину, установленого з метою запобігання поширенню на території України особливо небезпечних і небезпечних інфекційних захворювань, та вдосконалення окремих положень виборчого законодавства»</w:t>
      </w:r>
    </w:p>
    <w:p w:rsidR="00692BF3" w:rsidRPr="00692BF3" w:rsidRDefault="00692BF3" w:rsidP="00692B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BF3" w:rsidRPr="00692BF3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BF3">
        <w:rPr>
          <w:rFonts w:ascii="Times New Roman" w:hAnsi="Times New Roman" w:cs="Times New Roman"/>
          <w:sz w:val="28"/>
          <w:szCs w:val="28"/>
          <w:lang w:val="uk-UA"/>
        </w:rPr>
        <w:t>У Головному управлінні розглянуто поданий законопроект, який передбачає внесення  змін до Виборчого Кодексу України</w:t>
      </w:r>
      <w:r w:rsidR="00D358D2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>ВКУ), що стосуються різни</w:t>
      </w:r>
      <w:r w:rsidR="00576AF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аспектів організації виборчого процесу та реалізації виборчих процедур, пов’язаних із підготовкою та проведенням виборів у період дії карантину, запровадженого Кабінетом Міністрів України з метою запобігання поширенню на території України особливо небезпечних і небезпечних інфекційних </w:t>
      </w:r>
      <w:proofErr w:type="spellStart"/>
      <w:r w:rsidRPr="00692BF3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692BF3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9F19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гострої респіраторної хвороби </w:t>
      </w:r>
      <w:r w:rsidRPr="00692BF3">
        <w:rPr>
          <w:rFonts w:ascii="Times New Roman" w:hAnsi="Times New Roman" w:cs="Times New Roman"/>
          <w:sz w:val="28"/>
          <w:szCs w:val="28"/>
        </w:rPr>
        <w:t>COVID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692BF3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BF3">
        <w:rPr>
          <w:rFonts w:ascii="Times New Roman" w:hAnsi="Times New Roman" w:cs="Times New Roman"/>
          <w:sz w:val="28"/>
          <w:szCs w:val="28"/>
        </w:rPr>
        <w:t>SARS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92BF3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-2 (далі - </w:t>
      </w:r>
      <w:r w:rsidRPr="00692BF3">
        <w:rPr>
          <w:rFonts w:ascii="Times New Roman" w:hAnsi="Times New Roman" w:cs="Times New Roman"/>
          <w:sz w:val="28"/>
          <w:szCs w:val="28"/>
        </w:rPr>
        <w:t>COVID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>-19). Крім того, пропонується виключити окремі приписи</w:t>
      </w:r>
      <w:r w:rsidR="00EF0CB1" w:rsidRPr="00EF0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CB1" w:rsidRPr="00EF0CB1">
        <w:rPr>
          <w:rFonts w:ascii="Times New Roman" w:hAnsi="Times New Roman"/>
          <w:sz w:val="28"/>
          <w:szCs w:val="28"/>
          <w:lang w:val="uk-UA"/>
        </w:rPr>
        <w:t>розділу ІІ «Прикінцеві та перехідні положення»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вдосконалення виборчого законодавства» від 16 липня 2020 року № 805-ІХ.</w:t>
      </w:r>
    </w:p>
    <w:p w:rsidR="002C24F0" w:rsidRPr="009F197E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аналізу поданого законопроекту </w:t>
      </w:r>
      <w:r w:rsidR="004711DD">
        <w:rPr>
          <w:rFonts w:ascii="Times New Roman" w:hAnsi="Times New Roman" w:cs="Times New Roman"/>
          <w:sz w:val="28"/>
          <w:szCs w:val="28"/>
          <w:lang w:val="uk-UA"/>
        </w:rPr>
        <w:t xml:space="preserve">в стислий термін 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>Головне управління вважає за необхідне висловити щодо його змісту наступні міркування.</w:t>
      </w:r>
      <w:r w:rsidR="002C24F0" w:rsidRPr="002C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F0" w:rsidRPr="004711DD" w:rsidRDefault="002C24F0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DD">
        <w:rPr>
          <w:rFonts w:ascii="Times New Roman" w:hAnsi="Times New Roman" w:cs="Times New Roman"/>
          <w:b/>
          <w:sz w:val="28"/>
          <w:szCs w:val="28"/>
        </w:rPr>
        <w:t>1</w:t>
      </w:r>
      <w:r w:rsidRPr="004711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Головне управління звертає увагу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на те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, що внесення змін 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виборч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виборчого процесу є небажаною практикою. Виборчий процес місцевих виб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t>орів розпочався 5 вересня 2020 року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, а зміна правил організації виборчих процедур</w:t>
      </w:r>
      <w:r w:rsidR="00935519" w:rsidRPr="00471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що вже тривають</w:t>
      </w:r>
      <w:r w:rsidR="00576AF4" w:rsidRPr="00471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proofErr w:type="spellStart"/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дезорганізацію у виборчий процес. Виникають також побоювання, що нові правила наберуть чинн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вже після завершення строків реалізації певних виборчих процедур. Наприклад</w:t>
      </w:r>
      <w:r w:rsidR="00935519" w:rsidRPr="00471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це стосується нових приписів ВКУ щодо: зміни компетенції районних в місті виборчих комісій, зокрема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формування ними дільничних виборчих комісій 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ДВК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(оновлена ч. 1 </w:t>
      </w:r>
      <w:r w:rsidR="004711D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ст. 202 ВКУ);  подання кандидатур до складу ДВК (оновлена 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ч. 4 ст. 204 ВКУ); порядку утворення виборчого фонду (оновлена ч. 1 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ст. 213); умов реєстрації кандидаті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в (зміни до ч. 1 ст. 222 ВКУ); 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умов реєстрації кандидатів на посаду сільського, селищного, міського голови  (зміни до ч. 1 ст. 224 ВКУ)</w:t>
      </w:r>
      <w:r w:rsidRPr="004711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4B1" w:rsidRDefault="002C24F0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9F197E" w:rsidRPr="00471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>Обґрунтованими виглядають  зміни до ст. 57 ВКУ щодо визначення вартості матеріалів передвиборної агітації у відсотках від прожитко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вого мінімуму працездатних осіб</w:t>
      </w:r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замість неоподатковуваного мінімуму доходів громадян.</w:t>
      </w:r>
    </w:p>
    <w:p w:rsidR="00692BF3" w:rsidRPr="00692BF3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92BF3">
        <w:rPr>
          <w:rFonts w:ascii="Times New Roman" w:hAnsi="Times New Roman" w:cs="Times New Roman"/>
          <w:sz w:val="28"/>
          <w:szCs w:val="28"/>
          <w:lang w:val="uk-UA"/>
        </w:rPr>
        <w:t>Вважаємо,</w:t>
      </w:r>
      <w:r w:rsidR="00E776D4">
        <w:rPr>
          <w:rFonts w:ascii="Times New Roman" w:hAnsi="Times New Roman" w:cs="Times New Roman"/>
          <w:sz w:val="28"/>
          <w:szCs w:val="28"/>
          <w:lang w:val="uk-UA"/>
        </w:rPr>
        <w:t xml:space="preserve"> що можуть бути підтримані зміни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>, які вдосконалюють положення ВКУ щодо: спрощення процедури подання клопотання громадської організації про надання дозволу мати офіційних спостерігачів на виборах (зміни до ст. 60 ВКУ); наділення Національного агентства з питань запобігання корупції, замість Центральної виборчої комісії (як передбачено чинною ст. 214 ВКУ)</w:t>
      </w:r>
      <w:r w:rsidR="009F19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повноваженнями визначати форму та порядок подання фінансової звітності розпорядниками коштів накопичувального рахунку виборчого фонду організації партії (оновлена ст. 214 ВКУ). Не викликає заперечень і низка новел проекту, спрямованих на уточнення окремих приписів ВКУ, наприклад, зміни до ч.</w:t>
      </w:r>
      <w:r w:rsidR="0093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>ч. 2, 3, 4 ст. 253,  ст. 255 тощо.</w:t>
      </w:r>
    </w:p>
    <w:p w:rsidR="002C24F0" w:rsidRPr="004711DD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оновленої редакції ч. 1 ст. 61 ВКУ встановлено, що «органи Національної поліції України, а в разі необхідності – залучені військовослужбовці Національної гвардії України зобов’язані з дня прийняття виборчими комісіями виборчих бюлетенів та до моменту їх транспортування з приміщень виборчих комісій в установленому цим Кодексом порядку забезпечити цілодобову охорону приміщень виборчих комісій, а також у разі необхідності, за зверненням Центральної виборчої комісії, – органів ведення Державного реєстру виборців»</w:t>
      </w:r>
      <w:r w:rsidR="009F197E">
        <w:rPr>
          <w:rFonts w:ascii="Times New Roman" w:hAnsi="Times New Roman" w:cs="Times New Roman"/>
          <w:bCs/>
          <w:sz w:val="28"/>
          <w:szCs w:val="28"/>
          <w:lang w:val="uk-UA"/>
        </w:rPr>
        <w:t>, т</w:t>
      </w:r>
      <w:r w:rsidR="00D358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оді як 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чинній </w:t>
      </w:r>
      <w:r w:rsidR="00D358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61 ВКУ 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>вміщено загальну вимогу для всіх видів виборів про цілодобову охорону приміщень всіх виб</w:t>
      </w:r>
      <w:r w:rsidR="00D358D2">
        <w:rPr>
          <w:rFonts w:ascii="Times New Roman" w:hAnsi="Times New Roman" w:cs="Times New Roman"/>
          <w:bCs/>
          <w:sz w:val="28"/>
          <w:szCs w:val="28"/>
          <w:lang w:val="uk-UA"/>
        </w:rPr>
        <w:t>орчих комісій не пізніше як за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вісім днів до виборів. Головне </w:t>
      </w:r>
      <w:r w:rsidR="009F197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>правління вважає запропонований підхід слушним, адже строки надходження та перебування виборчих бюлетенів у приміщеннях виборчих комісій різних рівнів та на різних видах виборів - відмінні, тому встановлення загального правила</w:t>
      </w:r>
      <w:r w:rsidR="00576A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охорони приміщень виборчих комісій</w:t>
      </w:r>
      <w:r w:rsidR="009F197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76A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 перебувають бюлетені</w:t>
      </w:r>
      <w:r w:rsidR="009F197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</w:t>
      </w:r>
      <w:r w:rsidRPr="004711DD">
        <w:rPr>
          <w:rFonts w:ascii="Times New Roman" w:hAnsi="Times New Roman" w:cs="Times New Roman"/>
          <w:bCs/>
          <w:sz w:val="28"/>
          <w:szCs w:val="28"/>
          <w:lang w:val="uk-UA"/>
        </w:rPr>
        <w:t>більш раціональним, ніж визначення загального для всіх випадків строку охорони приміщень виборчих комісій.</w:t>
      </w:r>
      <w:r w:rsidR="002C24F0"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F6D94" w:rsidRPr="00692BF3" w:rsidRDefault="002C24F0" w:rsidP="00AE7839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1DD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У нов</w:t>
      </w:r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ій редакції ч. 7 ст. 248 ВКУ запроваджуються спеціальні правила визначення 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t>ДВК</w:t>
      </w:r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волевиявлення виборця у випадках, коли виборцем було заповнено бюлетень з</w:t>
      </w:r>
      <w:r w:rsidR="00934DCB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</w:t>
      </w:r>
      <w:r w:rsidR="00934DCB">
        <w:rPr>
          <w:rFonts w:ascii="Times New Roman" w:hAnsi="Times New Roman" w:cs="Times New Roman"/>
          <w:sz w:val="28"/>
          <w:szCs w:val="28"/>
          <w:lang w:val="uk-UA"/>
        </w:rPr>
        <w:t xml:space="preserve"> вимог, визначених </w:t>
      </w:r>
      <w:r w:rsidR="009F19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35F7"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35F7" w:rsidRPr="00692BF3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="005635F7"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. 1 ч. 7 ст. 248 ВКУ. </w:t>
      </w:r>
    </w:p>
    <w:p w:rsidR="00692BF3" w:rsidRPr="00692BF3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у новому </w:t>
      </w:r>
      <w:proofErr w:type="spellStart"/>
      <w:r w:rsidRPr="00692BF3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. 3 ч. 7 ст. 248 ВКУ передбачено: «якщо виборець зробив запис (позначку) із зазначенням номера кандидата в депутати, якого підтримує, у квадраті з нанесеним трафаретом для зазначення 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номера кандидата, </w:t>
      </w:r>
      <w:r w:rsidRPr="00692BF3">
        <w:rPr>
          <w:rFonts w:ascii="Times New Roman" w:hAnsi="Times New Roman" w:cs="Times New Roman"/>
          <w:i/>
          <w:sz w:val="28"/>
          <w:szCs w:val="28"/>
          <w:lang w:val="uk-UA"/>
        </w:rPr>
        <w:t>але не зробив позначку "плюс" (+) або іншу в порожньому квадраті для волевиявлення щодо організації партії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>, вважається, що такий виборець проголосував і за відповідну організацію партії</w:t>
      </w:r>
      <w:r w:rsidR="009F19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.  Наведений припис суперечить оновленій редакції </w:t>
      </w:r>
      <w:proofErr w:type="spellStart"/>
      <w:r w:rsidRPr="00692BF3">
        <w:rPr>
          <w:rFonts w:ascii="Times New Roman" w:hAnsi="Times New Roman" w:cs="Times New Roman"/>
          <w:sz w:val="28"/>
          <w:szCs w:val="28"/>
          <w:lang w:val="uk-UA"/>
        </w:rPr>
        <w:t>підп</w:t>
      </w:r>
      <w:proofErr w:type="spellEnd"/>
      <w:r w:rsidRPr="00692BF3">
        <w:rPr>
          <w:rFonts w:ascii="Times New Roman" w:hAnsi="Times New Roman" w:cs="Times New Roman"/>
          <w:sz w:val="28"/>
          <w:szCs w:val="28"/>
          <w:lang w:val="uk-UA"/>
        </w:rPr>
        <w:t>. «г» п. 1 ч. 29 ст. 250 ВКУ, згідно з яким недійсними вважаються виборчі бюлетені</w:t>
      </w:r>
      <w:r w:rsidR="009F19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92BF3">
        <w:rPr>
          <w:rFonts w:ascii="Times New Roman" w:hAnsi="Times New Roman" w:cs="Times New Roman"/>
          <w:i/>
          <w:sz w:val="28"/>
          <w:szCs w:val="28"/>
          <w:lang w:val="uk-UA"/>
        </w:rPr>
        <w:t>якщо не проставлено жодної позначки у жодному квадраті навпроти повної назви організації партії».</w:t>
      </w:r>
    </w:p>
    <w:p w:rsidR="002C24F0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BF3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E776D4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, що встановлення правил інтерпретації волевиявлення виборців (оновлена ч. 7 ст. 248 ВКУ), які заповнили виборчий бюлетень з порушенням вимог, встановлених у </w:t>
      </w:r>
      <w:proofErr w:type="spellStart"/>
      <w:r w:rsidRPr="00692BF3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692BF3">
        <w:rPr>
          <w:rFonts w:ascii="Times New Roman" w:hAnsi="Times New Roman" w:cs="Times New Roman"/>
          <w:sz w:val="28"/>
          <w:szCs w:val="28"/>
          <w:lang w:val="uk-UA"/>
        </w:rPr>
        <w:t>. 1 ч. 7 ст. 248 ВКУ</w:t>
      </w:r>
      <w:r w:rsidR="009F19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E776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принаймні</w:t>
      </w:r>
      <w:r w:rsidR="00E776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дискусійним, адже порушення вимог закону щодо правил заповнення виборчого бюлетеню повинно тягнути визнання таких бюлетенів недійсними.</w:t>
      </w:r>
    </w:p>
    <w:p w:rsidR="00692BF3" w:rsidRPr="004711DD" w:rsidRDefault="002C24F0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4F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BF3"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Законопроектом пропонується доповнити </w:t>
      </w:r>
      <w:r w:rsidR="009F197E">
        <w:rPr>
          <w:rFonts w:ascii="Times New Roman" w:hAnsi="Times New Roman" w:cs="Times New Roman"/>
          <w:bCs/>
          <w:sz w:val="28"/>
          <w:szCs w:val="28"/>
          <w:lang w:val="uk-UA"/>
        </w:rPr>
        <w:t>Розділ XXXXII</w:t>
      </w:r>
      <w:r w:rsidR="00692BF3"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197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692BF3" w:rsidRPr="00692BF3">
        <w:rPr>
          <w:rFonts w:ascii="Times New Roman" w:hAnsi="Times New Roman" w:cs="Times New Roman"/>
          <w:bCs/>
          <w:sz w:val="28"/>
          <w:szCs w:val="28"/>
          <w:lang w:val="uk-UA"/>
        </w:rPr>
        <w:t>Прикінцеві та перехідні положення</w:t>
      </w:r>
      <w:r w:rsidR="009F197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692BF3"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ВКУ новим п. 8, у якому встановлюються особливості </w:t>
      </w:r>
      <w:r w:rsidR="00692BF3" w:rsidRPr="00692BF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A24E7">
        <w:rPr>
          <w:rFonts w:ascii="Times New Roman" w:hAnsi="Times New Roman" w:cs="Times New Roman"/>
          <w:sz w:val="28"/>
          <w:szCs w:val="28"/>
          <w:lang w:val="uk-UA"/>
        </w:rPr>
        <w:t>еалізації</w:t>
      </w:r>
      <w:r w:rsidR="005635F7"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виборчих процедур, пов’язаних із підготовкою та </w:t>
      </w:r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проведенням виборів у період дії карантину, запровадженого Кабінетом Міністрів України з метою запобігання поширенню на території України особливо небезпечних і небезпечних інфекційних </w:t>
      </w:r>
      <w:proofErr w:type="spellStart"/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, зокрема гострої респіраторної хвороби COVID-19, спричиненої </w:t>
      </w:r>
      <w:proofErr w:type="spellStart"/>
      <w:r w:rsidR="005635F7" w:rsidRPr="004711DD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8D2" w:rsidRPr="004711D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SARS-CoV-2 (далі - COVID-19).</w:t>
      </w:r>
    </w:p>
    <w:p w:rsidR="00692BF3" w:rsidRPr="004711DD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Головне управління в цілому підтримує встановлені законопроектом особливості 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виборчих процедур у зв’язку із поширенням респіраторної хвороби COVID-19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711DD">
        <w:rPr>
          <w:rFonts w:ascii="Times New Roman" w:hAnsi="Times New Roman" w:cs="Times New Roman"/>
          <w:sz w:val="28"/>
          <w:szCs w:val="28"/>
          <w:lang w:val="uk-UA"/>
        </w:rPr>
        <w:t>азом з тим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звертає</w:t>
      </w:r>
      <w:r w:rsidR="009F197E" w:rsidRPr="004711DD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увагу на окремі проблемні питання реалізації таких процедур.</w:t>
      </w:r>
    </w:p>
    <w:p w:rsidR="00692BF3" w:rsidRPr="00692BF3" w:rsidRDefault="00E776D4" w:rsidP="00AE7839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1DD">
        <w:rPr>
          <w:rFonts w:ascii="Times New Roman" w:hAnsi="Times New Roman" w:cs="Times New Roman"/>
          <w:sz w:val="28"/>
          <w:szCs w:val="28"/>
          <w:lang w:val="uk-UA"/>
        </w:rPr>
        <w:t>У проекті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передбачено, що «члени виборчої комісії в день голосування використовують додаткові засоби індивідуального захисту – захисний щиток чи окуляри, рукавички, а у разі організації голосування за місцем перебування виборців, хворих на COVID-19 або тих, які перебувають на самоізоляції, а також на спеціальних виборчих дільницях, утворених у стаціонарних закладах охорони здоров’я, в яких здійснюється лікування пацієнтів, хворих на </w:t>
      </w:r>
      <w:r w:rsidR="00F96BD5" w:rsidRPr="004711D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COVID-19, також захисний спеціальний одяг. Забезпечення членів виборчих комісій засобами індивідуального з</w:t>
      </w:r>
      <w:r w:rsidR="006A24E7" w:rsidRPr="004711DD">
        <w:rPr>
          <w:rFonts w:ascii="Times New Roman" w:hAnsi="Times New Roman" w:cs="Times New Roman"/>
          <w:sz w:val="28"/>
          <w:szCs w:val="28"/>
          <w:lang w:val="uk-UA"/>
        </w:rPr>
        <w:t>ахисту, передбаченими підпунктами</w:t>
      </w:r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 3 та 4 пункту 8 цього розділу, здійснюється в порядку, визначеному Кабінетом Міністрів України» (новий </w:t>
      </w:r>
      <w:proofErr w:type="spellStart"/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>підп</w:t>
      </w:r>
      <w:proofErr w:type="spellEnd"/>
      <w:r w:rsidR="00692BF3" w:rsidRPr="004711DD">
        <w:rPr>
          <w:rFonts w:ascii="Times New Roman" w:hAnsi="Times New Roman" w:cs="Times New Roman"/>
          <w:sz w:val="28"/>
          <w:szCs w:val="28"/>
          <w:lang w:val="uk-UA"/>
        </w:rPr>
        <w:t xml:space="preserve">. 4 п. 8 </w:t>
      </w:r>
      <w:r w:rsidR="00692BF3"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Розділу XXXXII </w:t>
      </w:r>
      <w:r w:rsidR="00D358D2" w:rsidRPr="004711D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692BF3" w:rsidRPr="004711DD">
        <w:rPr>
          <w:rFonts w:ascii="Times New Roman" w:hAnsi="Times New Roman" w:cs="Times New Roman"/>
          <w:bCs/>
          <w:sz w:val="28"/>
          <w:szCs w:val="28"/>
          <w:lang w:val="uk-UA"/>
        </w:rPr>
        <w:t>Прикінцеві та перехідні положення</w:t>
      </w:r>
      <w:r w:rsidR="00D358D2" w:rsidRPr="004711D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692BF3"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ВКУ).</w:t>
      </w:r>
    </w:p>
    <w:p w:rsidR="00692BF3" w:rsidRPr="00692BF3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>У зв’язку з цим слід зазначити, що на місцевих виборах 2020</w:t>
      </w:r>
      <w:r w:rsidR="00135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13508E">
        <w:rPr>
          <w:rFonts w:ascii="Times New Roman" w:hAnsi="Times New Roman" w:cs="Times New Roman"/>
          <w:bCs/>
          <w:sz w:val="28"/>
          <w:szCs w:val="28"/>
          <w:lang w:val="uk-UA"/>
        </w:rPr>
        <w:t>оку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утворено близько 30000 дільничних </w:t>
      </w:r>
      <w:r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виборчих комісій і з урахуванням </w:t>
      </w:r>
      <w:r w:rsidRPr="004711D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загальної кількості членів виборчих комісій та кількості членів комісій, які задіяні у проведенні голосування за місцем перебування виборців (по три особи від кожної ДВК, тобто</w:t>
      </w:r>
      <w:r w:rsidR="00D358D2" w:rsidRPr="004711D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58D2"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близько </w:t>
      </w:r>
      <w:r w:rsidRPr="004711DD">
        <w:rPr>
          <w:rFonts w:ascii="Times New Roman" w:hAnsi="Times New Roman" w:cs="Times New Roman"/>
          <w:bCs/>
          <w:sz w:val="28"/>
          <w:szCs w:val="28"/>
          <w:lang w:val="uk-UA"/>
        </w:rPr>
        <w:t>90000 осіб</w:t>
      </w:r>
      <w:r w:rsidR="00576AF4" w:rsidRPr="004711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бути забезпечено спеціальним одягом</w:t>
      </w:r>
      <w:r w:rsidRPr="004711DD">
        <w:rPr>
          <w:rFonts w:ascii="Times New Roman" w:hAnsi="Times New Roman" w:cs="Times New Roman"/>
          <w:bCs/>
          <w:sz w:val="28"/>
          <w:szCs w:val="28"/>
          <w:lang w:val="uk-UA"/>
        </w:rPr>
        <w:t>) постає питання про джерело фінансування витрат на засоби індивідуального захисту. З поданого законопроекту випливає, що забезпечення членів виборчих комісій з</w:t>
      </w:r>
      <w:r w:rsidR="0013508E" w:rsidRPr="004711DD">
        <w:rPr>
          <w:rFonts w:ascii="Times New Roman" w:hAnsi="Times New Roman" w:cs="Times New Roman"/>
          <w:bCs/>
          <w:sz w:val="28"/>
          <w:szCs w:val="28"/>
          <w:lang w:val="uk-UA"/>
        </w:rPr>
        <w:t>асобами</w:t>
      </w:r>
      <w:r w:rsidR="00135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індивідуального захисту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2BF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здійснюється в порядку, визначеному Кабінетом Міністрів України, але не визначається</w:t>
      </w:r>
      <w:r w:rsidR="0013508E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за рахунок яких коштів </w:t>
      </w:r>
      <w:r w:rsidR="00576AF4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(Державного бюджету України</w:t>
      </w:r>
      <w:r w:rsidR="0013508E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576A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місцевих бюджетів</w:t>
      </w:r>
      <w:r w:rsidR="0013508E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576A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особистих коштів членів виборчих комісій) </w:t>
      </w:r>
      <w:r w:rsidRPr="00692BF3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буд</w:t>
      </w:r>
      <w:r w:rsidR="0013508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уть </w:t>
      </w:r>
      <w:r w:rsidRPr="00692BF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фінансува</w:t>
      </w:r>
      <w:r w:rsidR="0013508E">
        <w:rPr>
          <w:rFonts w:ascii="Times New Roman" w:hAnsi="Times New Roman" w:cs="Times New Roman"/>
          <w:bCs/>
          <w:i/>
          <w:sz w:val="28"/>
          <w:szCs w:val="28"/>
          <w:lang w:val="uk-UA"/>
        </w:rPr>
        <w:t>тись відповідні заходи.</w:t>
      </w:r>
      <w:r w:rsidRPr="00692BF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692BF3" w:rsidRDefault="00692BF3" w:rsidP="00AE7839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Доцільно також наголосити, що слід брати до уваги цілком прогнозовану відмову членів ДВК брати участь в організації голосування виборців </w:t>
      </w:r>
      <w:r w:rsidR="00576A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576AF4" w:rsidRPr="00576AF4">
        <w:rPr>
          <w:rFonts w:ascii="Times New Roman" w:hAnsi="Times New Roman" w:cs="Times New Roman"/>
          <w:bCs/>
          <w:sz w:val="28"/>
          <w:szCs w:val="28"/>
          <w:lang w:val="uk-UA"/>
        </w:rPr>
        <w:t>COVID-19</w:t>
      </w:r>
      <w:r w:rsidR="00576A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>за місцем перебування. Проте</w:t>
      </w:r>
      <w:r w:rsidR="0013508E" w:rsidRPr="00D358D2">
        <w:rPr>
          <w:rFonts w:ascii="Times New Roman" w:hAnsi="Times New Roman" w:cs="Times New Roman"/>
          <w:bCs/>
          <w:strike/>
          <w:sz w:val="28"/>
          <w:szCs w:val="28"/>
          <w:lang w:val="uk-UA"/>
        </w:rPr>
        <w:t>,</w:t>
      </w:r>
      <w:r w:rsidRPr="00692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правові наслідки такої ситуації не регламентуються приписами проекту.</w:t>
      </w:r>
      <w:r w:rsidR="00135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Варто зважати й на те, що «перспектива» бути залученими до заходів, про які йдеться у відповідних положеннях проекту, може істотно вплинути (в негативному сенсі) на бажання громадян брати участь у роботі ДВК.</w:t>
      </w:r>
    </w:p>
    <w:p w:rsidR="00AE0A76" w:rsidRDefault="00576AF4" w:rsidP="00AE783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AE0A76" w:rsidRDefault="00576AF4" w:rsidP="00AE0A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BF3"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Головного управління                                  </w:t>
      </w:r>
      <w:r w:rsidR="001350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92BF3"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С. Тихонюк </w:t>
      </w:r>
    </w:p>
    <w:p w:rsidR="00AE0A76" w:rsidRDefault="00692BF3" w:rsidP="00AE0A7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AF4" w:rsidRPr="00AE0A7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AE0A76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AE7839" w:rsidRDefault="00AE0A76" w:rsidP="00AE0A7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92BF3" w:rsidRDefault="00AE7839" w:rsidP="00AE0A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692BF3" w:rsidRPr="00AE0A76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="00692BF3" w:rsidRPr="00AE0A76">
        <w:rPr>
          <w:rFonts w:ascii="Times New Roman" w:hAnsi="Times New Roman" w:cs="Times New Roman"/>
          <w:sz w:val="20"/>
          <w:szCs w:val="20"/>
          <w:lang w:val="uk-UA"/>
        </w:rPr>
        <w:t>.: О. Мельник</w:t>
      </w:r>
    </w:p>
    <w:sectPr w:rsidR="00692BF3" w:rsidSect="00AE0A7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89" w:rsidRDefault="009A0E89" w:rsidP="00521CF6">
      <w:r>
        <w:separator/>
      </w:r>
    </w:p>
  </w:endnote>
  <w:endnote w:type="continuationSeparator" w:id="0">
    <w:p w:rsidR="009A0E89" w:rsidRDefault="009A0E89" w:rsidP="005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187687"/>
      <w:docPartObj>
        <w:docPartGallery w:val="Page Numbers (Bottom of Page)"/>
        <w:docPartUnique/>
      </w:docPartObj>
    </w:sdtPr>
    <w:sdtEndPr/>
    <w:sdtContent>
      <w:p w:rsidR="00D13E43" w:rsidRDefault="009A0E89">
        <w:pPr>
          <w:pStyle w:val="a6"/>
          <w:jc w:val="right"/>
        </w:pPr>
      </w:p>
    </w:sdtContent>
  </w:sdt>
  <w:p w:rsidR="00D13E43" w:rsidRDefault="00D13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89" w:rsidRDefault="009A0E89" w:rsidP="00521CF6">
      <w:r>
        <w:separator/>
      </w:r>
    </w:p>
  </w:footnote>
  <w:footnote w:type="continuationSeparator" w:id="0">
    <w:p w:rsidR="009A0E89" w:rsidRDefault="009A0E89" w:rsidP="005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8916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521CF6" w:rsidRDefault="00521CF6" w:rsidP="004A2F9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21CF6" w:rsidRDefault="00521CF6" w:rsidP="00521C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331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97E" w:rsidRPr="009F197E" w:rsidRDefault="009F197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F19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9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9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E45" w:rsidRPr="007A5E45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9F19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CF6" w:rsidRPr="00521CF6" w:rsidRDefault="00521CF6" w:rsidP="00521CF6">
    <w:pPr>
      <w:pStyle w:val="a3"/>
      <w:ind w:right="360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7E" w:rsidRPr="00D13E43" w:rsidRDefault="009F197E" w:rsidP="009F197E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До реєстр. №</w:t>
    </w:r>
    <w:r w:rsidR="00D358D2">
      <w:rPr>
        <w:rFonts w:ascii="Times New Roman" w:hAnsi="Times New Roman" w:cs="Times New Roman"/>
        <w:sz w:val="20"/>
        <w:szCs w:val="20"/>
        <w:lang w:val="uk-UA"/>
      </w:rPr>
      <w:t xml:space="preserve"> </w:t>
    </w:r>
    <w:r>
      <w:rPr>
        <w:rFonts w:ascii="Times New Roman" w:hAnsi="Times New Roman" w:cs="Times New Roman"/>
        <w:sz w:val="20"/>
        <w:szCs w:val="20"/>
        <w:lang w:val="uk-UA"/>
      </w:rPr>
      <w:t>4117</w:t>
    </w:r>
    <w:r w:rsidRPr="00D13E43">
      <w:rPr>
        <w:rFonts w:ascii="Times New Roman" w:hAnsi="Times New Roman" w:cs="Times New Roman"/>
        <w:sz w:val="20"/>
        <w:szCs w:val="20"/>
        <w:lang w:val="uk-UA"/>
      </w:rPr>
      <w:t xml:space="preserve"> від </w:t>
    </w:r>
    <w:r>
      <w:rPr>
        <w:rFonts w:ascii="Times New Roman" w:hAnsi="Times New Roman" w:cs="Times New Roman"/>
        <w:sz w:val="20"/>
        <w:szCs w:val="20"/>
        <w:lang w:val="uk-UA"/>
      </w:rPr>
      <w:t>18</w:t>
    </w:r>
    <w:r w:rsidRPr="00D13E43">
      <w:rPr>
        <w:rFonts w:ascii="Times New Roman" w:hAnsi="Times New Roman" w:cs="Times New Roman"/>
        <w:sz w:val="20"/>
        <w:szCs w:val="20"/>
        <w:lang w:val="uk-UA"/>
      </w:rPr>
      <w:t>.09.2020</w:t>
    </w:r>
  </w:p>
  <w:p w:rsidR="009F197E" w:rsidRPr="00D13E43" w:rsidRDefault="009F197E" w:rsidP="009F197E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Народні</w:t>
    </w:r>
    <w:r w:rsidRPr="00D13E43">
      <w:rPr>
        <w:rFonts w:ascii="Times New Roman" w:hAnsi="Times New Roman" w:cs="Times New Roman"/>
        <w:sz w:val="20"/>
        <w:szCs w:val="20"/>
        <w:lang w:val="uk-UA"/>
      </w:rPr>
      <w:t xml:space="preserve"> депутат</w:t>
    </w:r>
    <w:r>
      <w:rPr>
        <w:rFonts w:ascii="Times New Roman" w:hAnsi="Times New Roman" w:cs="Times New Roman"/>
        <w:sz w:val="20"/>
        <w:szCs w:val="20"/>
        <w:lang w:val="uk-UA"/>
      </w:rPr>
      <w:t>и</w:t>
    </w:r>
    <w:r w:rsidRPr="00D13E43">
      <w:rPr>
        <w:rFonts w:ascii="Times New Roman" w:hAnsi="Times New Roman" w:cs="Times New Roman"/>
        <w:sz w:val="20"/>
        <w:szCs w:val="20"/>
        <w:lang w:val="uk-UA"/>
      </w:rPr>
      <w:t xml:space="preserve"> України</w:t>
    </w:r>
  </w:p>
  <w:p w:rsidR="009F197E" w:rsidRPr="00D13E43" w:rsidRDefault="009F197E" w:rsidP="009F197E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 xml:space="preserve">А. </w:t>
    </w:r>
    <w:proofErr w:type="spellStart"/>
    <w:r>
      <w:rPr>
        <w:rFonts w:ascii="Times New Roman" w:hAnsi="Times New Roman" w:cs="Times New Roman"/>
        <w:sz w:val="20"/>
        <w:szCs w:val="20"/>
        <w:lang w:val="uk-UA"/>
      </w:rPr>
      <w:t>Загоруйко</w:t>
    </w:r>
    <w:proofErr w:type="spellEnd"/>
    <w:r>
      <w:rPr>
        <w:rFonts w:ascii="Times New Roman" w:hAnsi="Times New Roman" w:cs="Times New Roman"/>
        <w:sz w:val="20"/>
        <w:szCs w:val="20"/>
        <w:lang w:val="uk-UA"/>
      </w:rPr>
      <w:t xml:space="preserve"> та інші</w:t>
    </w:r>
  </w:p>
  <w:p w:rsidR="009F197E" w:rsidRDefault="009F197E">
    <w:pPr>
      <w:pStyle w:val="a3"/>
      <w:jc w:val="right"/>
    </w:pPr>
  </w:p>
  <w:p w:rsidR="00521CF6" w:rsidRDefault="00521C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440"/>
    <w:multiLevelType w:val="hybridMultilevel"/>
    <w:tmpl w:val="937C7E90"/>
    <w:lvl w:ilvl="0" w:tplc="E8EE88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13508E"/>
    <w:rsid w:val="001F5903"/>
    <w:rsid w:val="002C24F0"/>
    <w:rsid w:val="002C68E0"/>
    <w:rsid w:val="003C1B66"/>
    <w:rsid w:val="004711DD"/>
    <w:rsid w:val="004F3A5A"/>
    <w:rsid w:val="0051359C"/>
    <w:rsid w:val="00521CF6"/>
    <w:rsid w:val="005635F7"/>
    <w:rsid w:val="00576AF4"/>
    <w:rsid w:val="006525DE"/>
    <w:rsid w:val="00667AEA"/>
    <w:rsid w:val="00692BF3"/>
    <w:rsid w:val="006A24E7"/>
    <w:rsid w:val="006B61EF"/>
    <w:rsid w:val="006E2781"/>
    <w:rsid w:val="0070135F"/>
    <w:rsid w:val="007A5E45"/>
    <w:rsid w:val="00894CE3"/>
    <w:rsid w:val="008A606F"/>
    <w:rsid w:val="00934DCB"/>
    <w:rsid w:val="00935519"/>
    <w:rsid w:val="009758FA"/>
    <w:rsid w:val="009A0E89"/>
    <w:rsid w:val="009E587C"/>
    <w:rsid w:val="009F197E"/>
    <w:rsid w:val="00AE0A76"/>
    <w:rsid w:val="00AE7839"/>
    <w:rsid w:val="00B168B8"/>
    <w:rsid w:val="00B21B2B"/>
    <w:rsid w:val="00D06AC1"/>
    <w:rsid w:val="00D13E43"/>
    <w:rsid w:val="00D358D2"/>
    <w:rsid w:val="00D46C39"/>
    <w:rsid w:val="00DB1570"/>
    <w:rsid w:val="00DE251E"/>
    <w:rsid w:val="00E776D4"/>
    <w:rsid w:val="00EF0CB1"/>
    <w:rsid w:val="00F0258A"/>
    <w:rsid w:val="00F84695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A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21CF6"/>
  </w:style>
  <w:style w:type="character" w:styleId="a5">
    <w:name w:val="page number"/>
    <w:basedOn w:val="a0"/>
    <w:uiPriority w:val="99"/>
    <w:semiHidden/>
    <w:unhideWhenUsed/>
    <w:rsid w:val="00521CF6"/>
  </w:style>
  <w:style w:type="paragraph" w:styleId="a6">
    <w:name w:val="footer"/>
    <w:basedOn w:val="a"/>
    <w:link w:val="a7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1CF6"/>
  </w:style>
  <w:style w:type="paragraph" w:styleId="a8">
    <w:name w:val="List Paragraph"/>
    <w:basedOn w:val="a"/>
    <w:uiPriority w:val="34"/>
    <w:qFormat/>
    <w:rsid w:val="00D358D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83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E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5347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2020-09-28T14:22:00Z</dcterms:created>
  <dcterms:modified xsi:type="dcterms:W3CDTF">2020-09-28T14:28:00Z</dcterms:modified>
</cp:coreProperties>
</file>