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4187" w14:textId="77777777" w:rsidR="00A97487" w:rsidRPr="00A97487" w:rsidRDefault="00A97487" w:rsidP="006168E4">
      <w:pPr>
        <w:pStyle w:val="ShapkaDocumentu"/>
        <w:spacing w:after="0"/>
        <w:rPr>
          <w:rFonts w:ascii="Times New Roman" w:hAnsi="Times New Roman"/>
          <w:sz w:val="28"/>
          <w:szCs w:val="28"/>
        </w:rPr>
      </w:pPr>
      <w:bookmarkStart w:id="0" w:name="_GoBack"/>
      <w:bookmarkEnd w:id="0"/>
      <w:r w:rsidRPr="00A97487">
        <w:rPr>
          <w:rFonts w:ascii="Times New Roman" w:hAnsi="Times New Roman"/>
          <w:sz w:val="28"/>
          <w:szCs w:val="28"/>
        </w:rPr>
        <w:t>Додаток 1</w:t>
      </w:r>
      <w:r>
        <w:rPr>
          <w:rFonts w:ascii="Times New Roman" w:hAnsi="Times New Roman"/>
          <w:sz w:val="28"/>
          <w:szCs w:val="28"/>
        </w:rPr>
        <w:br/>
      </w:r>
      <w:r w:rsidRPr="00A97487">
        <w:rPr>
          <w:rFonts w:ascii="Times New Roman" w:hAnsi="Times New Roman"/>
          <w:sz w:val="28"/>
          <w:szCs w:val="28"/>
        </w:rPr>
        <w:t xml:space="preserve">до Закону України </w:t>
      </w:r>
      <w:r>
        <w:rPr>
          <w:rFonts w:ascii="Times New Roman" w:hAnsi="Times New Roman"/>
          <w:sz w:val="28"/>
          <w:szCs w:val="28"/>
        </w:rPr>
        <w:t>“</w:t>
      </w:r>
      <w:r w:rsidRPr="00A97487">
        <w:rPr>
          <w:rFonts w:ascii="Times New Roman" w:hAnsi="Times New Roman"/>
          <w:sz w:val="28"/>
          <w:szCs w:val="28"/>
        </w:rPr>
        <w:t xml:space="preserve">Про захист </w:t>
      </w:r>
      <w:r>
        <w:rPr>
          <w:rFonts w:ascii="Times New Roman" w:hAnsi="Times New Roman"/>
          <w:sz w:val="28"/>
          <w:szCs w:val="28"/>
        </w:rPr>
        <w:br/>
      </w:r>
      <w:r w:rsidRPr="00A97487">
        <w:rPr>
          <w:rFonts w:ascii="Times New Roman" w:hAnsi="Times New Roman"/>
          <w:sz w:val="28"/>
          <w:szCs w:val="28"/>
        </w:rPr>
        <w:t>від субсидованого імпорту</w:t>
      </w:r>
      <w:r>
        <w:rPr>
          <w:rFonts w:ascii="Times New Roman" w:hAnsi="Times New Roman"/>
          <w:sz w:val="28"/>
          <w:szCs w:val="28"/>
        </w:rPr>
        <w:t>”</w:t>
      </w:r>
    </w:p>
    <w:p w14:paraId="6279860E" w14:textId="77777777" w:rsidR="00323DF5" w:rsidRDefault="00323DF5" w:rsidP="006168E4">
      <w:pPr>
        <w:pStyle w:val="ac"/>
        <w:spacing w:before="0" w:after="0"/>
        <w:rPr>
          <w:rFonts w:ascii="Times New Roman" w:hAnsi="Times New Roman"/>
          <w:b w:val="0"/>
          <w:sz w:val="28"/>
          <w:szCs w:val="28"/>
        </w:rPr>
      </w:pPr>
    </w:p>
    <w:p w14:paraId="2DD52849" w14:textId="3F5CB431" w:rsidR="00A97487" w:rsidRPr="00A97487" w:rsidRDefault="00A97487" w:rsidP="006168E4">
      <w:pPr>
        <w:pStyle w:val="ac"/>
        <w:spacing w:before="0" w:after="0"/>
        <w:rPr>
          <w:rFonts w:ascii="Times New Roman" w:hAnsi="Times New Roman"/>
          <w:b w:val="0"/>
          <w:sz w:val="28"/>
          <w:szCs w:val="28"/>
        </w:rPr>
      </w:pPr>
      <w:r w:rsidRPr="00A97487">
        <w:rPr>
          <w:rFonts w:ascii="Times New Roman" w:hAnsi="Times New Roman"/>
          <w:b w:val="0"/>
          <w:sz w:val="28"/>
          <w:szCs w:val="28"/>
        </w:rPr>
        <w:t>ІЛЮСТРАТИВНИЙ ПЕРЕЛІК ЕКСПОРТНИХ СУБСИДІЙ</w:t>
      </w:r>
    </w:p>
    <w:p w14:paraId="6577410C"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а) Надання урядом прямих субсидій підприємству чи галузі виробництва залежно від експортної діяльності.</w:t>
      </w:r>
    </w:p>
    <w:p w14:paraId="2B0762F8"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б) Програми, які передбачають утримання валюти, або будь-які інші аналогічні заходи, що забезпечують виплату премії в разі здійснення експортних операцій.</w:t>
      </w:r>
    </w:p>
    <w:p w14:paraId="556C965D" w14:textId="77777777" w:rsidR="00A97487" w:rsidRP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в) Внутрішні розцінки на транспортування і фрахт при експортних відвантаженнях, надані або санкціоновані урядом на умовах більш сприятливих ніж для внутрішніх перевезень.</w:t>
      </w:r>
    </w:p>
    <w:p w14:paraId="41D1588F"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г) Безпосереднє або опосередковане постачання урядом або його установами, через затверджені урядом програми</w:t>
      </w:r>
      <w:r w:rsidR="006C179F">
        <w:rPr>
          <w:rFonts w:ascii="Times New Roman" w:hAnsi="Times New Roman"/>
          <w:sz w:val="28"/>
          <w:szCs w:val="28"/>
        </w:rPr>
        <w:t>,</w:t>
      </w:r>
      <w:r w:rsidRPr="00A97487">
        <w:rPr>
          <w:rFonts w:ascii="Times New Roman" w:hAnsi="Times New Roman"/>
          <w:sz w:val="28"/>
          <w:szCs w:val="28"/>
        </w:rPr>
        <w:t xml:space="preserve"> імпортних або вітчизняних товарів або послуг для використання у виробництві товарів на експорт на умовах, більш сприятливих порівняно з умовами постачання подібних або безпосередньо конкуруючих товарів або послуг для виробництва товарів, призначених для внутрішнього споживання, якщо (коли йдеться про товари) такі умови вигідніші від комерційно доступних</w:t>
      </w:r>
      <w:r w:rsidRPr="00A97487">
        <w:rPr>
          <w:rFonts w:ascii="Times New Roman" w:hAnsi="Times New Roman"/>
          <w:sz w:val="28"/>
          <w:szCs w:val="28"/>
          <w:vertAlign w:val="superscript"/>
        </w:rPr>
        <w:t>1</w:t>
      </w:r>
      <w:r w:rsidRPr="00A97487">
        <w:rPr>
          <w:rFonts w:ascii="Times New Roman" w:hAnsi="Times New Roman"/>
          <w:sz w:val="28"/>
          <w:szCs w:val="28"/>
        </w:rPr>
        <w:t xml:space="preserve"> на світових ринках для їх експортерів.</w:t>
      </w:r>
    </w:p>
    <w:p w14:paraId="173F3992"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д) Повне чи часткове звільнення, винятки чи відстрочення щодо сплати прямих податків</w:t>
      </w:r>
      <w:r w:rsidRPr="00A97487">
        <w:rPr>
          <w:rFonts w:ascii="Times New Roman" w:hAnsi="Times New Roman"/>
          <w:sz w:val="28"/>
          <w:szCs w:val="28"/>
          <w:vertAlign w:val="superscript"/>
        </w:rPr>
        <w:t>2</w:t>
      </w:r>
      <w:r w:rsidRPr="00A97487">
        <w:rPr>
          <w:rFonts w:ascii="Times New Roman" w:hAnsi="Times New Roman"/>
          <w:sz w:val="28"/>
          <w:szCs w:val="28"/>
        </w:rPr>
        <w:t xml:space="preserve"> або сплати внесків до фондів соціального страхування, що сплачуються або повинні сплачуватися промисловими або торговельними підприємствами</w:t>
      </w:r>
      <w:r w:rsidRPr="00A97487">
        <w:rPr>
          <w:rFonts w:ascii="Times New Roman" w:hAnsi="Times New Roman"/>
          <w:sz w:val="28"/>
          <w:szCs w:val="28"/>
          <w:vertAlign w:val="superscript"/>
        </w:rPr>
        <w:t>3</w:t>
      </w:r>
      <w:r w:rsidRPr="00A97487">
        <w:rPr>
          <w:rFonts w:ascii="Times New Roman" w:hAnsi="Times New Roman"/>
          <w:sz w:val="28"/>
          <w:szCs w:val="28"/>
        </w:rPr>
        <w:t xml:space="preserve"> в разі здійснення експортної операції.</w:t>
      </w:r>
    </w:p>
    <w:p w14:paraId="6F9064C9"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 xml:space="preserve">е) </w:t>
      </w:r>
      <w:r w:rsidR="006C179F" w:rsidRPr="006C179F">
        <w:rPr>
          <w:rFonts w:ascii="Times New Roman" w:hAnsi="Times New Roman"/>
          <w:sz w:val="28"/>
          <w:szCs w:val="28"/>
        </w:rPr>
        <w:t>Надання знижок при сплаті податків щодо їх ставок чи  сум, що повинні сплачуватися, якщо такі знижки безпосередньо пов'язані з експортом або з результативністю експортної операції та якщо такі знижки перевищують відповідні знижки, що надаються стосовно прямих податків, якими оподатковується виробництво товару, призначеного для споживання на національному ринку, за умови, що розрахунки проводяться відповідно до бази оподаткування зазначеними прямими податками</w:t>
      </w:r>
      <w:r w:rsidRPr="00A97487">
        <w:rPr>
          <w:rFonts w:ascii="Times New Roman" w:hAnsi="Times New Roman"/>
          <w:sz w:val="28"/>
          <w:szCs w:val="28"/>
        </w:rPr>
        <w:t>.</w:t>
      </w:r>
    </w:p>
    <w:p w14:paraId="11776F8E"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є) Установлення в разі виробництва та постачання товарів на експорт, звільнень або повернення сплачених сум непрямих податків</w:t>
      </w:r>
      <w:r w:rsidRPr="00A97487">
        <w:rPr>
          <w:rFonts w:ascii="Times New Roman" w:hAnsi="Times New Roman"/>
          <w:sz w:val="28"/>
          <w:szCs w:val="28"/>
          <w:vertAlign w:val="superscript"/>
        </w:rPr>
        <w:t>2</w:t>
      </w:r>
      <w:r w:rsidRPr="00A97487">
        <w:rPr>
          <w:rFonts w:ascii="Times New Roman" w:hAnsi="Times New Roman"/>
          <w:sz w:val="28"/>
          <w:szCs w:val="28"/>
        </w:rPr>
        <w:t>, які справляються в разі виробництва та постачання подібних товарів для продажу на внутрішньому ринку.</w:t>
      </w:r>
    </w:p>
    <w:p w14:paraId="2DFF49DE"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ж) Звільнення, винятки чи відстрочення щодо сплати кумулятивних непрямих податків</w:t>
      </w:r>
      <w:r w:rsidRPr="00A97487">
        <w:rPr>
          <w:rFonts w:ascii="Times New Roman" w:hAnsi="Times New Roman"/>
          <w:sz w:val="28"/>
          <w:szCs w:val="28"/>
          <w:vertAlign w:val="superscript"/>
        </w:rPr>
        <w:t>2</w:t>
      </w:r>
      <w:r w:rsidRPr="00A97487">
        <w:rPr>
          <w:rFonts w:ascii="Times New Roman" w:hAnsi="Times New Roman"/>
          <w:sz w:val="28"/>
          <w:szCs w:val="28"/>
        </w:rPr>
        <w:t xml:space="preserve">, які справляються на попередній стадії з майна або послуг, використаних у виробництві товарів, що експортуються, на суми, які перевищують звільнення, винятки чи відстрочення щодо сплати подібних кумулятивних непрямих податків, якими оподатковується на попередній стадії майно або послуги, використані у виробництві подібних товарів для продажу на вітчизняному ринку; однак за умови, що звільнення, винятки чи відстрочення щодо сплати кумулятивних непрямих податків, які справляються на попередній стадії можуть стосуватися товарів, що експортуються навіть за </w:t>
      </w:r>
      <w:r w:rsidRPr="00A97487">
        <w:rPr>
          <w:rFonts w:ascii="Times New Roman" w:hAnsi="Times New Roman"/>
          <w:sz w:val="28"/>
          <w:szCs w:val="28"/>
        </w:rPr>
        <w:lastRenderedPageBreak/>
        <w:t>відсутності таких звільнень, винятків чи відстрочення для подібних товарів, що реалізуються для споживання на вітчизняному ринку, якщо звільнення, винятки чи відстрочення щодо сплати кумулятивних непрямих податків стосуються сировини для виробництва товарів, що експортується (включаючи звичайні втрати)</w:t>
      </w:r>
      <w:r w:rsidRPr="00A97487">
        <w:rPr>
          <w:rFonts w:ascii="Times New Roman" w:hAnsi="Times New Roman"/>
          <w:sz w:val="28"/>
          <w:szCs w:val="28"/>
          <w:vertAlign w:val="superscript"/>
        </w:rPr>
        <w:t>4</w:t>
      </w:r>
      <w:r w:rsidRPr="00A97487">
        <w:rPr>
          <w:rFonts w:ascii="Times New Roman" w:hAnsi="Times New Roman"/>
          <w:sz w:val="28"/>
          <w:szCs w:val="28"/>
        </w:rPr>
        <w:t>. Положення цієї частини слід тлумачити відповідно до інструкції щодо споживання сировини у виробничому процесі, що міститься в додатку</w:t>
      </w:r>
      <w:r w:rsidR="00072F78">
        <w:rPr>
          <w:rFonts w:ascii="Times New Roman" w:hAnsi="Times New Roman"/>
          <w:sz w:val="28"/>
          <w:szCs w:val="28"/>
        </w:rPr>
        <w:t xml:space="preserve"> 2</w:t>
      </w:r>
      <w:r w:rsidRPr="00A97487">
        <w:rPr>
          <w:rFonts w:ascii="Times New Roman" w:hAnsi="Times New Roman"/>
          <w:sz w:val="28"/>
          <w:szCs w:val="28"/>
        </w:rPr>
        <w:t>.</w:t>
      </w:r>
    </w:p>
    <w:p w14:paraId="35C194BA" w14:textId="77777777" w:rsid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з) Зменшення або повернення імпортних зборів</w:t>
      </w:r>
      <w:r w:rsidRPr="00A97487">
        <w:rPr>
          <w:rFonts w:ascii="Times New Roman" w:hAnsi="Times New Roman"/>
          <w:sz w:val="28"/>
          <w:szCs w:val="28"/>
          <w:vertAlign w:val="superscript"/>
        </w:rPr>
        <w:t>2</w:t>
      </w:r>
      <w:r w:rsidRPr="00A97487">
        <w:rPr>
          <w:rFonts w:ascii="Times New Roman" w:hAnsi="Times New Roman"/>
          <w:sz w:val="28"/>
          <w:szCs w:val="28"/>
        </w:rPr>
        <w:t>, що перевищують імпортні збори, які справляються з імпортован</w:t>
      </w:r>
      <w:r w:rsidR="007521AD">
        <w:rPr>
          <w:rFonts w:ascii="Times New Roman" w:hAnsi="Times New Roman"/>
          <w:sz w:val="28"/>
          <w:szCs w:val="28"/>
        </w:rPr>
        <w:t>ої</w:t>
      </w:r>
      <w:r w:rsidRPr="00A97487">
        <w:rPr>
          <w:rFonts w:ascii="Times New Roman" w:hAnsi="Times New Roman"/>
          <w:sz w:val="28"/>
          <w:szCs w:val="28"/>
        </w:rPr>
        <w:t xml:space="preserve"> </w:t>
      </w:r>
      <w:r w:rsidR="007521AD">
        <w:rPr>
          <w:rFonts w:ascii="Times New Roman" w:hAnsi="Times New Roman"/>
          <w:sz w:val="28"/>
          <w:szCs w:val="28"/>
        </w:rPr>
        <w:t>сировини</w:t>
      </w:r>
      <w:r w:rsidRPr="00A97487">
        <w:rPr>
          <w:rFonts w:ascii="Times New Roman" w:hAnsi="Times New Roman"/>
          <w:sz w:val="28"/>
          <w:szCs w:val="28"/>
        </w:rPr>
        <w:t xml:space="preserve">, </w:t>
      </w:r>
      <w:r w:rsidR="007521AD">
        <w:rPr>
          <w:rFonts w:ascii="Times New Roman" w:hAnsi="Times New Roman"/>
          <w:sz w:val="28"/>
          <w:szCs w:val="28"/>
        </w:rPr>
        <w:t>що</w:t>
      </w:r>
      <w:r w:rsidRPr="00A97487">
        <w:rPr>
          <w:rFonts w:ascii="Times New Roman" w:hAnsi="Times New Roman"/>
          <w:sz w:val="28"/>
          <w:szCs w:val="28"/>
        </w:rPr>
        <w:t xml:space="preserve"> спожива</w:t>
      </w:r>
      <w:r w:rsidR="007521AD">
        <w:rPr>
          <w:rFonts w:ascii="Times New Roman" w:hAnsi="Times New Roman"/>
          <w:sz w:val="28"/>
          <w:szCs w:val="28"/>
        </w:rPr>
        <w:t>є</w:t>
      </w:r>
      <w:r w:rsidRPr="00A97487">
        <w:rPr>
          <w:rFonts w:ascii="Times New Roman" w:hAnsi="Times New Roman"/>
          <w:sz w:val="28"/>
          <w:szCs w:val="28"/>
        </w:rPr>
        <w:t>ться у процесі виробництва товару на експорт (включаючи звичайні втрати); однак за умови, що в деяких випадках підприємство може використовувати сировину з внутрішнього ринку в такій кількості і з такими ж характеристиками, як і імпортована сировина на заміну останньої, щоб скористатися таким положенням, коли імпортні і відповідні експортні операції здійснюються протягом розумного періоду часу, який не перевищує двох років. Положення цієї частини слід тлумачити відповідно до інструкції щодо споживання сировини у виробничому процесі, що міститься в додатку</w:t>
      </w:r>
      <w:r w:rsidR="00072F78">
        <w:rPr>
          <w:rFonts w:ascii="Times New Roman" w:hAnsi="Times New Roman"/>
          <w:sz w:val="28"/>
          <w:szCs w:val="28"/>
        </w:rPr>
        <w:t xml:space="preserve"> 2</w:t>
      </w:r>
      <w:r w:rsidRPr="00A97487">
        <w:rPr>
          <w:rFonts w:ascii="Times New Roman" w:hAnsi="Times New Roman"/>
          <w:sz w:val="28"/>
          <w:szCs w:val="28"/>
        </w:rPr>
        <w:t>, а також інструкції щодо визначення систем повернення імпортних зборів як експортних субсидій, що містяться в додатку</w:t>
      </w:r>
      <w:r w:rsidR="00072F78">
        <w:rPr>
          <w:rFonts w:ascii="Times New Roman" w:hAnsi="Times New Roman"/>
          <w:sz w:val="28"/>
          <w:szCs w:val="28"/>
        </w:rPr>
        <w:t xml:space="preserve"> 3</w:t>
      </w:r>
      <w:r w:rsidRPr="00A97487">
        <w:rPr>
          <w:rFonts w:ascii="Times New Roman" w:hAnsi="Times New Roman"/>
          <w:sz w:val="28"/>
          <w:szCs w:val="28"/>
        </w:rPr>
        <w:t>.</w:t>
      </w:r>
    </w:p>
    <w:p w14:paraId="5E737D8F" w14:textId="77777777" w:rsidR="00A97487" w:rsidRP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и) Надання урядом (чи спеціальними установами, що контролюються урядом) програм гарантування або страхування експортних кредитів, програм страхування або гарантування від зростання вартості товарів, що експортуються, або програм, які стосуються валютних ризиків з використанням ставок премій, недостатніх для покриття довгострокових витрат і втрат, пов</w:t>
      </w:r>
      <w:r>
        <w:rPr>
          <w:rFonts w:ascii="Times New Roman" w:hAnsi="Times New Roman"/>
          <w:sz w:val="28"/>
          <w:szCs w:val="28"/>
        </w:rPr>
        <w:t>’</w:t>
      </w:r>
      <w:r w:rsidRPr="00A97487">
        <w:rPr>
          <w:rFonts w:ascii="Times New Roman" w:hAnsi="Times New Roman"/>
          <w:sz w:val="28"/>
          <w:szCs w:val="28"/>
        </w:rPr>
        <w:t>язаних з реалізацією цих програм.</w:t>
      </w:r>
    </w:p>
    <w:p w14:paraId="0FA4B690" w14:textId="77777777" w:rsidR="00A97487" w:rsidRP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і) Надання урядом (чи спеціальними установами, що контролюються урядом та/або уповноважені ним) експортних кредитів за ставками, нижчими ніж ставки, за якими їм фактично доводиться платити за використані кошти (або довелося б платити, якби вони позичали такі кошти на міжнародних ринках капіталу для одержання кредитів з такими ж строками повернення та іншими умовами кредиту, а також якби ці кошти було деноміновано в тій самій валюті, що й експортні кредити), або їх повна або часткова сплата витрат, що понесли експортери або фінансові організації при отриманні кредитів, якщо зазначені пільги надаються для забезпечення істотних переваг у сфері умов кредитування експорту.</w:t>
      </w:r>
    </w:p>
    <w:p w14:paraId="3CFC5D19" w14:textId="77777777" w:rsidR="00A97487" w:rsidRP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Проте за умови, що член СОТ є стороною міжнародного зобов</w:t>
      </w:r>
      <w:r>
        <w:rPr>
          <w:rFonts w:ascii="Times New Roman" w:hAnsi="Times New Roman"/>
          <w:sz w:val="28"/>
          <w:szCs w:val="28"/>
        </w:rPr>
        <w:t>’</w:t>
      </w:r>
      <w:r w:rsidRPr="00A97487">
        <w:rPr>
          <w:rFonts w:ascii="Times New Roman" w:hAnsi="Times New Roman"/>
          <w:sz w:val="28"/>
          <w:szCs w:val="28"/>
        </w:rPr>
        <w:t xml:space="preserve">язання щодо офіційних експортних кредитів, в якому сторонами є принаймні </w:t>
      </w:r>
      <w:r w:rsidRPr="00A97487">
        <w:rPr>
          <w:rFonts w:ascii="Times New Roman" w:hAnsi="Times New Roman"/>
          <w:sz w:val="28"/>
          <w:szCs w:val="28"/>
        </w:rPr>
        <w:br/>
        <w:t>12 первісних країн–членів СОТ станом на 1 січня 1979 року (або зобов</w:t>
      </w:r>
      <w:r>
        <w:rPr>
          <w:rFonts w:ascii="Times New Roman" w:hAnsi="Times New Roman"/>
          <w:sz w:val="28"/>
          <w:szCs w:val="28"/>
        </w:rPr>
        <w:t>’</w:t>
      </w:r>
      <w:r w:rsidRPr="00A97487">
        <w:rPr>
          <w:rFonts w:ascii="Times New Roman" w:hAnsi="Times New Roman"/>
          <w:sz w:val="28"/>
          <w:szCs w:val="28"/>
        </w:rPr>
        <w:t>язання його наступника, яке затверджено цими первісними країнами–членами СОТ), або якщо на практиці в країні-члені СОТ застосовується норма про відсоткові ставки з відповідного зобов</w:t>
      </w:r>
      <w:r>
        <w:rPr>
          <w:rFonts w:ascii="Times New Roman" w:hAnsi="Times New Roman"/>
          <w:sz w:val="28"/>
          <w:szCs w:val="28"/>
        </w:rPr>
        <w:t>’</w:t>
      </w:r>
      <w:r w:rsidRPr="00A97487">
        <w:rPr>
          <w:rFonts w:ascii="Times New Roman" w:hAnsi="Times New Roman"/>
          <w:sz w:val="28"/>
          <w:szCs w:val="28"/>
        </w:rPr>
        <w:t>язання, практика надання експортних кредитів, що відповідає цим положенням, не вважається експортною субсидією.</w:t>
      </w:r>
    </w:p>
    <w:p w14:paraId="388C570F" w14:textId="77777777" w:rsidR="00A97487" w:rsidRPr="00A97487" w:rsidRDefault="00A97487" w:rsidP="006168E4">
      <w:pPr>
        <w:pStyle w:val="a4"/>
        <w:spacing w:before="0"/>
        <w:jc w:val="both"/>
        <w:rPr>
          <w:rFonts w:ascii="Times New Roman" w:hAnsi="Times New Roman"/>
          <w:sz w:val="28"/>
          <w:szCs w:val="28"/>
        </w:rPr>
      </w:pPr>
      <w:r w:rsidRPr="00A97487">
        <w:rPr>
          <w:rFonts w:ascii="Times New Roman" w:hAnsi="Times New Roman"/>
          <w:sz w:val="28"/>
          <w:szCs w:val="28"/>
        </w:rPr>
        <w:t xml:space="preserve">к) Будь-які інші витрати з державного бюджету, які вважаються експортною субсидією в розумінні Генеральної угоди </w:t>
      </w:r>
      <w:r w:rsidR="003A2973">
        <w:rPr>
          <w:rFonts w:ascii="Times New Roman" w:hAnsi="Times New Roman"/>
          <w:sz w:val="28"/>
          <w:szCs w:val="28"/>
        </w:rPr>
        <w:t>про</w:t>
      </w:r>
      <w:r w:rsidRPr="00A97487">
        <w:rPr>
          <w:rFonts w:ascii="Times New Roman" w:hAnsi="Times New Roman"/>
          <w:sz w:val="28"/>
          <w:szCs w:val="28"/>
        </w:rPr>
        <w:t xml:space="preserve"> тариф</w:t>
      </w:r>
      <w:r w:rsidR="003A2973">
        <w:rPr>
          <w:rFonts w:ascii="Times New Roman" w:hAnsi="Times New Roman"/>
          <w:sz w:val="28"/>
          <w:szCs w:val="28"/>
        </w:rPr>
        <w:t>и</w:t>
      </w:r>
      <w:r w:rsidRPr="00A97487">
        <w:rPr>
          <w:rFonts w:ascii="Times New Roman" w:hAnsi="Times New Roman"/>
          <w:sz w:val="28"/>
          <w:szCs w:val="28"/>
        </w:rPr>
        <w:t xml:space="preserve"> </w:t>
      </w:r>
      <w:r w:rsidR="003A2973">
        <w:rPr>
          <w:rFonts w:ascii="Times New Roman" w:hAnsi="Times New Roman"/>
          <w:sz w:val="28"/>
          <w:szCs w:val="28"/>
        </w:rPr>
        <w:t>й</w:t>
      </w:r>
      <w:r w:rsidRPr="00A97487">
        <w:rPr>
          <w:rFonts w:ascii="Times New Roman" w:hAnsi="Times New Roman"/>
          <w:sz w:val="28"/>
          <w:szCs w:val="28"/>
        </w:rPr>
        <w:t xml:space="preserve"> торгівл</w:t>
      </w:r>
      <w:r w:rsidR="003A2973">
        <w:rPr>
          <w:rFonts w:ascii="Times New Roman" w:hAnsi="Times New Roman"/>
          <w:sz w:val="28"/>
          <w:szCs w:val="28"/>
        </w:rPr>
        <w:t>ю</w:t>
      </w:r>
      <w:r w:rsidRPr="00A97487">
        <w:rPr>
          <w:rFonts w:ascii="Times New Roman" w:hAnsi="Times New Roman"/>
          <w:sz w:val="28"/>
          <w:szCs w:val="28"/>
        </w:rPr>
        <w:t xml:space="preserve"> 1994 року.</w:t>
      </w:r>
    </w:p>
    <w:p w14:paraId="7AF49F28"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lastRenderedPageBreak/>
        <w:t>__________________</w:t>
      </w:r>
    </w:p>
    <w:p w14:paraId="158AB107"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vertAlign w:val="superscript"/>
        </w:rPr>
        <w:t>1</w:t>
      </w:r>
      <w:r w:rsidRPr="00A97487">
        <w:rPr>
          <w:rFonts w:ascii="Times New Roman" w:hAnsi="Times New Roman"/>
          <w:sz w:val="24"/>
          <w:szCs w:val="24"/>
        </w:rPr>
        <w:t xml:space="preserve"> Термін “комерційно доступні” означає, що вибір між вітчизняними та імпортованими товарами не обмежено і залежить лише від комерційних міркувань.</w:t>
      </w:r>
    </w:p>
    <w:p w14:paraId="04B617D0"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vertAlign w:val="superscript"/>
        </w:rPr>
        <w:t>2</w:t>
      </w:r>
      <w:r w:rsidRPr="00A97487">
        <w:rPr>
          <w:rFonts w:ascii="Times New Roman" w:hAnsi="Times New Roman"/>
          <w:sz w:val="24"/>
          <w:szCs w:val="24"/>
        </w:rPr>
        <w:t xml:space="preserve"> Для цілей </w:t>
      </w:r>
      <w:r w:rsidR="003E26DB">
        <w:rPr>
          <w:rFonts w:ascii="Times New Roman" w:hAnsi="Times New Roman"/>
          <w:sz w:val="24"/>
          <w:szCs w:val="24"/>
        </w:rPr>
        <w:t xml:space="preserve">додатків до </w:t>
      </w:r>
      <w:r w:rsidRPr="00A97487">
        <w:rPr>
          <w:rFonts w:ascii="Times New Roman" w:hAnsi="Times New Roman"/>
          <w:sz w:val="24"/>
          <w:szCs w:val="24"/>
        </w:rPr>
        <w:t>Закону</w:t>
      </w:r>
      <w:r w:rsidR="003E26DB">
        <w:rPr>
          <w:rFonts w:ascii="Times New Roman" w:hAnsi="Times New Roman"/>
          <w:sz w:val="24"/>
          <w:szCs w:val="24"/>
        </w:rPr>
        <w:t xml:space="preserve"> України “</w:t>
      </w:r>
      <w:r w:rsidR="007521AD">
        <w:rPr>
          <w:rFonts w:ascii="Times New Roman" w:hAnsi="Times New Roman"/>
          <w:sz w:val="24"/>
          <w:szCs w:val="24"/>
        </w:rPr>
        <w:t>П</w:t>
      </w:r>
      <w:r w:rsidR="003E26DB">
        <w:rPr>
          <w:rFonts w:ascii="Times New Roman" w:hAnsi="Times New Roman"/>
          <w:sz w:val="24"/>
          <w:szCs w:val="24"/>
        </w:rPr>
        <w:t>ро захист від субсидованого імпорту” терміни вживаються у такому значенні</w:t>
      </w:r>
      <w:r w:rsidRPr="00A97487">
        <w:rPr>
          <w:rFonts w:ascii="Times New Roman" w:hAnsi="Times New Roman"/>
          <w:sz w:val="24"/>
          <w:szCs w:val="24"/>
        </w:rPr>
        <w:t>:</w:t>
      </w:r>
    </w:p>
    <w:p w14:paraId="58BC37DD"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прямі податки — податки на заробітну плату, прибуток, процентні виплати, ренту, роялті та всі інші форми доходу, а також податки на нерухоме майно;</w:t>
      </w:r>
    </w:p>
    <w:p w14:paraId="47B8070E"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імпортні збори означає тарифи, мита, а також інші фіскальні збори, які більше ніде не перелічено в цій примітці, що справляються з імпорту;</w:t>
      </w:r>
    </w:p>
    <w:p w14:paraId="79F381E5"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непрямі податки — податки з продажу, акцизи, податки на оборот, додану вартість, франчайзинг, гербові збори, податки на переказ коштів, на товарно-матеріальні запаси і устаткування, прикордонні збори, а також усі інші податки, які не включено до прямих податків та імпортних зборів;</w:t>
      </w:r>
    </w:p>
    <w:p w14:paraId="0DCB17EB"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непрямі податки попередньої стадії — податки, що справляються з товарів та послуг, які прямо чи опосередковано використовуються у виробництві товару;</w:t>
      </w:r>
    </w:p>
    <w:p w14:paraId="4361513C"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кумулятивні непрямі податки — багатоступеневі податки, які справляються тоді, коли немає механізму подальшого кредитування податку, якщо товари або послуги, що підлягають оподаткуванню на одній стадії виробництва, використовуються на наступній стадії виробництва;</w:t>
      </w:r>
    </w:p>
    <w:p w14:paraId="077653DA"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податкові пільги — включають повернення переплачених податків або податкову знижку;</w:t>
      </w:r>
    </w:p>
    <w:p w14:paraId="617B78A2"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зменшення або повернення — включає повне чи часткове звільнення чи відстрочку від сплати імпортних зборів.</w:t>
      </w:r>
    </w:p>
    <w:p w14:paraId="58CFBFA8"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vertAlign w:val="superscript"/>
        </w:rPr>
        <w:t>3</w:t>
      </w:r>
      <w:r w:rsidRPr="00A97487">
        <w:rPr>
          <w:rFonts w:ascii="Times New Roman" w:hAnsi="Times New Roman"/>
          <w:sz w:val="24"/>
          <w:szCs w:val="24"/>
        </w:rPr>
        <w:t xml:space="preserve"> Податкова відстрочка може не </w:t>
      </w:r>
      <w:r w:rsidR="006C179F">
        <w:rPr>
          <w:rFonts w:ascii="Times New Roman" w:hAnsi="Times New Roman"/>
          <w:sz w:val="24"/>
          <w:szCs w:val="24"/>
        </w:rPr>
        <w:t>вважатися</w:t>
      </w:r>
      <w:r w:rsidRPr="00A97487">
        <w:rPr>
          <w:rFonts w:ascii="Times New Roman" w:hAnsi="Times New Roman"/>
          <w:sz w:val="24"/>
          <w:szCs w:val="24"/>
        </w:rPr>
        <w:t xml:space="preserve"> експортною субсидією, якщо, наприклад, справляється відповідний відсотковий збір.</w:t>
      </w:r>
    </w:p>
    <w:p w14:paraId="34F883F2" w14:textId="77777777" w:rsidR="00A97487" w:rsidRP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rPr>
        <w:t xml:space="preserve">Податкова відстрочка не обов’язково повинна прирівнюватися до експортної субсидії, наприклад, у тих випадках, коли справляються відповідні процентні виплати. Для податкових цілей у ролі цін на товари в господарських операціях між експортуючими підприємствами та іноземними покупцями, що знаходяться під контролем членів СОТ або під таким самим контролем, повинні використовуватися ціни, які б призначалися між незалежними одне від одного підприємствами. Будь-який член СОТ може привернути увагу іншого члена СОТ до адміністративної та іншої практики, яка може протирічити цьому принципу і яка призводить до значної економії на прямих податках при експортних операціях. За таких обставин члени СОТ повинні, як правило, намагатися розв’язати ці протиріччя, використовуючи механізм існуючих двосторонніх угод або інші спеціальні міжнародні механізми без обмеження прав і обов’язків членів СОТ за Генеральною угодою </w:t>
      </w:r>
      <w:r w:rsidR="003A2973">
        <w:rPr>
          <w:rFonts w:ascii="Times New Roman" w:hAnsi="Times New Roman"/>
          <w:sz w:val="24"/>
          <w:szCs w:val="24"/>
        </w:rPr>
        <w:t>про</w:t>
      </w:r>
      <w:r w:rsidRPr="00A97487">
        <w:rPr>
          <w:rFonts w:ascii="Times New Roman" w:hAnsi="Times New Roman"/>
          <w:sz w:val="24"/>
          <w:szCs w:val="24"/>
        </w:rPr>
        <w:t xml:space="preserve"> тариф</w:t>
      </w:r>
      <w:r w:rsidR="003A2973">
        <w:rPr>
          <w:rFonts w:ascii="Times New Roman" w:hAnsi="Times New Roman"/>
          <w:sz w:val="24"/>
          <w:szCs w:val="24"/>
        </w:rPr>
        <w:t>и</w:t>
      </w:r>
      <w:r w:rsidRPr="00A97487">
        <w:rPr>
          <w:rFonts w:ascii="Times New Roman" w:hAnsi="Times New Roman"/>
          <w:sz w:val="24"/>
          <w:szCs w:val="24"/>
        </w:rPr>
        <w:t xml:space="preserve"> </w:t>
      </w:r>
      <w:r w:rsidR="003A2973">
        <w:rPr>
          <w:rFonts w:ascii="Times New Roman" w:hAnsi="Times New Roman"/>
          <w:sz w:val="24"/>
          <w:szCs w:val="24"/>
        </w:rPr>
        <w:t>й</w:t>
      </w:r>
      <w:r w:rsidRPr="00A97487">
        <w:rPr>
          <w:rFonts w:ascii="Times New Roman" w:hAnsi="Times New Roman"/>
          <w:sz w:val="24"/>
          <w:szCs w:val="24"/>
        </w:rPr>
        <w:t xml:space="preserve"> торгівл</w:t>
      </w:r>
      <w:r w:rsidR="003A2973">
        <w:rPr>
          <w:rFonts w:ascii="Times New Roman" w:hAnsi="Times New Roman"/>
          <w:sz w:val="24"/>
          <w:szCs w:val="24"/>
        </w:rPr>
        <w:t>ю</w:t>
      </w:r>
      <w:r w:rsidRPr="00A97487">
        <w:rPr>
          <w:rFonts w:ascii="Times New Roman" w:hAnsi="Times New Roman"/>
          <w:sz w:val="24"/>
          <w:szCs w:val="24"/>
        </w:rPr>
        <w:t xml:space="preserve"> 1994 року, у тому числі п</w:t>
      </w:r>
      <w:r w:rsidR="00072F78">
        <w:rPr>
          <w:rFonts w:ascii="Times New Roman" w:hAnsi="Times New Roman"/>
          <w:sz w:val="24"/>
          <w:szCs w:val="24"/>
        </w:rPr>
        <w:t>раво на консультацію. Параграф “</w:t>
      </w:r>
      <w:r w:rsidRPr="00A97487">
        <w:rPr>
          <w:rFonts w:ascii="Times New Roman" w:hAnsi="Times New Roman"/>
          <w:sz w:val="24"/>
          <w:szCs w:val="24"/>
        </w:rPr>
        <w:t>e</w:t>
      </w:r>
      <w:r w:rsidR="00072F78">
        <w:rPr>
          <w:rFonts w:ascii="Times New Roman" w:hAnsi="Times New Roman"/>
          <w:sz w:val="24"/>
          <w:szCs w:val="24"/>
        </w:rPr>
        <w:t>”</w:t>
      </w:r>
      <w:r w:rsidRPr="00A97487">
        <w:rPr>
          <w:rFonts w:ascii="Times New Roman" w:hAnsi="Times New Roman"/>
          <w:sz w:val="24"/>
          <w:szCs w:val="24"/>
        </w:rPr>
        <w:t xml:space="preserve"> не має на меті обмеження можливості членів СОТ застосовувати заходи щодо уникнення подвійного оподаткування доходів з іноземних джерел, які отримують його підприємства або підприємства іншого члена СОТ.</w:t>
      </w:r>
    </w:p>
    <w:p w14:paraId="3CEAB4AE" w14:textId="6FAE6753" w:rsidR="00A97487" w:rsidRDefault="00A97487" w:rsidP="006168E4">
      <w:pPr>
        <w:pStyle w:val="a4"/>
        <w:spacing w:before="0"/>
        <w:jc w:val="both"/>
        <w:rPr>
          <w:rFonts w:ascii="Times New Roman" w:hAnsi="Times New Roman"/>
          <w:sz w:val="24"/>
          <w:szCs w:val="24"/>
        </w:rPr>
      </w:pPr>
      <w:r w:rsidRPr="00A97487">
        <w:rPr>
          <w:rFonts w:ascii="Times New Roman" w:hAnsi="Times New Roman"/>
          <w:sz w:val="24"/>
          <w:szCs w:val="24"/>
          <w:vertAlign w:val="superscript"/>
        </w:rPr>
        <w:t>4</w:t>
      </w:r>
      <w:r w:rsidRPr="00A97487">
        <w:rPr>
          <w:rFonts w:ascii="Times New Roman" w:hAnsi="Times New Roman"/>
          <w:sz w:val="24"/>
          <w:szCs w:val="24"/>
        </w:rPr>
        <w:t xml:space="preserve"> Пункт “ж” не застосовується до систем нарахування ПДВ та коригувань податків на кордоні, які заміняють собою систему справляння ПДВ; проблема надмірного розміру відшкодування ПДВ розглядається виключно у пункті “є”.</w:t>
      </w:r>
    </w:p>
    <w:p w14:paraId="10BEBE5C" w14:textId="6DD429CD" w:rsidR="00CB5621" w:rsidRDefault="00CB5621" w:rsidP="006168E4">
      <w:pPr>
        <w:pStyle w:val="a4"/>
        <w:spacing w:before="0"/>
        <w:jc w:val="both"/>
        <w:rPr>
          <w:rFonts w:ascii="Times New Roman" w:hAnsi="Times New Roman"/>
          <w:sz w:val="24"/>
          <w:szCs w:val="24"/>
        </w:rPr>
      </w:pPr>
    </w:p>
    <w:p w14:paraId="7F548F49" w14:textId="77777777" w:rsidR="006168E4" w:rsidRDefault="006168E4" w:rsidP="006168E4">
      <w:pPr>
        <w:pStyle w:val="a4"/>
        <w:spacing w:before="0"/>
        <w:jc w:val="both"/>
        <w:rPr>
          <w:rFonts w:ascii="Times New Roman" w:hAnsi="Times New Roman"/>
          <w:sz w:val="24"/>
          <w:szCs w:val="24"/>
        </w:rPr>
      </w:pPr>
    </w:p>
    <w:p w14:paraId="1F13E2A4" w14:textId="01EA366B" w:rsidR="00CB5621" w:rsidRPr="00CB5621" w:rsidRDefault="00CB5621" w:rsidP="006168E4">
      <w:pPr>
        <w:pStyle w:val="a4"/>
        <w:spacing w:before="0"/>
        <w:jc w:val="both"/>
        <w:rPr>
          <w:rFonts w:ascii="Times New Roman" w:hAnsi="Times New Roman"/>
          <w:b/>
          <w:bCs/>
          <w:sz w:val="28"/>
          <w:szCs w:val="28"/>
        </w:rPr>
      </w:pPr>
      <w:r w:rsidRPr="00CB5621">
        <w:rPr>
          <w:rFonts w:ascii="Times New Roman" w:hAnsi="Times New Roman" w:hint="eastAsia"/>
          <w:b/>
          <w:bCs/>
          <w:sz w:val="28"/>
          <w:szCs w:val="28"/>
        </w:rPr>
        <w:t>Народні</w:t>
      </w:r>
      <w:r w:rsidRPr="00CB5621">
        <w:rPr>
          <w:rFonts w:ascii="Times New Roman" w:hAnsi="Times New Roman"/>
          <w:b/>
          <w:bCs/>
          <w:sz w:val="28"/>
          <w:szCs w:val="28"/>
        </w:rPr>
        <w:t xml:space="preserve"> </w:t>
      </w:r>
      <w:r w:rsidRPr="00CB5621">
        <w:rPr>
          <w:rFonts w:ascii="Times New Roman" w:hAnsi="Times New Roman" w:hint="eastAsia"/>
          <w:b/>
          <w:bCs/>
          <w:sz w:val="28"/>
          <w:szCs w:val="28"/>
        </w:rPr>
        <w:t>депутати</w:t>
      </w:r>
      <w:r w:rsidRPr="00CB5621">
        <w:rPr>
          <w:rFonts w:ascii="Times New Roman" w:hAnsi="Times New Roman"/>
          <w:b/>
          <w:bCs/>
          <w:sz w:val="28"/>
          <w:szCs w:val="28"/>
        </w:rPr>
        <w:t xml:space="preserve"> </w:t>
      </w:r>
      <w:r w:rsidRPr="00CB5621">
        <w:rPr>
          <w:rFonts w:ascii="Times New Roman" w:hAnsi="Times New Roman" w:hint="eastAsia"/>
          <w:b/>
          <w:bCs/>
          <w:sz w:val="28"/>
          <w:szCs w:val="28"/>
        </w:rPr>
        <w:t>України</w:t>
      </w:r>
      <w:r w:rsidRPr="00CB5621">
        <w:rPr>
          <w:rFonts w:ascii="Times New Roman" w:hAnsi="Times New Roman"/>
          <w:b/>
          <w:bCs/>
          <w:sz w:val="28"/>
          <w:szCs w:val="28"/>
        </w:rPr>
        <w:t xml:space="preserve">                   </w:t>
      </w:r>
      <w:r>
        <w:rPr>
          <w:rFonts w:ascii="Times New Roman" w:hAnsi="Times New Roman"/>
          <w:b/>
          <w:bCs/>
          <w:sz w:val="28"/>
          <w:szCs w:val="28"/>
        </w:rPr>
        <w:t xml:space="preserve">          </w:t>
      </w:r>
      <w:r w:rsidRPr="00CB5621">
        <w:rPr>
          <w:rFonts w:ascii="Times New Roman" w:hAnsi="Times New Roman"/>
          <w:b/>
          <w:bCs/>
          <w:sz w:val="28"/>
          <w:szCs w:val="28"/>
        </w:rPr>
        <w:t xml:space="preserve">   </w:t>
      </w:r>
    </w:p>
    <w:sectPr w:rsidR="00CB5621" w:rsidRPr="00CB5621" w:rsidSect="006168E4">
      <w:headerReference w:type="even" r:id="rId9"/>
      <w:headerReference w:type="default" r:id="rId10"/>
      <w:pgSz w:w="11906" w:h="16838" w:code="9"/>
      <w:pgMar w:top="1134" w:right="851" w:bottom="1134"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4D7D" w14:textId="77777777" w:rsidR="00062613" w:rsidRDefault="00062613">
      <w:r>
        <w:separator/>
      </w:r>
    </w:p>
  </w:endnote>
  <w:endnote w:type="continuationSeparator" w:id="0">
    <w:p w14:paraId="3668264B" w14:textId="77777777" w:rsidR="00062613" w:rsidRDefault="0006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4131" w14:textId="77777777" w:rsidR="00062613" w:rsidRDefault="00062613">
      <w:r>
        <w:separator/>
      </w:r>
    </w:p>
  </w:footnote>
  <w:footnote w:type="continuationSeparator" w:id="0">
    <w:p w14:paraId="6AF20B99" w14:textId="77777777" w:rsidR="00062613" w:rsidRDefault="0006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47FE"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4D9A4EE"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D143" w14:textId="354F1068" w:rsidR="00210F96" w:rsidRDefault="00210F96">
    <w:pPr>
      <w:framePr w:wrap="around" w:vAnchor="text" w:hAnchor="margin" w:xAlign="center" w:y="1"/>
    </w:pPr>
    <w:r>
      <w:fldChar w:fldCharType="begin"/>
    </w:r>
    <w:r>
      <w:instrText xml:space="preserve">PAGE  </w:instrText>
    </w:r>
    <w:r>
      <w:fldChar w:fldCharType="separate"/>
    </w:r>
    <w:r w:rsidR="003137DD">
      <w:rPr>
        <w:noProof/>
      </w:rPr>
      <w:t>2</w:t>
    </w:r>
    <w:r>
      <w:fldChar w:fldCharType="end"/>
    </w:r>
  </w:p>
  <w:p w14:paraId="1E6FC172" w14:textId="77777777" w:rsidR="00210F96" w:rsidRDefault="00210F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62613"/>
    <w:rsid w:val="00072F78"/>
    <w:rsid w:val="00122DF4"/>
    <w:rsid w:val="001402CE"/>
    <w:rsid w:val="00196E6F"/>
    <w:rsid w:val="001A5377"/>
    <w:rsid w:val="001A5FC5"/>
    <w:rsid w:val="00210F96"/>
    <w:rsid w:val="00256302"/>
    <w:rsid w:val="002777ED"/>
    <w:rsid w:val="002A0547"/>
    <w:rsid w:val="002A1D2A"/>
    <w:rsid w:val="002B361F"/>
    <w:rsid w:val="002D4F1C"/>
    <w:rsid w:val="002F0E37"/>
    <w:rsid w:val="002F47E4"/>
    <w:rsid w:val="003137DD"/>
    <w:rsid w:val="00323DF5"/>
    <w:rsid w:val="0034086A"/>
    <w:rsid w:val="003A2973"/>
    <w:rsid w:val="003B05BC"/>
    <w:rsid w:val="003D71F4"/>
    <w:rsid w:val="003E26DB"/>
    <w:rsid w:val="00430FCF"/>
    <w:rsid w:val="00453A89"/>
    <w:rsid w:val="00484DA3"/>
    <w:rsid w:val="004D218D"/>
    <w:rsid w:val="005839BC"/>
    <w:rsid w:val="006168E4"/>
    <w:rsid w:val="006C179F"/>
    <w:rsid w:val="006F1236"/>
    <w:rsid w:val="007521AD"/>
    <w:rsid w:val="00770D1B"/>
    <w:rsid w:val="007A158E"/>
    <w:rsid w:val="007B1E97"/>
    <w:rsid w:val="007B4C49"/>
    <w:rsid w:val="007E1D9F"/>
    <w:rsid w:val="0088655F"/>
    <w:rsid w:val="008A575B"/>
    <w:rsid w:val="008B7062"/>
    <w:rsid w:val="00944546"/>
    <w:rsid w:val="00965E10"/>
    <w:rsid w:val="009A1FC5"/>
    <w:rsid w:val="009D3450"/>
    <w:rsid w:val="00A63C5B"/>
    <w:rsid w:val="00A97487"/>
    <w:rsid w:val="00AF7709"/>
    <w:rsid w:val="00B339DE"/>
    <w:rsid w:val="00B62973"/>
    <w:rsid w:val="00BD5EAE"/>
    <w:rsid w:val="00BE13E7"/>
    <w:rsid w:val="00C12585"/>
    <w:rsid w:val="00C26228"/>
    <w:rsid w:val="00C728BF"/>
    <w:rsid w:val="00CB5621"/>
    <w:rsid w:val="00D01A18"/>
    <w:rsid w:val="00D15890"/>
    <w:rsid w:val="00D25371"/>
    <w:rsid w:val="00DC64C3"/>
    <w:rsid w:val="00E46CC6"/>
    <w:rsid w:val="00EA3118"/>
    <w:rsid w:val="00F2277F"/>
    <w:rsid w:val="00FA2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6EBC4"/>
  <w15:chartTrackingRefBased/>
  <w15:docId w15:val="{A34AD70C-4AE4-4CCB-880F-6C35763F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annotation reference"/>
    <w:uiPriority w:val="99"/>
    <w:semiHidden/>
    <w:unhideWhenUsed/>
    <w:rsid w:val="006C179F"/>
    <w:rPr>
      <w:sz w:val="16"/>
      <w:szCs w:val="16"/>
    </w:rPr>
  </w:style>
  <w:style w:type="paragraph" w:styleId="ae">
    <w:name w:val="annotation text"/>
    <w:basedOn w:val="a"/>
    <w:link w:val="af"/>
    <w:uiPriority w:val="99"/>
    <w:semiHidden/>
    <w:unhideWhenUsed/>
    <w:rsid w:val="006C179F"/>
    <w:rPr>
      <w:sz w:val="20"/>
    </w:rPr>
  </w:style>
  <w:style w:type="character" w:customStyle="1" w:styleId="af">
    <w:name w:val="Текст примітки Знак"/>
    <w:link w:val="ae"/>
    <w:uiPriority w:val="99"/>
    <w:semiHidden/>
    <w:rsid w:val="006C179F"/>
    <w:rPr>
      <w:rFonts w:ascii="Antiqua" w:hAnsi="Antiqua"/>
      <w:lang w:eastAsia="ru-RU"/>
    </w:rPr>
  </w:style>
  <w:style w:type="paragraph" w:styleId="af0">
    <w:name w:val="annotation subject"/>
    <w:basedOn w:val="ae"/>
    <w:next w:val="ae"/>
    <w:link w:val="af1"/>
    <w:uiPriority w:val="99"/>
    <w:semiHidden/>
    <w:unhideWhenUsed/>
    <w:rsid w:val="006C179F"/>
    <w:rPr>
      <w:b/>
      <w:bCs/>
    </w:rPr>
  </w:style>
  <w:style w:type="character" w:customStyle="1" w:styleId="af1">
    <w:name w:val="Тема примітки Знак"/>
    <w:link w:val="af0"/>
    <w:uiPriority w:val="99"/>
    <w:semiHidden/>
    <w:rsid w:val="006C179F"/>
    <w:rPr>
      <w:rFonts w:ascii="Antiqua" w:hAnsi="Antiqua"/>
      <w:b/>
      <w:bCs/>
      <w:lang w:eastAsia="ru-RU"/>
    </w:rPr>
  </w:style>
  <w:style w:type="paragraph" w:styleId="af2">
    <w:name w:val="Balloon Text"/>
    <w:basedOn w:val="a"/>
    <w:link w:val="af3"/>
    <w:uiPriority w:val="99"/>
    <w:semiHidden/>
    <w:unhideWhenUsed/>
    <w:rsid w:val="006C179F"/>
    <w:rPr>
      <w:rFonts w:ascii="Segoe UI" w:hAnsi="Segoe UI" w:cs="Segoe UI"/>
      <w:sz w:val="18"/>
      <w:szCs w:val="18"/>
    </w:rPr>
  </w:style>
  <w:style w:type="character" w:customStyle="1" w:styleId="af3">
    <w:name w:val="Текст у виносці Знак"/>
    <w:link w:val="af2"/>
    <w:uiPriority w:val="99"/>
    <w:semiHidden/>
    <w:rsid w:val="006C179F"/>
    <w:rPr>
      <w:rFonts w:ascii="Segoe UI" w:hAnsi="Segoe UI" w:cs="Segoe UI"/>
      <w:sz w:val="18"/>
      <w:szCs w:val="18"/>
      <w:lang w:eastAsia="ru-RU"/>
    </w:rPr>
  </w:style>
  <w:style w:type="paragraph" w:styleId="af4">
    <w:name w:val="Revision"/>
    <w:hidden/>
    <w:uiPriority w:val="99"/>
    <w:semiHidden/>
    <w:rsid w:val="006C179F"/>
    <w:rPr>
      <w:rFonts w:ascii="Antiqua" w:hAnsi="Antiqua"/>
      <w:sz w:val="26"/>
      <w:lang w:eastAsia="ru-RU"/>
    </w:rPr>
  </w:style>
  <w:style w:type="paragraph" w:styleId="HTML">
    <w:name w:val="HTML Preformatted"/>
    <w:basedOn w:val="a"/>
    <w:link w:val="HTML0"/>
    <w:uiPriority w:val="99"/>
    <w:semiHidden/>
    <w:unhideWhenUsed/>
    <w:rsid w:val="006C179F"/>
    <w:rPr>
      <w:rFonts w:ascii="Courier New" w:hAnsi="Courier New" w:cs="Courier New"/>
      <w:sz w:val="20"/>
    </w:rPr>
  </w:style>
  <w:style w:type="character" w:customStyle="1" w:styleId="HTML0">
    <w:name w:val="Стандартний HTML Знак"/>
    <w:link w:val="HTML"/>
    <w:uiPriority w:val="99"/>
    <w:semiHidden/>
    <w:rsid w:val="006C179F"/>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4216">
      <w:bodyDiv w:val="1"/>
      <w:marLeft w:val="0"/>
      <w:marRight w:val="0"/>
      <w:marTop w:val="0"/>
      <w:marBottom w:val="0"/>
      <w:divBdr>
        <w:top w:val="none" w:sz="0" w:space="0" w:color="auto"/>
        <w:left w:val="none" w:sz="0" w:space="0" w:color="auto"/>
        <w:bottom w:val="none" w:sz="0" w:space="0" w:color="auto"/>
        <w:right w:val="none" w:sz="0" w:space="0" w:color="auto"/>
      </w:divBdr>
    </w:div>
    <w:div w:id="12900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869C3-A80F-460A-9D57-D0EE3A4DAD74}">
  <ds:schemaRefs>
    <ds:schemaRef ds:uri="http://schemas.microsoft.com/sharepoint/v3/contenttype/forms"/>
  </ds:schemaRefs>
</ds:datastoreItem>
</file>

<file path=customXml/itemProps2.xml><?xml version="1.0" encoding="utf-8"?>
<ds:datastoreItem xmlns:ds="http://schemas.openxmlformats.org/officeDocument/2006/customXml" ds:itemID="{08187F85-8E23-4281-8B76-2A839B65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BEF85-39AE-4A1C-A723-43B323208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5522</Words>
  <Characters>3149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2020-09-21T08:04:00Z</dcterms:created>
  <dcterms:modified xsi:type="dcterms:W3CDTF">2020-09-21T08:04:00Z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