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8" w:rsidRDefault="00D67348" w:rsidP="00D67348">
      <w:pPr>
        <w:ind w:firstLine="720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D67348" w:rsidRPr="00D67348" w:rsidRDefault="00D67348" w:rsidP="00D67348">
      <w:pPr>
        <w:ind w:firstLine="720"/>
        <w:jc w:val="right"/>
        <w:rPr>
          <w:sz w:val="28"/>
          <w:lang w:val="ru-RU"/>
        </w:rPr>
      </w:pPr>
      <w:r>
        <w:rPr>
          <w:sz w:val="28"/>
          <w:lang w:val="ru-RU"/>
        </w:rPr>
        <w:t>(тираж 15.03.2021)</w:t>
      </w:r>
    </w:p>
    <w:p w:rsidR="00D67348" w:rsidRPr="00D67348" w:rsidRDefault="00D67348" w:rsidP="00D67348">
      <w:pPr>
        <w:ind w:firstLine="720"/>
        <w:jc w:val="center"/>
        <w:rPr>
          <w:sz w:val="28"/>
        </w:rPr>
      </w:pPr>
      <w:r w:rsidRPr="00D67348">
        <w:rPr>
          <w:sz w:val="28"/>
        </w:rPr>
        <w:t>ЗАКОН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</w:p>
    <w:p w:rsidR="00D67348" w:rsidRDefault="00D67348" w:rsidP="00D67348">
      <w:pPr>
        <w:ind w:firstLine="720"/>
        <w:jc w:val="center"/>
        <w:rPr>
          <w:sz w:val="28"/>
        </w:rPr>
      </w:pP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внесення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"Про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культуру"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загальних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</w:p>
    <w:p w:rsidR="00D67348" w:rsidRPr="00D67348" w:rsidRDefault="00D67348" w:rsidP="00D67348">
      <w:pPr>
        <w:ind w:firstLine="720"/>
        <w:jc w:val="center"/>
        <w:rPr>
          <w:sz w:val="28"/>
        </w:rPr>
      </w:pP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Верховна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постановляє</w:t>
      </w:r>
      <w:r w:rsidRPr="00D67348">
        <w:rPr>
          <w:b/>
          <w:sz w:val="28"/>
        </w:rPr>
        <w:t>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І.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Внести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"Про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культуру"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(Відомості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2011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р.,</w:t>
      </w:r>
      <w:r w:rsidRPr="00D67348">
        <w:rPr>
          <w:sz w:val="28"/>
        </w:rPr>
        <w:t xml:space="preserve"> </w:t>
      </w:r>
      <w:r w:rsidRPr="00D67348">
        <w:rPr>
          <w:sz w:val="28"/>
        </w:rPr>
        <w:t>№</w:t>
      </w:r>
      <w:r w:rsidRPr="00D67348">
        <w:rPr>
          <w:sz w:val="28"/>
        </w:rPr>
        <w:t xml:space="preserve"> </w:t>
      </w:r>
      <w:r w:rsidRPr="00D67348">
        <w:rPr>
          <w:sz w:val="28"/>
        </w:rPr>
        <w:t>24,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ст.</w:t>
      </w:r>
      <w:r w:rsidRPr="00D67348">
        <w:rPr>
          <w:sz w:val="28"/>
        </w:rPr>
        <w:t xml:space="preserve"> </w:t>
      </w:r>
      <w:r w:rsidRPr="00D67348">
        <w:rPr>
          <w:sz w:val="28"/>
        </w:rPr>
        <w:t>168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наступними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змінами)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зміни: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1: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1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комплекс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підприємств,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спрямована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створення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умов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забезпечення: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людини,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професійної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художньо-творчої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особистості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отримання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кваліфікацій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різних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видах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мистецтва;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підготовки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кадрів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збирання,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збереження,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використання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поширення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матеріальні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духовні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цінності,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наукові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розробки;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цілісності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простору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надбання;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дотримання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1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,</w:t>
      </w:r>
      <w:r w:rsidRPr="00D67348">
        <w:rPr>
          <w:sz w:val="28"/>
        </w:rPr>
        <w:t xml:space="preserve"> </w:t>
      </w:r>
      <w:r w:rsidRPr="00D67348">
        <w:rPr>
          <w:sz w:val="28"/>
        </w:rPr>
        <w:t>3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,</w:t>
      </w:r>
      <w:r w:rsidRPr="00D67348">
        <w:rPr>
          <w:sz w:val="28"/>
        </w:rPr>
        <w:t xml:space="preserve"> </w:t>
      </w:r>
      <w:r w:rsidRPr="00D67348">
        <w:rPr>
          <w:sz w:val="28"/>
        </w:rPr>
        <w:t>5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,</w:t>
      </w:r>
      <w:r w:rsidRPr="00D67348">
        <w:rPr>
          <w:sz w:val="28"/>
        </w:rPr>
        <w:t xml:space="preserve"> </w:t>
      </w:r>
      <w:r w:rsidRPr="00D67348">
        <w:rPr>
          <w:sz w:val="28"/>
        </w:rPr>
        <w:t>6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  <w:vertAlign w:val="superscript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"1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набір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перелік,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обсяг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обов’язково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надаватися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жителям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читання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музейних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предметів,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кінофільмів,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можливостей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самовираження,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"3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нормативно-правова,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регуляторна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(адміністративна,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економічна,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фінансова)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публічна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спрямована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пріоритетів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суспільного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"5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юридична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особа,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здобуття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та/або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підготовку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кадрів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"6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фізичних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та/або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юридичних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осіб,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провадять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спрямовані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задоволення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інтелектуальних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</w:t>
      </w:r>
      <w:r w:rsidRPr="00D67348">
        <w:rPr>
          <w:sz w:val="28"/>
        </w:rPr>
        <w:t xml:space="preserve"> </w:t>
      </w:r>
      <w:r w:rsidRPr="00D67348">
        <w:rPr>
          <w:sz w:val="28"/>
        </w:rPr>
        <w:t>людини,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духовного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особистості,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визначену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вартість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споживаються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процесі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(виконання)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дій";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зв’язку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5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,</w:t>
      </w:r>
      <w:r w:rsidRPr="00D67348">
        <w:rPr>
          <w:sz w:val="28"/>
        </w:rPr>
        <w:t xml:space="preserve"> </w:t>
      </w:r>
      <w:r w:rsidRPr="00D67348">
        <w:rPr>
          <w:sz w:val="28"/>
        </w:rPr>
        <w:t>5</w:t>
      </w:r>
      <w:r w:rsidRPr="00D67348">
        <w:rPr>
          <w:sz w:val="28"/>
          <w:vertAlign w:val="superscript"/>
        </w:rPr>
        <w:t>2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вважати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5</w:t>
      </w:r>
      <w:r w:rsidRPr="00D67348">
        <w:rPr>
          <w:sz w:val="28"/>
          <w:vertAlign w:val="superscript"/>
        </w:rPr>
        <w:t>2</w:t>
      </w:r>
      <w:r w:rsidRPr="00D67348">
        <w:rPr>
          <w:sz w:val="28"/>
        </w:rPr>
        <w:t>,</w:t>
      </w:r>
      <w:r w:rsidRPr="00D67348">
        <w:rPr>
          <w:sz w:val="28"/>
        </w:rPr>
        <w:t xml:space="preserve"> </w:t>
      </w:r>
      <w:r w:rsidRPr="00D67348">
        <w:rPr>
          <w:sz w:val="28"/>
        </w:rPr>
        <w:t>5</w:t>
      </w:r>
      <w:r w:rsidRPr="00D67348">
        <w:rPr>
          <w:sz w:val="28"/>
          <w:vertAlign w:val="superscript"/>
        </w:rPr>
        <w:t>3</w:t>
      </w:r>
      <w:r w:rsidRPr="00D67348">
        <w:rPr>
          <w:sz w:val="28"/>
        </w:rPr>
        <w:t>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10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виключити;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4)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11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  <w:vertAlign w:val="superscript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"11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спеціалізована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5)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21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"21)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створення,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інтерпретації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творів".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десятий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1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2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науково-методичного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3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4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"Стаття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Основні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Основними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засадами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є: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визнання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основних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факторів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самобутності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Українського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народу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всіх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національностей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(далі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Український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народ);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сприяння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створенню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єдиного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простору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збереженню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цілісності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захист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збереження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спадщини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цінностей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основи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турбота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сприяння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утвердженню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гуманістичних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ідей,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високих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моральних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суспільному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житті;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свободи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самовираження,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захист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інтелектуальної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авторського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суміжних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гарантування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кожного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якісних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інклюзивність;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створення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умов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особистості,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підвищення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естетичного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виховання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задоволення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Українського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народу,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незалежно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залучення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інвестицій,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коштів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платних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благодійної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заборонених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джерел;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сприяння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професійних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спілок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громадських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активному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функціонуванню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мови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просторі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благ;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визначення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естетичного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виховання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дітей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юнацтва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пріоритетом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підтримка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пов'язаної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виготовленням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розповсюдженням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електронних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друкованих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засобів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масової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аудіо-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аудіовізуальної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продукції,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розробленням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комп'ютерних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технологій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підвищенням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потенціалу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розширення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залучення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громадськості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тощо;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пропагування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української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всій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різноманітності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кордоном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світового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надбання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Україні;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підтримка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вітчизняного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виробника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стимулювання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креативних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індустрій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вироблення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конкурентоспроможного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креативного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продукту;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міжнародного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співробітництва;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страхового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фонду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документації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цінності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документів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об'єкти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спадщини.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Стаття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4.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Пріоритети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Пріоритетами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є: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розвиток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української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корінних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народів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меншин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актуалізація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ролі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системи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цінностей,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ресурсу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сталого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консолідації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суспільства;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посилення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освітнього,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інноваційного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комунікаційного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потенціалу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охорона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спадщини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цінностей,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збереження,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відтворення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охорона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традиційного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характеру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середовища;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естетичне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виховання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передусім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дітей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юнацтва;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розвиток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кадрове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автономія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розширення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модернізація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інфраструктури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села;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охорона,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заохочення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підтримка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розмаїття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найважливіших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чинників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сталого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економічна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(фінансова),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(фізична),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інформаційна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якісних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кожного;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створення,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виробництво,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тиражування,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розповсюдження,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демонстрування,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споживання,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популяризація,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збереження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використання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благ;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розвиток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державно-приватного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партнерства,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залучення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інвестицій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проведення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досліджень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підвищення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престижності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суспільстві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професій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розвиток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креативних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індустрій.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Пріоритети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визначаються: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стратегіями,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концепціями,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програмами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розробляються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згідно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щорічним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Президента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внутрішнє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зовнішнє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становище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програмами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схваленими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враховуються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аспекти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завданнями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визначеними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планами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пріоритетних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Пріоритети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враховуються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програмах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соціально-економічного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адміністративно-територіальних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одиниць.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Стратегію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план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заходів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ґрунтуються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принципах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послідовності,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наступництва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безперервності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один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п’ять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років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поданням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4.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статтями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4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  <w:vertAlign w:val="superscript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4</w:t>
      </w:r>
      <w:r w:rsidRPr="00D67348">
        <w:rPr>
          <w:sz w:val="28"/>
          <w:vertAlign w:val="superscript"/>
        </w:rPr>
        <w:t>2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"Стаття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4</w:t>
      </w:r>
      <w:r w:rsidRPr="00D67348">
        <w:rPr>
          <w:sz w:val="28"/>
          <w:vertAlign w:val="superscript"/>
        </w:rPr>
        <w:t>1</w:t>
      </w:r>
      <w:r w:rsidRPr="00D67348">
        <w:rPr>
          <w:sz w:val="28"/>
        </w:rPr>
        <w:t>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Моніторинг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Моніторинг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(далі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моніторинг)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система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регулярного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спостереження,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прогнозу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динаміки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кількісних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якісних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Моніторинг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здійснюється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шляхом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збирання,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передавання,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систематизації,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збереження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аналізу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прогнозування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розроблення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рекомендацій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інформаційно-аналітичного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управління,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прийняття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рішень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запобігання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негативним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змінам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засадах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сталого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Джерелами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даних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моніторингу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статистична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адміністративні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дані,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соціологічних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досліджень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тощо.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вимірювання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прямих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ефектів,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результативності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наслідків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програм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проектів,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впливу,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також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рекомендацій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прийняття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управлінських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рішень.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Суб’єктами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моніторингу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є: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адміністративно-територіальної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одиниці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загальнодержавному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реалізують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Порядок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методику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здійснення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моніторингу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Стаття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4</w:t>
      </w:r>
      <w:r w:rsidRPr="00D67348">
        <w:rPr>
          <w:sz w:val="28"/>
          <w:vertAlign w:val="superscript"/>
        </w:rPr>
        <w:t>2</w:t>
      </w:r>
      <w:r w:rsidRPr="00D67348">
        <w:rPr>
          <w:sz w:val="28"/>
        </w:rPr>
        <w:t>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Мінімальні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стандарти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послугами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Мінімальні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стандарти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визначають: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базовий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набір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вимоги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ресурсного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набору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показники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критерії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Доступність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економічною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(фінансовою),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територіальною,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фізичною,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інформаційною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доступністю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необхідному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споживача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вигляді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урахуванням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зручного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отримувача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Якість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сукупністю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властивостей,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характеризують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процес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результат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обумовлюють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здатність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задовольнити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отримувача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Мінімальні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стандарти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послугами,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методику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розрахунку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собівартості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набору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комунальними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Показники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критерії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оцінювання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5.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десятий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6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"здобуття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6.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8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дошкільного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віку,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учні,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студенти,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пенсіонери,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особи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інвалідністю,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категорії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визначені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законом,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відвідування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здобуття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пільгових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умовах,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передбачених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7.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третю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9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гарантується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можливість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утворення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різних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видами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-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театрів,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концертних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філармоній,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продюсерських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агентств,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професійних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колективів,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кіностудій,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кіно-,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відеопрокатних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видавництв,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музеїв,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архівів,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заповідників,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художніх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галерей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(виставок),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бібліотек,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клубних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студій,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кінотеатрів,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цирків,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парків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відпочинку,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архітектурних,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дизайнерських,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рекламних,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реставраційних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майстерень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тощо".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8.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12: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першій: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"створення,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тиражування,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поширення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(розповсюдження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шляхом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продажу,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публічної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демонстрації,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публічного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показу,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публічного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lastRenderedPageBreak/>
        <w:t>сповіщення,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тощо)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популяризація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літератури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мистецтва";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шостим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сьомим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"вироблення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креативного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продукту;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навчання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різним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видам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підготовка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кадрів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дев’ятий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також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підприємства,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всіх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статути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(положення)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передбачають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провадження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9.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третю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14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  <w:r w:rsidRPr="00D67348">
        <w:rPr>
          <w:sz w:val="28"/>
        </w:rPr>
        <w:t xml:space="preserve"> </w:t>
      </w:r>
      <w:r w:rsidRPr="00D67348">
        <w:rPr>
          <w:sz w:val="28"/>
        </w:rPr>
        <w:t>"3.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випадках,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встановлених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законом,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стратегії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фінансова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підтримка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суспільно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важливих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культурно-мистецьких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заходів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здійснюється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реалізують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закону".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10.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19: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різних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організаційно-правових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господарювання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власності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утворюються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провадять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цілей,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передбачених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їхніми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статутами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(положеннями)";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виключити.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22: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четвертим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набір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враховуючи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усіх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категорій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третю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дотриманням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вимог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нормативів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обслуговування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передбачених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"Про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стандарти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гарантії",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мінімальних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стандартів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послугами.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Виключення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допускається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умови,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забезпечить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межах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дотриманням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вимог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погодженням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Порядок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Існуючі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автоматично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включаються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перспективи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напрями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системного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методичного,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навчально-методичного,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науково-методичного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супроводу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актуалізації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професійного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педагогічних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працівників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виходячи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регіонів/населених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можуть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утворювати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методичні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установи/методичні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відділи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Типове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положення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методичну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установу/методичний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відділ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четверту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виключити.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23: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загальнодержавного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належать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числі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(бібліотеки,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музеї,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архіви,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галереї,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заповідники,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цирки,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театри,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філармонії,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музичні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колективи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ансамблі,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культурно-інформаційні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культурно-просвітницькі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кіностудії,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художні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галереї,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виставки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(загальнодержавного)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значення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тощо),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школи,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ліцеї,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фахові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коледжі,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вищої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освіти).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належать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(бібліотеки,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музеї,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галереї,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заповідники,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виставкові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зали,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театри,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філармонії,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концертні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колективи,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кінотеатри,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кіновідеопрокатні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підприємства,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об'єднання,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палаци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будинки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клубні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студії,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народної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народної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парки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відпочинку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тощо),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школи,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ліцеї,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фахові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коледжі,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вищої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освіти).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наближення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проживання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громадян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можуть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утворюватися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філії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третьою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четвертою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Переліки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затверджують: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загальнодержавного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управління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належать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Центральний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підставі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отриманих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самоврядування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переліків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освіти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складає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підтримує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актуальному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зведений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перелік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включених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оприлюднює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його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своєму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офіційному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веб-сайті.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4.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створення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умов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послугами,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раціонального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ефективного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використання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наявних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ресурсів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матеріально-технічної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мережі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рівня,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модернізації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рішенням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спільним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рішенням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суміжних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може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бути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утворений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Центр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багатофункціональний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зручне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розташування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відвідування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жителями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громади/суміжних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кваліфікованими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кадрами,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сучасну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матеріально-технічну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спроможний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забезпечувати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комплексу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консультаційної,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інформаційної,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допомоги,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доступ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користування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приміщеннями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обладнанням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творчості,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неформального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навчання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спілкування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жителів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урахуванням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чисельності,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вікового,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статевого,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національного,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соціального,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професійного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складу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мінімальних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стандартів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населення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послугами.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Напрями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роботи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згідно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потребами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інтересами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жителів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громади/суміжних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територіальних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громад.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Методичні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рекомендації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функціонування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затверджує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24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виключити.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14.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статті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26: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назву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"Стаття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26.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Фінансово-господарська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першій: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абзаци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третій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шостий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замінити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шістьма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новими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"кошти,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надходять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господарської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кошти,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одержані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платних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згідно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основною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діяльністю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доходи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реалізації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установленому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порядку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майна,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оренду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майна;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кошти,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одержані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роботи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(послуги),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(надані)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замовлення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підприємств,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фізичних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осіб;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благодійні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внески,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добровільні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пожертвування,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дарунки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вигляді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коштів,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матеріальних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цінностей,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нематеріальних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активів,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одержані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фізичних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юридичних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осіб;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гранти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вітчизняних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міжнародних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організацій".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зв’язку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сьомий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дванадцятий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вважати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відповідно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дев’ятим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–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чотирнадцятим;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чотирнадцятий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разі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одержання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комунальними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коштів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платних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коштів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джерел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заборонених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бюджетні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асигнування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зменшуються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протягом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бюджетного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періоду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підлягають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вилученню,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крім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випадків,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передбачених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законом";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абзацом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п'ятнадцятим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"Державні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комунальні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право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самостійно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розпоряджатися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надходженнями,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одержаними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від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платних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джерел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заборонених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метою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провадження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передбаченої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установчими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документами";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абзац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другої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викласти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редакції: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"Приватні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заклади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фінансуються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засновниками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рахунок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джерел,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заборонених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законодавством";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4)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доповнити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частиною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третьою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змісту: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"3.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набору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здійснюється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рахунок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коштів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та/або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місцевих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бюджетів,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також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інших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джерел,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заборонених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законодавством".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ІІ.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Прикінцеві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положення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1.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набирає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чинності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через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шість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місяців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його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опублікування,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крім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пункту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2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цього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розділу,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набирає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чинності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його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опублікування.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2.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Кабінету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Міністрів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України: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1)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введення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нормативно-правових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актів,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випливають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цього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одночасно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набранням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ним</w:t>
      </w:r>
      <w:r w:rsidRPr="00D67348">
        <w:rPr>
          <w:sz w:val="28"/>
        </w:rPr>
        <w:t xml:space="preserve"> </w:t>
      </w:r>
      <w:r w:rsidRPr="00D67348">
        <w:rPr>
          <w:sz w:val="28"/>
        </w:rPr>
        <w:t>чинності;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2)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підготувати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пропозиції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запровадження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субвенції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бюджету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для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фінансування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надання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базового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набору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послуг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внести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їх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розгляд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3)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вжити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заходів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утворення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бюджетної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належить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управління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центрального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органу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виконавчої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влади,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що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забезпечує</w:t>
      </w:r>
      <w:r w:rsidRPr="00D67348">
        <w:rPr>
          <w:sz w:val="28"/>
        </w:rPr>
        <w:t xml:space="preserve"> </w:t>
      </w:r>
      <w:r w:rsidRPr="00D67348">
        <w:rPr>
          <w:sz w:val="28"/>
        </w:rPr>
        <w:t>формування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державної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політики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сферах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культури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мистецтв,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сприяння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розвитку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креативних</w:t>
      </w:r>
      <w:r w:rsidRPr="00D67348">
        <w:rPr>
          <w:sz w:val="28"/>
        </w:rPr>
        <w:t xml:space="preserve"> </w:t>
      </w:r>
      <w:r w:rsidRPr="00D67348">
        <w:rPr>
          <w:sz w:val="28"/>
        </w:rPr>
        <w:t>індустрій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виробленню</w:t>
      </w:r>
      <w:r w:rsidRPr="00D67348">
        <w:rPr>
          <w:sz w:val="28"/>
        </w:rPr>
        <w:t xml:space="preserve"> </w:t>
      </w:r>
      <w:r w:rsidRPr="00D67348">
        <w:rPr>
          <w:sz w:val="28"/>
        </w:rPr>
        <w:t>креативного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продукту,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внести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на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розгляд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проект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закону,</w:t>
      </w:r>
      <w:r w:rsidRPr="00D67348">
        <w:rPr>
          <w:sz w:val="28"/>
        </w:rPr>
        <w:t xml:space="preserve"> </w:t>
      </w:r>
      <w:r w:rsidRPr="00D67348">
        <w:rPr>
          <w:sz w:val="28"/>
        </w:rPr>
        <w:t>який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визначатиме</w:t>
      </w:r>
      <w:r w:rsidRPr="00D67348">
        <w:rPr>
          <w:sz w:val="28"/>
        </w:rPr>
        <w:t xml:space="preserve"> </w:t>
      </w:r>
      <w:r w:rsidRPr="00D67348">
        <w:rPr>
          <w:sz w:val="28"/>
        </w:rPr>
        <w:t>особливості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діяльності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такої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установи;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lastRenderedPageBreak/>
        <w:t>4)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2022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році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поінформувати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Раду</w:t>
      </w:r>
      <w:r w:rsidRPr="00D67348">
        <w:rPr>
          <w:sz w:val="28"/>
        </w:rPr>
        <w:t xml:space="preserve"> </w:t>
      </w:r>
      <w:r w:rsidRPr="00D67348">
        <w:rPr>
          <w:sz w:val="28"/>
        </w:rPr>
        <w:t>України</w:t>
      </w:r>
      <w:r w:rsidRPr="00D67348">
        <w:rPr>
          <w:sz w:val="28"/>
        </w:rPr>
        <w:t xml:space="preserve"> </w:t>
      </w:r>
      <w:r w:rsidRPr="00D67348">
        <w:rPr>
          <w:sz w:val="28"/>
        </w:rPr>
        <w:t>про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стан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виконання</w:t>
      </w:r>
      <w:r w:rsidRPr="00D67348">
        <w:rPr>
          <w:sz w:val="28"/>
        </w:rPr>
        <w:t xml:space="preserve"> </w:t>
      </w:r>
      <w:r w:rsidRPr="00D67348">
        <w:rPr>
          <w:sz w:val="28"/>
        </w:rPr>
        <w:t>цього</w:t>
      </w:r>
      <w:r w:rsidRPr="00D67348">
        <w:rPr>
          <w:sz w:val="28"/>
        </w:rPr>
        <w:t xml:space="preserve"> </w:t>
      </w:r>
      <w:r w:rsidRPr="00D67348">
        <w:rPr>
          <w:sz w:val="28"/>
        </w:rPr>
        <w:t>Закону.</w:t>
      </w:r>
    </w:p>
    <w:p w:rsidR="00D67348" w:rsidRPr="00D67348" w:rsidRDefault="00D67348" w:rsidP="00D67348">
      <w:pPr>
        <w:ind w:firstLine="720"/>
        <w:jc w:val="both"/>
        <w:rPr>
          <w:sz w:val="28"/>
        </w:rPr>
      </w:pPr>
      <w:r w:rsidRPr="00D67348">
        <w:rPr>
          <w:sz w:val="28"/>
        </w:rPr>
        <w:t>Голова</w:t>
      </w:r>
      <w:r w:rsidRPr="00D67348">
        <w:rPr>
          <w:sz w:val="28"/>
        </w:rPr>
        <w:t xml:space="preserve"> </w:t>
      </w:r>
      <w:r w:rsidRPr="00D67348">
        <w:rPr>
          <w:sz w:val="28"/>
        </w:rPr>
        <w:t>Верховної</w:t>
      </w:r>
      <w:r w:rsidRPr="00D67348">
        <w:rPr>
          <w:sz w:val="28"/>
        </w:rPr>
        <w:t xml:space="preserve"> </w:t>
      </w:r>
      <w:r w:rsidRPr="00D67348">
        <w:rPr>
          <w:sz w:val="28"/>
        </w:rPr>
        <w:t>Ради</w:t>
      </w:r>
      <w:r>
        <w:rPr>
          <w:sz w:val="28"/>
          <w:lang w:val="ru-RU"/>
        </w:rPr>
        <w:t xml:space="preserve"> </w:t>
      </w:r>
      <w:bookmarkStart w:id="0" w:name="_GoBack"/>
      <w:bookmarkEnd w:id="0"/>
      <w:r w:rsidRPr="00D67348">
        <w:rPr>
          <w:sz w:val="28"/>
        </w:rPr>
        <w:t>України</w:t>
      </w:r>
    </w:p>
    <w:p w:rsidR="00595064" w:rsidRPr="00D67348" w:rsidRDefault="00595064" w:rsidP="00D67348">
      <w:pPr>
        <w:ind w:firstLine="720"/>
        <w:jc w:val="both"/>
        <w:rPr>
          <w:sz w:val="28"/>
        </w:rPr>
      </w:pPr>
    </w:p>
    <w:sectPr w:rsidR="00595064" w:rsidRPr="00D67348" w:rsidSect="00D67348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48" w:rsidRDefault="00D67348">
      <w:r>
        <w:separator/>
      </w:r>
    </w:p>
  </w:endnote>
  <w:endnote w:type="continuationSeparator" w:id="0">
    <w:p w:rsidR="00D67348" w:rsidRDefault="00D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8" w:rsidRDefault="00D67348" w:rsidP="00283D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D67348" w:rsidRDefault="00D673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8" w:rsidRDefault="00D67348" w:rsidP="00283D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D67348" w:rsidRDefault="00D673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48" w:rsidRDefault="00D67348">
      <w:r>
        <w:separator/>
      </w:r>
    </w:p>
  </w:footnote>
  <w:footnote w:type="continuationSeparator" w:id="0">
    <w:p w:rsidR="00D67348" w:rsidRDefault="00D6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348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67348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48151"/>
  <w15:chartTrackingRefBased/>
  <w15:docId w15:val="{714C3DB5-2D01-4432-A1C2-447CCD7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D67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D67348"/>
    <w:rPr>
      <w:sz w:val="28"/>
    </w:rPr>
  </w:style>
  <w:style w:type="character" w:styleId="aa">
    <w:name w:val="page number"/>
    <w:basedOn w:val="a1"/>
    <w:rsid w:val="00D6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10</Pages>
  <Words>2593</Words>
  <Characters>18883</Characters>
  <Application>Microsoft Office Word</Application>
  <DocSecurity>0</DocSecurity>
  <Lines>385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2021-03-15T08:57:00Z</dcterms:created>
  <dcterms:modified xsi:type="dcterms:W3CDTF">2021-03-15T08:58:00Z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